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8BB9D32-13FA-4852-B7F9-17B9384E20F3" style="width:451.25pt;height:365.8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u w:color="000000"/>
          <w:bdr w:val="nil"/>
        </w:rPr>
        <w:t>•</w:t>
      </w:r>
      <w:r>
        <w:rPr>
          <w:noProof/>
          <w:u w:color="000000"/>
          <w:bdr w:val="nil"/>
        </w:rPr>
        <w:tab/>
      </w:r>
      <w:r>
        <w:rPr>
          <w:noProof/>
        </w:rPr>
        <w:t>Αιτιολόγηση και στόχοι της πρότασης</w:t>
      </w:r>
    </w:p>
    <w:p>
      <w:pPr>
        <w:spacing w:before="0" w:after="240"/>
        <w:rPr>
          <w:rFonts w:eastAsia="Arial Unicode MS"/>
          <w:noProof/>
        </w:rPr>
      </w:pPr>
      <w:r>
        <w:rPr>
          <w:noProof/>
        </w:rPr>
        <w:t>Η διεθνής σύμβαση για τη διατήρηση των θυννοειδών του Ατλαντικού (σύμβαση ICCAT) αποσκοπεί, με τη σύσταση της ICCAT, να προωθήσει τη συνεργασία για τη διατήρηση των πληθυσμών θυννοειδών και συγγενών ειδών του Ατλαντικού Ωκεανού σε επίπεδα που επιτρέπουν μέγιστη σταθερή απόδοση για επισιτιστικούς και άλλους σκοπούς. Η σύμβαση άρχισε να ισχύει στις 21 Μαρτίου 1969. Η Ένωση είναι συμβαλλόμενο μέρος της σύμβασης, αφού την ενέκρινε με την απόφαση του Συμβουλίου της 9ης Ιουνίου 1986</w:t>
      </w:r>
      <w:r>
        <w:rPr>
          <w:rStyle w:val="FootnoteReference"/>
          <w:noProof/>
        </w:rPr>
        <w:footnoteReference w:id="1"/>
      </w:r>
      <w:r>
        <w:rPr>
          <w:noProof/>
        </w:rPr>
        <w:t>.</w:t>
      </w:r>
    </w:p>
    <w:p>
      <w:pPr>
        <w:spacing w:before="0" w:after="240"/>
        <w:rPr>
          <w:rFonts w:eastAsia="Arial Unicode MS"/>
          <w:noProof/>
        </w:rPr>
      </w:pPr>
      <w:r>
        <w:rPr>
          <w:noProof/>
        </w:rPr>
        <w:t xml:space="preserve">Η διεθνής επιτροπή για τη διατήρηση των θυννοειδών του Ατλαντικού (επιτροπή ICCAT) είναι το όργανο που συστάθηκε με τη σύμβαση ICCAT για τη διατήρηση και τη διαχείριση των ειδών που εμπίπτουν στην αρμοδιότητά της. Η επιτροπή ICCAT έχει την εξουσία να εκδίδει συστάσεις που είναι δεσμευτικές για τα συμβαλλόμενα μέρη.  Ως συμβαλλόμενο μέρος της σύμβασης ICCAT, η Ένωση είναι μέλος της επιτροπής ICCAT, στην οποία διαθέτει δικαιώματα συμμετοχής και ψήφου.  </w:t>
      </w:r>
    </w:p>
    <w:p>
      <w:pPr>
        <w:spacing w:before="0" w:after="240"/>
        <w:rPr>
          <w:rFonts w:eastAsia="Arial Unicode MS"/>
          <w:noProof/>
        </w:rPr>
      </w:pPr>
      <w:r>
        <w:rPr>
          <w:noProof/>
        </w:rPr>
        <w:t>Για να βελτιωθεί η αποτελεσματικότητά της και να ενισχυθεί η διατήρηση και η διαχείριση των ειδών που εμπίπτουν στην αρμοδιότητά της, η επιτροπή ICCAT συμφώνησε σχετικά με την ανάγκη τροποποίησης της σύμβασης. Στις 13 Μαΐου 2013, το Συμβούλιο εξουσιοδότησε την Επιτροπή να διαπραγματευθεί τροποποιήσεις της σύμβασης εξ ονόματος της Ευρωπαϊκής Ένωσης.</w:t>
      </w:r>
      <w:r>
        <w:rPr>
          <w:rStyle w:val="FootnoteReference"/>
          <w:noProof/>
        </w:rPr>
        <w:footnoteReference w:id="2"/>
      </w:r>
      <w:r>
        <w:rPr>
          <w:noProof/>
        </w:rPr>
        <w:t xml:space="preserve"> </w:t>
      </w:r>
    </w:p>
    <w:p>
      <w:pPr>
        <w:spacing w:before="0" w:after="240"/>
        <w:rPr>
          <w:rFonts w:eastAsia="Arial Unicode MS"/>
          <w:noProof/>
        </w:rPr>
      </w:pPr>
      <w:r>
        <w:rPr>
          <w:noProof/>
        </w:rPr>
        <w:t>Από το 2013 έως το 2018 έχουν πραγματοποιηθεί συζητήσεις στο πλαίσιο της επιτροπής ICCAT σχετικά με τις αλλαγές που πρέπει να γίνουν στη σύμβαση. Ως αποτέλεσμα, καταρτίστηκε πρωτόκολλο για την τροποποίηση της σύμβασης. Οι κυριότερες τροποποιήσεις, μόλις τεθούν σε ισχύ:</w:t>
      </w:r>
    </w:p>
    <w:p>
      <w:pPr>
        <w:pStyle w:val="Point0"/>
        <w:rPr>
          <w:noProof/>
        </w:rPr>
      </w:pPr>
      <w:r>
        <w:rPr>
          <w:noProof/>
        </w:rPr>
        <w:t>1)</w:t>
      </w:r>
      <w:r>
        <w:rPr>
          <w:noProof/>
        </w:rPr>
        <w:tab/>
        <w:t>θα διευρύνουν το πεδίο εφαρμογής της σύμβασης όσον αφορά τη διατήρηση και τη διαχείριση του καρχαρία·</w:t>
      </w:r>
    </w:p>
    <w:p>
      <w:pPr>
        <w:pStyle w:val="Point0"/>
        <w:rPr>
          <w:noProof/>
        </w:rPr>
      </w:pPr>
      <w:r>
        <w:rPr>
          <w:noProof/>
        </w:rPr>
        <w:t>2)</w:t>
      </w:r>
      <w:r>
        <w:rPr>
          <w:noProof/>
        </w:rPr>
        <w:tab/>
        <w:t>θα αποσαφηνίσουν τους κανόνες ψηφοφορίας και την απαρτία στην επιτροπή ICCAT, ιδίως τις απαιτήσεις πλειοψηφίας στις περιπτώσεις που δεν μπορεί να επιτευχθεί συναίνεση·</w:t>
      </w:r>
    </w:p>
    <w:p>
      <w:pPr>
        <w:pStyle w:val="Point0"/>
        <w:rPr>
          <w:noProof/>
        </w:rPr>
      </w:pPr>
      <w:r>
        <w:rPr>
          <w:noProof/>
        </w:rPr>
        <w:t>3)</w:t>
      </w:r>
      <w:r>
        <w:rPr>
          <w:noProof/>
        </w:rPr>
        <w:tab/>
        <w:t>θα καθορίσουν τις αρχές που διέπουν τις εργασίες της επιτροπής ICCAT και των μελών της βάσει της σύμβασης ICCAT·</w:t>
      </w:r>
    </w:p>
    <w:p>
      <w:pPr>
        <w:pStyle w:val="Point0"/>
        <w:rPr>
          <w:noProof/>
        </w:rPr>
      </w:pPr>
      <w:r>
        <w:rPr>
          <w:noProof/>
        </w:rPr>
        <w:t>4)</w:t>
      </w:r>
      <w:r>
        <w:rPr>
          <w:noProof/>
        </w:rPr>
        <w:tab/>
        <w:t>θα συντομεύσουν την περίοδο έναρξης ισχύος των συστάσεων που εγκρίνονται από την επιτροπή ICCAT από έξι σε τέσσερις μήνες μετά την κοινοποίηση στα μέλη της ICCAT·</w:t>
      </w:r>
    </w:p>
    <w:p>
      <w:pPr>
        <w:pStyle w:val="Point0"/>
        <w:rPr>
          <w:noProof/>
        </w:rPr>
      </w:pPr>
      <w:r>
        <w:rPr>
          <w:noProof/>
        </w:rPr>
        <w:t>5)</w:t>
      </w:r>
      <w:r>
        <w:rPr>
          <w:noProof/>
        </w:rPr>
        <w:tab/>
        <w:t xml:space="preserve">θα διευκρινίσουν τη χρήση της διαδικασίας προβολής αντιρρήσεων για τις συστάσεις που εγκρίνονται από την επιτροπή ICCAT· </w:t>
      </w:r>
    </w:p>
    <w:p>
      <w:pPr>
        <w:pStyle w:val="Point0"/>
        <w:rPr>
          <w:noProof/>
        </w:rPr>
      </w:pPr>
      <w:r>
        <w:rPr>
          <w:noProof/>
        </w:rPr>
        <w:lastRenderedPageBreak/>
        <w:t>6)</w:t>
      </w:r>
      <w:r>
        <w:rPr>
          <w:noProof/>
        </w:rPr>
        <w:tab/>
        <w:t>θα καταστήσουν δυνατή την ενισχυμένη συμμετοχή των συνεργαζόμενων μη συμβαλλόμενων μερών και αλιευτικών οντοτήτων στις εργασίες της επιτροπής ICCAT·  και</w:t>
      </w:r>
    </w:p>
    <w:p>
      <w:pPr>
        <w:pStyle w:val="Point0"/>
        <w:rPr>
          <w:noProof/>
        </w:rPr>
      </w:pPr>
      <w:r>
        <w:rPr>
          <w:noProof/>
        </w:rPr>
        <w:t>7)</w:t>
      </w:r>
      <w:r>
        <w:rPr>
          <w:noProof/>
        </w:rPr>
        <w:tab/>
        <w:t xml:space="preserve">θα θεσπίσουν προαιρετικό μηχανισμό επίλυσης διαφορών της ICCAT, τα αποτελέσματα του οποίου, ωστόσο, θα είναι οριστικά και δεσμευτικά για τα μέρη που προσφεύγουν σε αυτόν. </w:t>
      </w:r>
    </w:p>
    <w:p>
      <w:pPr>
        <w:spacing w:before="0" w:after="240"/>
        <w:rPr>
          <w:rFonts w:eastAsia="Arial Unicode MS"/>
          <w:noProof/>
        </w:rPr>
      </w:pPr>
      <w:r>
        <w:rPr>
          <w:noProof/>
        </w:rPr>
        <w:t>Η τροποποίηση της σύμβασης χρησιμοποιείται επίσης ως ευκαιρία για την εξάλειψη μικρών αποκλίσεων μεταξύ της αγγλικής, της γαλλικής και της ισπανικής έκδοσης της σύμβασης, διότι κάθε έκδοση είναι εξίσου αυθεντική. Συνεπώς, στο πρωτόκολλο αποτυπώνονται όλες οι διατάξεις που πρέπει να τροποποιηθούν σε κάθε μία από τις τρεις γλωσσικές εκδόσεις.</w:t>
      </w:r>
    </w:p>
    <w:p>
      <w:pPr>
        <w:spacing w:before="0" w:after="240"/>
        <w:rPr>
          <w:rFonts w:eastAsia="Arial Unicode MS"/>
          <w:noProof/>
        </w:rPr>
      </w:pPr>
      <w:r>
        <w:rPr>
          <w:noProof/>
        </w:rPr>
        <w:t xml:space="preserve">Το πρωτόκολλο θα εγκριθεί από τα συμβαλλόμενα μέρη κατά την 28η τακτική συνεδρίαση της επιτροπής ICCAT, η οποία θα διεξαχθεί από τις 18 έως τις 25 Νοεμβρίου 2019. </w:t>
      </w:r>
    </w:p>
    <w:p>
      <w:pPr>
        <w:spacing w:before="0" w:after="240"/>
        <w:rPr>
          <w:rFonts w:eastAsia="Arial Unicode MS"/>
          <w:noProof/>
        </w:rPr>
      </w:pPr>
      <w:r>
        <w:rPr>
          <w:noProof/>
        </w:rPr>
        <w:t>Η παρούσα πρόταση συνιστά πρόταση απόφασης του Συμβουλίου που επιτρέπει την υπογραφή, εξ ονόματος της Ένωσης, και προσωρινή εφαρμογή του πρωτοκόλλου.  Το άρθρο 13 του πρωτοκόλλου ορίζει ότι το πρωτόκολλο αρχίζει να ισχύει για κάθε συμβαλλόμενο μέρος που το αποδέχεται την ενενηκοστή μέρα μετά την κατάθεση στον γενικό διευθυντή του Οργανισμού Τροφίμων και Γεωργίας των Ηνωμένων Εθνών, εγγράφου αποδοχής από τα τρία τέταρτα των συμβαλλόμενων μερών και, στη συνέχεια, για κάθε εναπομένον συμβαλλόμενο μέρος μόλις δηλώσει ότι το αποδέχεται. Συνεπώς, είναι αναγκαίο να προβλεφθεί η προσωρινή εφαρμογή του πρωτοκόλλου σε περίπτωση που αρχίσει να ισχύει προτού η Ένωση ολοκληρώσει τις εσωτερικές της διαδικασίες επικύρωσης. Η προσωρινή εφαρμογή συνάδει επίσης με την απόφαση του Συμβουλίου με την οποία εξουσιοδοτείται η Επιτροπή να διαπραγματευθεί τις τροποποιήσεις της σύμβασης.</w:t>
      </w:r>
    </w:p>
    <w:p>
      <w:pPr>
        <w:spacing w:before="0" w:after="240"/>
        <w:rPr>
          <w:rFonts w:eastAsia="Arial Unicode MS"/>
          <w:noProof/>
        </w:rPr>
      </w:pPr>
      <w:r>
        <w:rPr>
          <w:noProof/>
        </w:rPr>
        <w:t xml:space="preserve">Το πρωτόκολλο εντάσσεται σε μια ευρύτερη δέσμη, η οποία περιλαμβάνει επίσης: </w:t>
      </w:r>
    </w:p>
    <w:p>
      <w:pPr>
        <w:pStyle w:val="Point0"/>
        <w:rPr>
          <w:noProof/>
        </w:rPr>
      </w:pPr>
      <w:r>
        <w:rPr>
          <w:noProof/>
        </w:rPr>
        <w:t>1)</w:t>
      </w:r>
      <w:r>
        <w:rPr>
          <w:i/>
          <w:noProof/>
        </w:rPr>
        <w:tab/>
        <w:t>ψήφισμα της ICCAT σχετικά με τη συμμετοχή αλιευτικών οντοτήτων στο πλαίσιο της τροποποιημένης</w:t>
      </w:r>
      <w:r>
        <w:rPr>
          <w:noProof/>
        </w:rPr>
        <w:t xml:space="preserve"> σύμβασης ICCAT. Το εν λόγω ψήφισμα αποσαφηνίζει τις τροποποιήσεις της σύμβασης σχετικά με την συμμετοχή των μη συμβαλλόμενων μερών, και διευκρινίζει, ιδίως, ότι η κινεζική Ταϊπέι είναι η αλιευτική οντότητα που πρόκειται να καλυφθεί από το παράρτημα 2 για τις αλιευτικές οντότητες, το οποίο προστίθεται στη σύμβαση με το άρθρο 11 του πρωτοκόλλου· και</w:t>
      </w:r>
    </w:p>
    <w:p>
      <w:pPr>
        <w:pStyle w:val="Point0"/>
        <w:rPr>
          <w:noProof/>
        </w:rPr>
      </w:pPr>
      <w:r>
        <w:rPr>
          <w:noProof/>
        </w:rPr>
        <w:t>2)</w:t>
      </w:r>
      <w:r>
        <w:rPr>
          <w:i/>
          <w:noProof/>
        </w:rPr>
        <w:tab/>
        <w:t>σύσταση της ICCAT σχετικά με τους ιχθύες που θεωρούνται θυννοειδή και συγγενή είδη ή ωκεάνια, πελαγικά και άκρως μεταναστευτικά ελασμοβράγχια</w:t>
      </w:r>
      <w:r>
        <w:rPr>
          <w:noProof/>
        </w:rPr>
        <w:t xml:space="preserve">. Στη σύσταση αποσαφηνίζονται τα είδη που καλύπτονται από τη σύμβαση, συγκεκριμένα με τη ρητή συμπερίληψη των ωκεάνιων, πελαγικών και άκρως μεταναστευτικών ελασμοβράγχιων (καρχαρίες και σελάχια) στον ορισμό των «ειδών της ICCAT». </w:t>
      </w:r>
    </w:p>
    <w:p>
      <w:pPr>
        <w:spacing w:before="0" w:after="240"/>
        <w:rPr>
          <w:rFonts w:eastAsia="Arial Unicode MS"/>
          <w:noProof/>
        </w:rPr>
      </w:pPr>
      <w:r>
        <w:rPr>
          <w:noProof/>
        </w:rPr>
        <w:t>Το ψήφισμα και η σύσταση θα εγκριθούν από την επιτροπή ICCAT ταυτόχρονα με την έγκριση του πρωτοκόλλου από τα συμβαλλόμενα μέρη. Σύμφωνα με το άρθρο VIII παράγραφος 2 της σύμβασης ICCAT, η σύσταση θα αρχίσει να ισχύει έξι μήνες μετά την ημερομηνία γνωστοποίησής της στα συμβαλλόμενα μέρη.  Η σύσταση δεν θα είναι δεσμευτική για τα συμβαλλόμενα μέρη που έχουν προβάλει αντίρρηση και την έχουν επιβεβαιώσει. Εάν η αντίρρηση υποστηρίζεται από την πλειοψηφία των συμβαλλόμενων μερών, η σύσταση δεν τίθεται σε ισχύ.</w:t>
      </w:r>
    </w:p>
    <w:p>
      <w:pPr>
        <w:pStyle w:val="ManualHeading2"/>
        <w:rPr>
          <w:rFonts w:eastAsia="Arial Unicode MS"/>
          <w:noProof/>
          <w:color w:val="000000"/>
          <w:u w:color="000000"/>
          <w:bdr w:val="nil"/>
        </w:rPr>
      </w:pPr>
      <w:r>
        <w:rPr>
          <w:noProof/>
          <w:u w:color="000000"/>
          <w:bdr w:val="nil"/>
        </w:rPr>
        <w:lastRenderedPageBreak/>
        <w:t>•</w:t>
      </w:r>
      <w:r>
        <w:rPr>
          <w:noProof/>
          <w:u w:color="000000"/>
          <w:bdr w:val="nil"/>
        </w:rPr>
        <w:tab/>
      </w:r>
      <w:r>
        <w:rPr>
          <w:noProof/>
        </w:rPr>
        <w:t>Συνέπεια με τις ισχύουσες διατάξεις στον τομέα πολιτικής</w:t>
      </w:r>
    </w:p>
    <w:p>
      <w:pPr>
        <w:pBdr>
          <w:top w:val="nil"/>
          <w:left w:val="nil"/>
          <w:bottom w:val="nil"/>
          <w:right w:val="nil"/>
          <w:between w:val="nil"/>
          <w:bar w:val="nil"/>
        </w:pBdr>
        <w:spacing w:before="0" w:after="240"/>
        <w:rPr>
          <w:noProof/>
        </w:rPr>
      </w:pPr>
      <w:r>
        <w:rPr>
          <w:noProof/>
        </w:rPr>
        <w:t xml:space="preserve">Οι περιφερειακές οργανώσεις διαχείρισης αλιείας (ΠΟΔΑ) είναι διεθνείς οργανώσεις που συγκροτούνται από χώρες, ορισμένες από τις οποίες είναι παράκτια κράτη· οργανισμούς περιφερειακής ολοκλήρωσης, όπως η ΕΕ και αλιευτικές οντότητες με αλιευτικά συμφέροντα σε μια συγκεκριμένη περιοχή. Ορισμένες ΠΟΔΑ διαχειρίζονται όλα τα ιχθυαποθέματα μιας συγκεκριμένης περιοχής, ενώ άλλες επικεντρώνονται σε συγκεκριμένα άκρως μεταναστευτικά είδη, κυρίως στον τόνο, σε ευρύτερες γεωγραφικές περιοχές. Παρότι ορισμένες ΠΟΔΑ έχουν αποκλειστικά συμβουλευτικό ρόλο, οι περισσότερες από αυτές διαθέτουν διαχειριστικές αρμοδιότητες για τον καθορισμό ορίων αλιευμάτων και αλιευτικής προσπάθειας, τεχνικών μέτρων και υποχρεώσεων ελέγχου. </w:t>
      </w:r>
    </w:p>
    <w:p>
      <w:pPr>
        <w:spacing w:before="0" w:after="240"/>
        <w:rPr>
          <w:rFonts w:eastAsia="Arial Unicode MS"/>
          <w:noProof/>
        </w:rPr>
      </w:pPr>
      <w:r>
        <w:rPr>
          <w:noProof/>
        </w:rPr>
        <w:t>Η Ευρωπαϊκή Ένωση, εκπροσωπούμενη από την Ευρωπαϊκή Επιτροπή, υποστηρίζει τις εργασίες της ICCAT και συμβάλλει ενεργά σε αυτές, σύμφωνα με την ανακοίνωση της Επιτροπής με τίτλο «Συμμετοχή στις Περιφερειακές Οργανώσεις Αλιείας (ΠΟΑ)»</w:t>
      </w:r>
      <w:r>
        <w:rPr>
          <w:rStyle w:val="FootnoteReference"/>
          <w:noProof/>
        </w:rPr>
        <w:footnoteReference w:id="3"/>
      </w:r>
      <w:r>
        <w:rPr>
          <w:noProof/>
        </w:rPr>
        <w:t>, το άρθρο 29 του Κανονισμού (ΕΕ) αριθ. 1380/2013 του Ευρωπαϊκού Κοινοβουλίου και του Συμβουλίου σχετικά με την Κοινή Αλιευτική Πολιτική</w:t>
      </w:r>
      <w:r>
        <w:rPr>
          <w:rStyle w:val="FootnoteReference"/>
          <w:noProof/>
        </w:rPr>
        <w:footnoteReference w:id="4"/>
      </w:r>
      <w:r>
        <w:rPr>
          <w:noProof/>
        </w:rPr>
        <w:t xml:space="preserve"> και τα συμπεράσματα του Συμβουλίου της 19ης Μαρτίου 2012 σχετικά με την ανακοίνωση της Επιτροπής για την «Εξωτερική διάσταση της Κοινής Αλιευτικής Πολιτικής»</w:t>
      </w:r>
      <w:r>
        <w:rPr>
          <w:rStyle w:val="FootnoteReference"/>
          <w:noProof/>
        </w:rPr>
        <w:footnoteReference w:id="5"/>
      </w:r>
      <w:r>
        <w:rPr>
          <w:noProof/>
        </w:rPr>
        <w:t>. Οι τροποποιήσεις της σύμβασης είναι αναγκαίες για να διασφαλιστεί η βιώσιμη εκμετάλλευση, η διαχείριση και η διατήρηση των θαλάσσιων βιολογικών πόρων και του θαλάσσιου περιβάλλοντος που διαχειρίζεται η ICCAT, καθώς και των ειδών που αλιεύονται στο πλαίσιο αλιευτικών δραστηριοτήτων που στοχεύουν τα είδη της ICCAT.</w:t>
      </w:r>
    </w:p>
    <w:p>
      <w:pPr>
        <w:pStyle w:val="ManualHeading2"/>
        <w:rPr>
          <w:rFonts w:eastAsia="Arial Unicode MS"/>
          <w:noProof/>
        </w:rPr>
      </w:pPr>
      <w:r>
        <w:rPr>
          <w:noProof/>
          <w:u w:color="000000"/>
          <w:bdr w:val="nil"/>
        </w:rPr>
        <w:t>•</w:t>
      </w:r>
      <w:r>
        <w:rPr>
          <w:noProof/>
          <w:u w:color="000000"/>
          <w:bdr w:val="nil"/>
        </w:rPr>
        <w:tab/>
      </w:r>
      <w:r>
        <w:rPr>
          <w:noProof/>
        </w:rPr>
        <w:t>Συνέπεια με άλλες πολιτικές της Ένωσης</w:t>
      </w:r>
    </w:p>
    <w:p>
      <w:pPr>
        <w:pBdr>
          <w:top w:val="nil"/>
          <w:left w:val="nil"/>
          <w:bottom w:val="nil"/>
          <w:right w:val="nil"/>
          <w:between w:val="nil"/>
          <w:bar w:val="nil"/>
        </w:pBdr>
        <w:spacing w:before="0" w:after="240"/>
        <w:rPr>
          <w:noProof/>
          <w:sz w:val="23"/>
          <w:szCs w:val="23"/>
        </w:rPr>
      </w:pPr>
      <w:r>
        <w:rPr>
          <w:noProof/>
        </w:rPr>
        <w:t>Σύμφωνα με την κοινή ανακοίνωση της ύπατης εκπροσώπου της ΕΕ για θέματα εξωτερικής πολιτικής και πολιτικής ασφαλείας και της Ευρωπαϊκής Επιτροπής με τίτλο «Διεθνής διακυβέρνηση των ωκεανών: ένα θεματολόγιο για το μέλλον των ωκεανών μας»</w:t>
      </w:r>
      <w:r>
        <w:rPr>
          <w:rStyle w:val="FootnoteReference"/>
          <w:noProof/>
        </w:rPr>
        <w:footnoteReference w:id="6"/>
      </w:r>
      <w:r>
        <w:rPr>
          <w:noProof/>
        </w:rPr>
        <w:t xml:space="preserve"> και τα συμπεράσματα του Συμβουλίου σχετικά με την εν λόγω κοινή ανακοίνωση</w:t>
      </w:r>
      <w:r>
        <w:rPr>
          <w:rStyle w:val="FootnoteReference"/>
          <w:noProof/>
        </w:rPr>
        <w:footnoteReference w:id="7"/>
      </w:r>
      <w:r>
        <w:rPr>
          <w:noProof/>
        </w:rPr>
        <w:t xml:space="preserve">, η προώθηση μέτρων για την υποστήριξη και την ενίσχυση της αποτελεσματικότητας των ΠΟΔΑ και, κατά περίπτωση, για τη βελτίωση της διακυβέρνησής τους αποτελεί κεντρικό στοιχείο της δράσης της Ένωσης σε αυτά τα φόρουμ. </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u w:color="000000"/>
          <w:bdr w:val="nil"/>
        </w:rPr>
        <w:t>•</w:t>
      </w:r>
      <w:r>
        <w:rPr>
          <w:noProof/>
          <w:u w:color="000000"/>
          <w:bdr w:val="nil"/>
        </w:rPr>
        <w:tab/>
        <w:t>Νομική βάση</w:t>
      </w:r>
    </w:p>
    <w:p>
      <w:pPr>
        <w:rPr>
          <w:rFonts w:eastAsia="Times New Roman"/>
          <w:noProof/>
        </w:rPr>
      </w:pPr>
      <w:r>
        <w:rPr>
          <w:noProof/>
        </w:rPr>
        <w:t>Η παρούσα πρόταση απόφασης του Συμβουλίου βασίζεται στη Συνθήκη για τη λειτουργία της Ευρωπαϊκής Ένωσης, και ιδίως στο άρθρο 43 παράγραφος 2, σε συνδυασμό με το άρθρο 218 παράγραφος 5.</w:t>
      </w:r>
    </w:p>
    <w:p>
      <w:pPr>
        <w:pBdr>
          <w:top w:val="nil"/>
          <w:left w:val="nil"/>
          <w:bottom w:val="nil"/>
          <w:right w:val="nil"/>
          <w:between w:val="nil"/>
          <w:bar w:val="nil"/>
        </w:pBdr>
        <w:spacing w:before="0" w:after="240"/>
        <w:rPr>
          <w:rFonts w:eastAsia="Arial Unicode MS"/>
          <w:noProof/>
        </w:rPr>
      </w:pPr>
      <w:r>
        <w:rPr>
          <w:noProof/>
        </w:rPr>
        <w:lastRenderedPageBreak/>
        <w:t>Ο κανονισμός (ΕΕ) αριθ. 1380/2013</w:t>
      </w:r>
      <w:r>
        <w:rPr>
          <w:rStyle w:val="FootnoteReference"/>
          <w:noProof/>
        </w:rPr>
        <w:footnoteReference w:id="8"/>
      </w:r>
      <w:r>
        <w:rPr>
          <w:noProof/>
        </w:rPr>
        <w:t xml:space="preserve"> του Ευρωπαϊκού Κοινοβουλίου και του Συμβουλίου αποτελεί τη νομική βάση για τις αρχές που πρέπει να αντικατοπτρίζονται στην παρούσα θέση.</w:t>
      </w:r>
    </w:p>
    <w:p>
      <w:pPr>
        <w:pStyle w:val="ManualHeading2"/>
        <w:rPr>
          <w:rFonts w:eastAsia="Arial Unicode MS"/>
          <w:noProof/>
          <w:u w:color="000000"/>
          <w:bdr w:val="nil"/>
        </w:rPr>
      </w:pPr>
      <w:r>
        <w:rPr>
          <w:noProof/>
          <w:u w:color="000000"/>
          <w:bdr w:val="nil"/>
        </w:rPr>
        <w:t>•</w:t>
      </w:r>
      <w:r>
        <w:rPr>
          <w:noProof/>
          <w:u w:color="000000"/>
          <w:bdr w:val="nil"/>
        </w:rPr>
        <w:tab/>
        <w:t xml:space="preserve">Επικουρικότητα (σε περίπτωση μη αποκλειστικής αρμοδιότητας) </w:t>
      </w:r>
    </w:p>
    <w:p>
      <w:pPr>
        <w:pBdr>
          <w:top w:val="nil"/>
          <w:left w:val="nil"/>
          <w:bottom w:val="nil"/>
          <w:right w:val="nil"/>
          <w:between w:val="nil"/>
          <w:bar w:val="nil"/>
        </w:pBdr>
        <w:spacing w:before="0" w:after="240"/>
        <w:rPr>
          <w:rFonts w:eastAsia="Arial Unicode MS"/>
          <w:noProof/>
        </w:rPr>
      </w:pPr>
      <w:r>
        <w:rPr>
          <w:noProof/>
        </w:rPr>
        <w:t>Άνευ αντικειμένου</w:t>
      </w:r>
    </w:p>
    <w:p>
      <w:pPr>
        <w:pStyle w:val="ManualHeading2"/>
        <w:rPr>
          <w:rFonts w:eastAsia="Arial Unicode MS"/>
          <w:noProof/>
          <w:u w:color="000000"/>
          <w:bdr w:val="nil"/>
        </w:rPr>
      </w:pPr>
      <w:r>
        <w:rPr>
          <w:noProof/>
          <w:u w:color="000000"/>
          <w:bdr w:val="nil"/>
        </w:rPr>
        <w:t>•</w:t>
      </w:r>
      <w:r>
        <w:rPr>
          <w:noProof/>
          <w:u w:color="000000"/>
          <w:bdr w:val="nil"/>
        </w:rPr>
        <w:tab/>
        <w:t>Αναλογικότητα</w:t>
      </w:r>
    </w:p>
    <w:p>
      <w:pPr>
        <w:pBdr>
          <w:top w:val="nil"/>
          <w:left w:val="nil"/>
          <w:bottom w:val="nil"/>
          <w:right w:val="nil"/>
          <w:between w:val="nil"/>
          <w:bar w:val="nil"/>
        </w:pBdr>
        <w:spacing w:before="0" w:after="240"/>
        <w:rPr>
          <w:rFonts w:eastAsia="Arial Unicode MS"/>
          <w:noProof/>
        </w:rPr>
      </w:pPr>
      <w:r>
        <w:rPr>
          <w:noProof/>
        </w:rPr>
        <w:t>Η πρόταση δεν υπερβαίνει τα αναγκαία όρια για την επίτευξη του επιδιωκομένου στόχου, δηλαδή την υπογραφή και την προσωρινή εφαρμογή του πρωτοκόλλου από την Ένωση.</w:t>
      </w:r>
    </w:p>
    <w:p>
      <w:pPr>
        <w:pStyle w:val="ManualHeading2"/>
        <w:rPr>
          <w:rFonts w:eastAsia="Arial Unicode MS"/>
          <w:noProof/>
          <w:u w:color="000000"/>
          <w:bdr w:val="nil"/>
        </w:rPr>
      </w:pPr>
      <w:r>
        <w:rPr>
          <w:noProof/>
          <w:u w:color="000000"/>
          <w:bdr w:val="nil"/>
        </w:rPr>
        <w:t>•</w:t>
      </w:r>
      <w:r>
        <w:rPr>
          <w:noProof/>
          <w:u w:color="000000"/>
          <w:bdr w:val="nil"/>
        </w:rPr>
        <w:tab/>
        <w:t>Επιλογή της νομικής πράξης</w:t>
      </w:r>
    </w:p>
    <w:p>
      <w:pPr>
        <w:pBdr>
          <w:top w:val="nil"/>
          <w:left w:val="nil"/>
          <w:bottom w:val="nil"/>
          <w:right w:val="nil"/>
          <w:between w:val="nil"/>
          <w:bar w:val="nil"/>
        </w:pBdr>
        <w:spacing w:before="0" w:after="240"/>
        <w:rPr>
          <w:rFonts w:eastAsia="Arial Unicode MS"/>
          <w:noProof/>
        </w:rPr>
      </w:pPr>
      <w:r>
        <w:rPr>
          <w:noProof/>
        </w:rPr>
        <w:t>Σύμφωνα με το άρθρο 218 παράγραφος 5 της Συνθήκης για τη λειτουργία της Ευρωπαϊκής Ένωσης, η απόφαση που επιτρέπει την υπογραφή του πρωτοκόλλου και, ενδεχομένως, την προσωρινή εφαρμογή του πριν από την έναρξη ισχύος, εκδίδεται από το Συμβούλιο μετά από πρόταση της Επιτροπής.</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u w:color="000000"/>
          <w:bdr w:val="nil"/>
        </w:rPr>
        <w:t>•</w:t>
      </w:r>
      <w:r>
        <w:rPr>
          <w:noProof/>
          <w:u w:color="000000"/>
          <w:bdr w:val="nil"/>
        </w:rPr>
        <w:tab/>
        <w:t>Εκ των υστέρων αξιολογήσεις / έλεγχοι καταλληλότητας της ισχύουσας νομοθεσίας</w:t>
      </w:r>
    </w:p>
    <w:p>
      <w:pPr>
        <w:pBdr>
          <w:top w:val="nil"/>
          <w:left w:val="nil"/>
          <w:bottom w:val="nil"/>
          <w:right w:val="nil"/>
          <w:between w:val="nil"/>
          <w:bar w:val="nil"/>
        </w:pBdr>
        <w:spacing w:before="0" w:after="240"/>
        <w:rPr>
          <w:rFonts w:eastAsia="Arial Unicode MS"/>
          <w:noProof/>
        </w:rPr>
      </w:pPr>
      <w:r>
        <w:rPr>
          <w:noProof/>
        </w:rPr>
        <w:t>Άνευ αντικειμένου</w:t>
      </w:r>
    </w:p>
    <w:p>
      <w:pPr>
        <w:pStyle w:val="ManualHeading2"/>
        <w:rPr>
          <w:rFonts w:eastAsia="Arial Unicode MS"/>
          <w:noProof/>
          <w:u w:color="000000"/>
          <w:bdr w:val="nil"/>
        </w:rPr>
      </w:pPr>
      <w:r>
        <w:rPr>
          <w:noProof/>
          <w:u w:color="000000"/>
          <w:bdr w:val="nil"/>
        </w:rPr>
        <w:t>•</w:t>
      </w:r>
      <w:r>
        <w:rPr>
          <w:noProof/>
          <w:u w:color="000000"/>
          <w:bdr w:val="nil"/>
        </w:rPr>
        <w:tab/>
        <w:t>Διαβουλεύσεις με τα ενδιαφερόμενα μέρη</w:t>
      </w:r>
    </w:p>
    <w:p>
      <w:pPr>
        <w:spacing w:before="0" w:after="240"/>
        <w:rPr>
          <w:rFonts w:eastAsia="Times New Roman"/>
          <w:noProof/>
        </w:rPr>
      </w:pPr>
      <w:r>
        <w:rPr>
          <w:noProof/>
        </w:rPr>
        <w:t>Στις 13 Μαΐου 2013, το Συμβούλιο εξουσιοδότησε την Επιτροπή να διαπραγματευθεί τροποποιήσεις της σύμβασης εξ ονόματος της Ευρωπαϊκής Ένωσης.</w:t>
      </w:r>
    </w:p>
    <w:p>
      <w:pPr>
        <w:spacing w:before="0" w:after="240"/>
        <w:rPr>
          <w:rFonts w:eastAsia="Times New Roman"/>
          <w:noProof/>
        </w:rPr>
      </w:pPr>
      <w:r>
        <w:rPr>
          <w:noProof/>
        </w:rPr>
        <w:t>Οι τροποποιήσεις καταρτίστηκαν κατά τη διάρκεια έξι συνεδριάσεων της ομάδας εργασίας για την τροποποίηση της σύμβασης, η οποία συστάθηκε για τον σκοπό αυτό από την ICCAT, εκ των οποίων η πρώτη πραγματοποιήθηκε από τις 10 έως τις 12 Ιουλίου 2013 και η τελευταία από τις 24 έως τις 25 Μαΐου 2018. Τα κράτη μέλη ενημερώνονταν για την πρόοδο των διαπραγματεύσεων.</w:t>
      </w:r>
    </w:p>
    <w:p>
      <w:pPr>
        <w:pStyle w:val="ManualHeading2"/>
        <w:rPr>
          <w:rFonts w:eastAsia="Arial Unicode MS"/>
          <w:noProof/>
          <w:u w:color="000000"/>
          <w:bdr w:val="nil"/>
        </w:rPr>
      </w:pPr>
      <w:r>
        <w:rPr>
          <w:noProof/>
          <w:u w:color="000000"/>
          <w:bdr w:val="nil"/>
        </w:rPr>
        <w:t>•</w:t>
      </w:r>
      <w:r>
        <w:rPr>
          <w:noProof/>
          <w:u w:color="000000"/>
          <w:bdr w:val="nil"/>
        </w:rPr>
        <w:tab/>
        <w:t>Συλλογή και χρήση εμπειρογνωσίας</w:t>
      </w:r>
    </w:p>
    <w:p>
      <w:pPr>
        <w:pBdr>
          <w:top w:val="nil"/>
          <w:left w:val="nil"/>
          <w:bottom w:val="nil"/>
          <w:right w:val="nil"/>
          <w:between w:val="nil"/>
          <w:bar w:val="nil"/>
        </w:pBdr>
        <w:spacing w:before="0" w:after="240"/>
        <w:rPr>
          <w:rFonts w:eastAsia="Arial Unicode MS"/>
          <w:noProof/>
        </w:rPr>
      </w:pPr>
      <w:r>
        <w:rPr>
          <w:noProof/>
        </w:rPr>
        <w:t>Η Επιτροπή αξιοποίησε την εμπειρογνωσία των κρατών μελών στην προετοιμασία της για τις διαπραγματεύσεις στην ICCAT σχετικά με τις τροποποιήσεις της σύμβασης, καθώς και κατά τη διάρκεια των εν λόγω διαπραγματεύσεων.</w:t>
      </w:r>
    </w:p>
    <w:p>
      <w:pPr>
        <w:pStyle w:val="ManualHeading2"/>
        <w:rPr>
          <w:rFonts w:eastAsia="Arial Unicode MS"/>
          <w:noProof/>
          <w:u w:color="000000"/>
          <w:bdr w:val="nil"/>
        </w:rPr>
      </w:pPr>
      <w:r>
        <w:rPr>
          <w:noProof/>
          <w:u w:color="000000"/>
          <w:bdr w:val="nil"/>
        </w:rPr>
        <w:t>•</w:t>
      </w:r>
      <w:r>
        <w:rPr>
          <w:noProof/>
          <w:u w:color="000000"/>
          <w:bdr w:val="nil"/>
        </w:rPr>
        <w:tab/>
        <w:t>Εκτίμηση επιπτώσεων</w:t>
      </w:r>
    </w:p>
    <w:p>
      <w:pPr>
        <w:pBdr>
          <w:top w:val="nil"/>
          <w:left w:val="nil"/>
          <w:bottom w:val="nil"/>
          <w:right w:val="nil"/>
          <w:between w:val="nil"/>
          <w:bar w:val="nil"/>
        </w:pBdr>
        <w:spacing w:before="0" w:after="240"/>
        <w:rPr>
          <w:rFonts w:eastAsia="Arial Unicode MS"/>
          <w:noProof/>
        </w:rPr>
      </w:pPr>
      <w:r>
        <w:rPr>
          <w:noProof/>
        </w:rPr>
        <w:t xml:space="preserve">Άνευ αντικειμένου </w:t>
      </w:r>
    </w:p>
    <w:p>
      <w:pPr>
        <w:pStyle w:val="ManualHeading2"/>
        <w:rPr>
          <w:rFonts w:eastAsia="Arial Unicode MS"/>
          <w:noProof/>
          <w:u w:color="000000"/>
          <w:bdr w:val="nil"/>
        </w:rPr>
      </w:pPr>
      <w:r>
        <w:rPr>
          <w:noProof/>
          <w:u w:color="000000"/>
          <w:bdr w:val="nil"/>
        </w:rPr>
        <w:lastRenderedPageBreak/>
        <w:t>•</w:t>
      </w:r>
      <w:r>
        <w:rPr>
          <w:noProof/>
          <w:u w:color="000000"/>
          <w:bdr w:val="nil"/>
        </w:rPr>
        <w:tab/>
        <w:t>Καταλληλότητα και απλούστευση του κανονιστικού πλαισίου</w:t>
      </w:r>
    </w:p>
    <w:p>
      <w:pPr>
        <w:pBdr>
          <w:top w:val="nil"/>
          <w:left w:val="nil"/>
          <w:bottom w:val="nil"/>
          <w:right w:val="nil"/>
          <w:between w:val="nil"/>
          <w:bar w:val="nil"/>
        </w:pBdr>
        <w:spacing w:before="0" w:after="240"/>
        <w:rPr>
          <w:rFonts w:eastAsia="Arial Unicode MS"/>
          <w:noProof/>
        </w:rPr>
      </w:pPr>
      <w:r>
        <w:rPr>
          <w:noProof/>
        </w:rPr>
        <w:t>Άνευ αντικειμένου</w:t>
      </w:r>
      <w:r>
        <w:t xml:space="preserve"> </w:t>
      </w:r>
    </w:p>
    <w:p>
      <w:pPr>
        <w:pStyle w:val="ManualHeading2"/>
        <w:rPr>
          <w:rFonts w:eastAsia="Arial Unicode MS"/>
          <w:noProof/>
          <w:u w:color="000000"/>
          <w:bdr w:val="nil"/>
        </w:rPr>
      </w:pPr>
      <w:r>
        <w:rPr>
          <w:noProof/>
          <w:u w:color="000000"/>
          <w:bdr w:val="nil"/>
        </w:rPr>
        <w:t>•</w:t>
      </w:r>
      <w:r>
        <w:rPr>
          <w:noProof/>
          <w:u w:color="000000"/>
          <w:bdr w:val="nil"/>
        </w:rPr>
        <w:tab/>
        <w:t>Θεμελιώδη δικαιώματα</w:t>
      </w:r>
    </w:p>
    <w:p>
      <w:pPr>
        <w:pBdr>
          <w:top w:val="nil"/>
          <w:left w:val="nil"/>
          <w:bottom w:val="nil"/>
          <w:right w:val="nil"/>
          <w:between w:val="nil"/>
          <w:bar w:val="nil"/>
        </w:pBdr>
        <w:spacing w:before="0" w:after="240"/>
        <w:rPr>
          <w:rFonts w:eastAsia="Arial Unicode MS"/>
          <w:noProof/>
        </w:rPr>
      </w:pPr>
      <w:r>
        <w:rPr>
          <w:noProof/>
        </w:rPr>
        <w:t>Άνευ αντικειμένου</w:t>
      </w:r>
    </w:p>
    <w:p>
      <w:pPr>
        <w:pStyle w:val="ManualHeading1"/>
        <w:rPr>
          <w:noProof/>
        </w:rPr>
      </w:pPr>
      <w:r>
        <w:rPr>
          <w:noProof/>
        </w:rPr>
        <w:t>4.</w:t>
      </w:r>
      <w:r>
        <w:rPr>
          <w:noProof/>
        </w:rPr>
        <w:tab/>
        <w:t>ΔΗΜΟΣΙΟΝΟΜΙΚΕΣ ΕΠΙΠΤΩΣΕΙΣ</w:t>
      </w:r>
    </w:p>
    <w:p>
      <w:pPr>
        <w:pBdr>
          <w:top w:val="nil"/>
          <w:left w:val="nil"/>
          <w:bottom w:val="nil"/>
          <w:right w:val="nil"/>
          <w:between w:val="nil"/>
          <w:bar w:val="nil"/>
        </w:pBdr>
        <w:spacing w:before="0" w:after="240"/>
        <w:rPr>
          <w:rFonts w:eastAsia="Arial Unicode MS"/>
          <w:noProof/>
        </w:rPr>
      </w:pPr>
      <w:r>
        <w:rPr>
          <w:noProof/>
        </w:rPr>
        <w:t>Η πρόταση δεν συνεπάγεται πρόσθετο κόστος για τον προϋπολογισμό της ΕΕ.</w:t>
      </w:r>
    </w:p>
    <w:p>
      <w:pPr>
        <w:pStyle w:val="ManualHeading1"/>
        <w:rPr>
          <w:noProof/>
        </w:rPr>
      </w:pPr>
      <w:r>
        <w:rPr>
          <w:noProof/>
        </w:rPr>
        <w:t>5.</w:t>
      </w:r>
      <w:r>
        <w:rPr>
          <w:noProof/>
        </w:rPr>
        <w:tab/>
        <w:t>ΛΟΙΠΑ ΣΤΟΙΧΕΙΑ</w:t>
      </w:r>
    </w:p>
    <w:p>
      <w:pPr>
        <w:pStyle w:val="ManualHeading2"/>
        <w:rPr>
          <w:rFonts w:eastAsia="Arial Unicode MS"/>
          <w:noProof/>
          <w:u w:color="000000"/>
          <w:bdr w:val="nil"/>
        </w:rPr>
      </w:pPr>
      <w:r>
        <w:rPr>
          <w:noProof/>
          <w:u w:color="000000"/>
          <w:bdr w:val="nil"/>
        </w:rPr>
        <w:t>•</w:t>
      </w:r>
      <w:r>
        <w:rPr>
          <w:noProof/>
          <w:u w:color="000000"/>
          <w:bdr w:val="nil"/>
        </w:rPr>
        <w:tab/>
        <w:t>Σχέδια εφαρμογής και ρυθμίσεις παρακολούθησης, αξιολόγησης και υποβολής εκθέσεων</w:t>
      </w:r>
    </w:p>
    <w:p>
      <w:pPr>
        <w:pBdr>
          <w:top w:val="nil"/>
          <w:left w:val="nil"/>
          <w:bottom w:val="nil"/>
          <w:right w:val="nil"/>
          <w:between w:val="nil"/>
          <w:bar w:val="nil"/>
        </w:pBdr>
        <w:spacing w:before="0" w:after="240"/>
        <w:rPr>
          <w:rFonts w:eastAsia="Arial Unicode MS"/>
          <w:noProof/>
        </w:rPr>
      </w:pPr>
      <w:r>
        <w:rPr>
          <w:noProof/>
        </w:rPr>
        <w:t>Άνευ αντικειμένου</w:t>
      </w:r>
    </w:p>
    <w:p>
      <w:pPr>
        <w:pStyle w:val="ManualHeading2"/>
        <w:rPr>
          <w:rFonts w:eastAsia="Arial Unicode MS"/>
          <w:noProof/>
          <w:u w:color="000000"/>
          <w:bdr w:val="nil"/>
        </w:rPr>
      </w:pPr>
      <w:r>
        <w:rPr>
          <w:noProof/>
          <w:u w:color="000000"/>
          <w:bdr w:val="nil"/>
        </w:rPr>
        <w:t>•</w:t>
      </w:r>
      <w:r>
        <w:rPr>
          <w:noProof/>
          <w:u w:color="000000"/>
          <w:bdr w:val="nil"/>
        </w:rPr>
        <w:tab/>
        <w:t>Επεξηγηματικά έγγραφα (για οδηγίες)</w:t>
      </w:r>
    </w:p>
    <w:p>
      <w:pPr>
        <w:pBdr>
          <w:top w:val="nil"/>
          <w:left w:val="nil"/>
          <w:bottom w:val="nil"/>
          <w:right w:val="nil"/>
          <w:between w:val="nil"/>
          <w:bar w:val="nil"/>
        </w:pBdr>
        <w:spacing w:before="0" w:after="240"/>
        <w:rPr>
          <w:rFonts w:eastAsia="Arial Unicode MS"/>
          <w:noProof/>
        </w:rPr>
      </w:pPr>
      <w:r>
        <w:rPr>
          <w:noProof/>
        </w:rPr>
        <w:t>Άνευ αντικειμένου</w:t>
      </w:r>
    </w:p>
    <w:p>
      <w:pPr>
        <w:pStyle w:val="ManualHeading2"/>
        <w:rPr>
          <w:rFonts w:eastAsia="Arial Unicode MS"/>
          <w:noProof/>
          <w:u w:color="000000"/>
          <w:bdr w:val="nil"/>
        </w:rPr>
      </w:pPr>
      <w:r>
        <w:rPr>
          <w:noProof/>
          <w:u w:color="000000"/>
          <w:bdr w:val="nil"/>
        </w:rPr>
        <w:t>•</w:t>
      </w:r>
      <w:r>
        <w:rPr>
          <w:noProof/>
          <w:u w:color="000000"/>
          <w:bdr w:val="nil"/>
        </w:rPr>
        <w:tab/>
        <w:t>Αναλυτική επεξήγηση των επιμέρους διατάξεων της πρότασης</w:t>
      </w:r>
    </w:p>
    <w:p>
      <w:pPr>
        <w:pBdr>
          <w:top w:val="nil"/>
          <w:left w:val="nil"/>
          <w:bottom w:val="nil"/>
          <w:right w:val="nil"/>
          <w:between w:val="nil"/>
          <w:bar w:val="nil"/>
        </w:pBdr>
        <w:spacing w:before="0" w:after="240"/>
        <w:rPr>
          <w:noProof/>
        </w:rPr>
      </w:pPr>
      <w:r>
        <w:rPr>
          <w:noProof/>
        </w:rPr>
        <w:t>Άνευ αντικειμένου</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2019/0223 (NLE)</w:t>
      </w:r>
    </w:p>
    <w:p>
      <w:pPr>
        <w:pStyle w:val="Statut"/>
        <w:rPr>
          <w:noProof/>
        </w:rPr>
      </w:pPr>
      <w:r>
        <w:rPr>
          <w:noProof/>
        </w:rPr>
        <w:t>Πρόταση</w:t>
      </w:r>
    </w:p>
    <w:p>
      <w:pPr>
        <w:pStyle w:val="Typedudocument"/>
        <w:rPr>
          <w:noProof/>
        </w:rPr>
      </w:pPr>
      <w:r>
        <w:rPr>
          <w:noProof/>
        </w:rPr>
        <w:t>ΑΠΟΦΑΣΗ ΤΟΥ ΣΥΜΒΟΥΛΙΟΥ</w:t>
      </w:r>
    </w:p>
    <w:p>
      <w:pPr>
        <w:pStyle w:val="Titreobjet"/>
        <w:rPr>
          <w:noProof/>
        </w:rPr>
      </w:pPr>
      <w:r>
        <w:rPr>
          <w:noProof/>
        </w:rPr>
        <w:t>σχετικά με την υπογραφή, εξ ονόματος της Ευρωπαϊκής Ένωσης, και την προσωρινή εφαρμογή του τροποποιητικού πρωτοκόλλου της διεθνούς σύμβασης για τη διατήρηση των θυννοειδών του Ατλαντικού</w:t>
      </w:r>
    </w:p>
    <w:p>
      <w:pPr>
        <w:pStyle w:val="Institutionquiagit"/>
        <w:rPr>
          <w:noProof/>
        </w:rPr>
      </w:pPr>
      <w:r>
        <w:rPr>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43 παράγραφος 2, σε συνδυασμό με το άρθρο 218 παράγραφος 5,</w:t>
      </w:r>
    </w:p>
    <w:p>
      <w:pPr>
        <w:rPr>
          <w:noProof/>
        </w:rPr>
      </w:pPr>
      <w:r>
        <w:rPr>
          <w:noProof/>
        </w:rPr>
        <w:t>Έχοντας υπόψη την πρόταση της Ευρωπαϊκής Επιτροπής,</w:t>
      </w:r>
    </w:p>
    <w:p>
      <w:pPr>
        <w:rPr>
          <w:noProof/>
        </w:rPr>
      </w:pPr>
      <w:r>
        <w:rPr>
          <w:noProof/>
        </w:rPr>
        <w:t>Εκτιμώντας τα ακόλουθα:</w:t>
      </w:r>
    </w:p>
    <w:p>
      <w:pPr>
        <w:pStyle w:val="ManualConsidrant"/>
        <w:rPr>
          <w:noProof/>
        </w:rPr>
      </w:pPr>
      <w:r>
        <w:t>(1)</w:t>
      </w:r>
      <w:r>
        <w:tab/>
      </w:r>
      <w:r>
        <w:rPr>
          <w:noProof/>
        </w:rPr>
        <w:t>Στις 13 Μαΐου 2013, το Συμβούλιο εξουσιοδότησε την Ευρωπαϊκή Επιτροπή να προβεί σε διαπραγματεύσεις σχετικά με τροποποιήσεις της διεθνούς σύμβασης για τη διατήρηση των θυννοειδών του Ατλαντικού (σύμβαση ICCAT)</w:t>
      </w:r>
      <w:r>
        <w:rPr>
          <w:rStyle w:val="FootnoteReference"/>
          <w:noProof/>
        </w:rPr>
        <w:footnoteReference w:id="9"/>
      </w:r>
      <w:r>
        <w:rPr>
          <w:noProof/>
        </w:rPr>
        <w:t xml:space="preserve">. Οι εν λόγω διαπραγματεύσεις ολοκληρώθηκαν επιτυχώς τον Νοέμβριο του 2018. </w:t>
      </w:r>
    </w:p>
    <w:p>
      <w:pPr>
        <w:pStyle w:val="ManualConsidrant"/>
        <w:rPr>
          <w:noProof/>
        </w:rPr>
      </w:pPr>
      <w:r>
        <w:t>(2)</w:t>
      </w:r>
      <w:r>
        <w:tab/>
      </w:r>
      <w:r>
        <w:rPr>
          <w:noProof/>
        </w:rPr>
        <w:t>Το πρωτόκολλο που προέκυψε θα πρέπει να βελτιώσει την αποτελεσματικότητα της ICCAT και να ενισχύσει τη διατήρηση και τη διαχείριση των ειδών που εμπίπτουν στην αρμοδιότητά της.</w:t>
      </w:r>
    </w:p>
    <w:p>
      <w:pPr>
        <w:pStyle w:val="ManualConsidrant"/>
        <w:rPr>
          <w:noProof/>
        </w:rPr>
      </w:pPr>
      <w:r>
        <w:t>(3)</w:t>
      </w:r>
      <w:r>
        <w:tab/>
      </w:r>
      <w:r>
        <w:rPr>
          <w:noProof/>
        </w:rPr>
        <w:t>Ο κανονισμός (EΕ) αριθ. 1380/2013 του Ευρωπαϊκού Κοινοβουλίου και του Συμβουλίου</w:t>
      </w:r>
      <w:r>
        <w:rPr>
          <w:rStyle w:val="FootnoteReference"/>
          <w:noProof/>
        </w:rPr>
        <w:footnoteReference w:id="10"/>
      </w:r>
      <w:r>
        <w:rPr>
          <w:noProof/>
          <w:sz w:val="16"/>
          <w:szCs w:val="16"/>
        </w:rPr>
        <w:t xml:space="preserve"> </w:t>
      </w:r>
      <w:r>
        <w:rPr>
          <w:noProof/>
        </w:rPr>
        <w:t xml:space="preserve">ορίζει ότι η Ένωση πρέπει να διασφαλίζει ότι οι δραστηριότητες αλιείας και υδατοκαλλιέργειας είναι περιβαλλοντικά βιώσιμες μακροπρόθεσμα και ότι υπόκεινται σε διαχείριση με τρόπο που είναι συμβατός με τον στόχο της επίτευξης οικονομικών, κοινωνικών οφελών και οφελών για την απασχόληση, συμβάλλοντας παράλληλα στη διαθεσιμότητα του επισιτιστικού εφοδιασμού. Ορίζει επίσης ότι η Ένωση πρέπει να εφαρμόζει την προληπτική προσέγγιση για τη διαχείριση της αλιείας και να έχει σκοπό να διασφαλίσει ότι η εκμετάλλευση των έμβιων βιολογικών πόρων της θάλασσας αποκαθιστά και διατηρεί τους πληθυσμούς των αλιευόμενων ειδών πάνω από τα επίπεδα εκείνα που μπορούν να εξασφαλίσουν τη μέγιστη βιώσιμη απόδοση. Προβλέπει περαιτέρω ότι η Ένωση πρέπει να λαμβάνει μέτρα διαχείρισης και διατήρησης με βάση τις βέλτιστες διαθέσιμες επιστημονικές γνωμοδοτήσεις, να στηρίζει την ανάπτυξη της επιστημονικής γνώσης και γνωμοδότησης, να καταργεί σταδιακά τις απορρίψεις και να προάγει αλιευτικές μεθόδους που προωθούν επιλεκτικότερες τεχνικές αλιείας και την αποφυγή και τη μείωση, κατά το δυνατόν, των ανεπιθύμητων αλιευμάτων, καθώς επίσης και την αλιεία με χαμηλό αντίκτυπο στο </w:t>
      </w:r>
      <w:r>
        <w:rPr>
          <w:noProof/>
        </w:rPr>
        <w:lastRenderedPageBreak/>
        <w:t>θαλάσσιο οικοσύστημα και στους αλιευτικούς πόρους. Επιπλέον, ο κανονισμός (ΕΕ) αριθ. 1380/2013 ορίζει συγκεκριμένα ότι οι εν λόγω στόχοι και οι αρχές πρέπει να εφαρμόζονται από την Ένωση κατά την άσκηση των εξωτερικών σχέσεών της στον τομέα της αλιείας. Το πρωτόκολλο συνάδει πλήρως με τους στόχους αυτούς.</w:t>
      </w:r>
    </w:p>
    <w:p>
      <w:pPr>
        <w:pStyle w:val="ManualConsidrant"/>
        <w:rPr>
          <w:noProof/>
        </w:rPr>
      </w:pPr>
      <w:r>
        <w:t>(4)</w:t>
      </w:r>
      <w:r>
        <w:tab/>
      </w:r>
      <w:r>
        <w:rPr>
          <w:noProof/>
        </w:rPr>
        <w:t xml:space="preserve">Όπως αναφέρεται στην κοινή ανακοίνωση της ύπατης εκπροσώπου της Ένωσης για θέματα εξωτερικής πολιτικής και πολιτικής ασφαλείας και της Ευρωπαϊκής Επιτροπής, με τίτλο </w:t>
      </w:r>
      <w:r>
        <w:rPr>
          <w:i/>
          <w:noProof/>
        </w:rPr>
        <w:t>Διεθνής διακυβέρνηση των ωκεανών</w:t>
      </w:r>
      <w:r>
        <w:rPr>
          <w:noProof/>
        </w:rPr>
        <w:t>:</w:t>
      </w:r>
      <w:r>
        <w:rPr>
          <w:i/>
          <w:noProof/>
        </w:rPr>
        <w:t xml:space="preserve"> ένα θεματολόγιο για το μέλλον των ωκεανών μας</w:t>
      </w:r>
      <w:r>
        <w:rPr>
          <w:rStyle w:val="FootnoteReference"/>
          <w:noProof/>
        </w:rPr>
        <w:footnoteReference w:id="11"/>
      </w:r>
      <w:r>
        <w:rPr>
          <w:noProof/>
        </w:rPr>
        <w:t>, και στα συμπεράσματα του Συμβουλίου σχετικά με την εν λόγω κοινή ανακοίνωση</w:t>
      </w:r>
      <w:r>
        <w:rPr>
          <w:rStyle w:val="FootnoteReference"/>
          <w:noProof/>
        </w:rPr>
        <w:footnoteReference w:id="12"/>
      </w:r>
      <w:r>
        <w:rPr>
          <w:noProof/>
        </w:rPr>
        <w:t>, η προώθηση μέτρων για την υποστήριξη και την ενίσχυση της αποτελεσματικότητας των περιφερειακών οργανώσεων διαχείρισης της αλιείας (ΠΟΔΑ) και, κατά περίπτωση, για τη βελτίωση της διακυβέρνησής τους βρίσκεται στο επίκεντρο της δράσης της Ένωσης σε αυτά τα φόρουμ. Το πρωτόκολλο συνάδει πλήρως με τους στόχους αυτούς.</w:t>
      </w:r>
    </w:p>
    <w:p>
      <w:pPr>
        <w:pStyle w:val="ManualConsidrant"/>
        <w:rPr>
          <w:noProof/>
        </w:rPr>
      </w:pPr>
      <w:r>
        <w:t>(5)</w:t>
      </w:r>
      <w:r>
        <w:tab/>
      </w:r>
      <w:r>
        <w:rPr>
          <w:noProof/>
        </w:rPr>
        <w:t>Το πρωτόκολλο θα πρέπει να υπογραφεί εξ ονόματος της Ένωσης και να εφαρμοστεί σε προσωρινή βάση, εν αναμονή της ολοκλήρωσης των αναγκαίων διαδικασιών για τη σύναψή του.</w:t>
      </w:r>
    </w:p>
    <w:p>
      <w:pPr>
        <w:pStyle w:val="ManualConsidrant"/>
        <w:rPr>
          <w:noProof/>
        </w:rPr>
      </w:pPr>
      <w:r>
        <w:t>(6)</w:t>
      </w:r>
      <w:r>
        <w:tab/>
      </w:r>
      <w:r>
        <w:rPr>
          <w:noProof/>
        </w:rPr>
        <w:t>Το πρωτόκολλο θα πρέπει να εφαρμοστεί προσωρινά δεδομένης της πιθανότητας να αρχίσει να ισχύει προτού η Ένωση ολοκληρώσει τις εσωτερικές της διαδικασίες επικύρωσης,</w:t>
      </w:r>
    </w:p>
    <w:p>
      <w:pPr>
        <w:pStyle w:val="Formuledadoption"/>
        <w:rPr>
          <w:noProof/>
        </w:rPr>
      </w:pPr>
      <w:r>
        <w:rPr>
          <w:noProof/>
        </w:rPr>
        <w:t xml:space="preserve">ΕΞΕΔΩΣΕ ΤΗΝ ΠΑΡΟΥΣΑ ΑΠΟΦΑΣΗ: </w:t>
      </w:r>
    </w:p>
    <w:p>
      <w:pPr>
        <w:pStyle w:val="Titrearticle"/>
        <w:rPr>
          <w:noProof/>
        </w:rPr>
      </w:pPr>
      <w:r>
        <w:rPr>
          <w:noProof/>
        </w:rPr>
        <w:t>Άρθρο 1</w:t>
      </w:r>
    </w:p>
    <w:p>
      <w:pPr>
        <w:rPr>
          <w:noProof/>
        </w:rPr>
      </w:pPr>
      <w:r>
        <w:rPr>
          <w:noProof/>
        </w:rPr>
        <w:t xml:space="preserve">Η υπογραφή, εξ ονόματος της Ένωσης, του τροποποιητικού πρωτοκόλλου της διεθνούς σύμβασης για τη διατήρηση των θυννοειδών του Ατλαντικού («το πρωτόκολλο») εγκρίνεται με την επιφύλαξη της σύναψης του εν λόγω πρωτοκόλλου. </w:t>
      </w:r>
    </w:p>
    <w:p>
      <w:pPr>
        <w:rPr>
          <w:noProof/>
        </w:rPr>
      </w:pPr>
      <w:r>
        <w:rPr>
          <w:noProof/>
        </w:rPr>
        <w:t>Το κείμενο του προς υπογραφή πρωτοκόλλου επισυνάπτεται στην παρούσα απόφαση.</w:t>
      </w:r>
    </w:p>
    <w:p>
      <w:pPr>
        <w:pStyle w:val="Titrearticle"/>
        <w:keepNext w:val="0"/>
        <w:rPr>
          <w:noProof/>
        </w:rPr>
      </w:pPr>
      <w:r>
        <w:rPr>
          <w:noProof/>
        </w:rPr>
        <w:t>Άρθρο 2</w:t>
      </w:r>
    </w:p>
    <w:p>
      <w:pPr>
        <w:keepLines/>
        <w:rPr>
          <w:noProof/>
        </w:rPr>
      </w:pPr>
      <w:r>
        <w:rPr>
          <w:noProof/>
        </w:rPr>
        <w:t>Η Γενική Γραμματεία του Συμβουλίου καταρτίζει την πράξη εξουσιοδότησης του/των προσώπου/-ων που θα ορίσει ο διαπραγματευτής του πρωτοκόλλου για την υπογραφή του, με την επιφύλαξη της σύναψής του.</w:t>
      </w:r>
    </w:p>
    <w:p>
      <w:pPr>
        <w:pStyle w:val="Titrearticle"/>
        <w:keepNext w:val="0"/>
        <w:rPr>
          <w:noProof/>
        </w:rPr>
      </w:pPr>
      <w:r>
        <w:rPr>
          <w:noProof/>
        </w:rPr>
        <w:t>Άρθρο 3</w:t>
      </w:r>
    </w:p>
    <w:p>
      <w:pPr>
        <w:keepLines/>
        <w:rPr>
          <w:noProof/>
        </w:rPr>
      </w:pPr>
      <w:r>
        <w:rPr>
          <w:noProof/>
        </w:rPr>
        <w:t>Το πρωτόκολλο εφαρμόζεται προσωρινά, σύμφωνα με το άρθρο 13 του πρωτοκόλλου, εν αναμονή της έναρξης ισχύος του.</w:t>
      </w:r>
    </w:p>
    <w:p>
      <w:pPr>
        <w:pStyle w:val="Titrearticle"/>
        <w:rPr>
          <w:noProof/>
        </w:rPr>
      </w:pPr>
      <w:r>
        <w:rPr>
          <w:noProof/>
        </w:rPr>
        <w:lastRenderedPageBreak/>
        <w:t>Άρθρο 4</w:t>
      </w:r>
    </w:p>
    <w:p>
      <w:pPr>
        <w:keepNext/>
        <w:keepLines/>
        <w:rPr>
          <w:noProof/>
        </w:rPr>
      </w:pPr>
      <w:r>
        <w:rPr>
          <w:noProof/>
        </w:rPr>
        <w:t>Η παρούσα απόφαση αρχίζει να ισχύει την ημέρα της έκδοσής της.</w:t>
      </w: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Απόφαση του Συμβουλίου, της 9ης Ιουνίου 1986, για την προσχώρηση της Κοινότητας στη διεθνή σύμβαση για τη διατήρηση των θυννοειδών του Ατλαντικού, όπως τροποποιήθηκε από το πρωτόκολλο που προσαρτάται στην τελική πράξη της διάσκεψης των πληρεξουσίων των συμβαλλομένων στη σύμβαση κρατών, που υπεγράφη στο Παρίσι στις 10 Ιουλίου 1984 (ΕΕ L 162 της 18.6.1986, σ. 33).</w:t>
      </w:r>
    </w:p>
  </w:footnote>
  <w:footnote w:id="2">
    <w:p>
      <w:pPr>
        <w:pStyle w:val="FootnoteText"/>
      </w:pPr>
      <w:r>
        <w:rPr>
          <w:rStyle w:val="FootnoteReference"/>
        </w:rPr>
        <w:footnoteRef/>
      </w:r>
      <w:r>
        <w:tab/>
        <w:t>Απόφαση του Συμβουλίου, της 13ης Μαΐου 2013, με την οποία εξουσιοδοτείται η Επιτροπή να προβεί σε διαπραγματεύσεις εξ ονόματος της Ευρωπαϊκής Ένωσης, σχετικά με τροπολογίες της Διεθνούς σύμβασης για τη διατήρηση των θυννοειδών του Ατλαντικού.</w:t>
      </w:r>
    </w:p>
  </w:footnote>
  <w:footnote w:id="3">
    <w:p>
      <w:pPr>
        <w:pStyle w:val="FootnoteText"/>
      </w:pPr>
      <w:r>
        <w:rPr>
          <w:rStyle w:val="FootnoteReference"/>
        </w:rPr>
        <w:footnoteRef/>
      </w:r>
      <w:r>
        <w:tab/>
        <w:t>COM/99/0613 τελικό.</w:t>
      </w:r>
    </w:p>
  </w:footnote>
  <w:footnote w:id="4">
    <w:p>
      <w:pPr>
        <w:pStyle w:val="FootnoteText"/>
      </w:pPr>
      <w:r>
        <w:rPr>
          <w:rStyle w:val="FootnoteReference"/>
        </w:rPr>
        <w:footnoteRef/>
      </w:r>
      <w:r>
        <w:tab/>
        <w:t>Κανονισμός (EΕ) αριθ. 1380/2013 του Ευρωπαϊκού Κοινοβουλίου και του Συμβουλίου σχετικά με την Κοινή Αλιευτική Πολιτική, την τροποποίηση των κανονισμών του Συμβουλίου (ΕΚ) αριθ. 1954/2003 και (ΕΚ) αριθ. 1224/2009 και την κατάργηση των κανονισμών του Συμβουλίου (ΕΚ) αριθ. 2371/2002 και (ΕΚ) αριθ. 639/2004 και της απόφασης 2004/585/ΕΚ του Συμβουλίου (ΕΕ L 354 της 28.12.2013, σ. 22).</w:t>
      </w:r>
    </w:p>
  </w:footnote>
  <w:footnote w:id="5">
    <w:p>
      <w:pPr>
        <w:pStyle w:val="FootnoteText"/>
        <w:rPr>
          <w:rFonts w:eastAsia="Times New Roman"/>
          <w:lang w:val="en-US"/>
        </w:rPr>
      </w:pPr>
      <w:r>
        <w:rPr>
          <w:rStyle w:val="FootnoteReference"/>
        </w:rPr>
        <w:footnoteRef/>
      </w:r>
      <w:r>
        <w:rPr>
          <w:lang w:val="en-US"/>
        </w:rPr>
        <w:tab/>
        <w:t xml:space="preserve">COM(2011) 424 </w:t>
      </w:r>
      <w:r>
        <w:t>της</w:t>
      </w:r>
      <w:r>
        <w:rPr>
          <w:lang w:val="en-US"/>
        </w:rPr>
        <w:t xml:space="preserve"> 13.7.2011.</w:t>
      </w:r>
    </w:p>
  </w:footnote>
  <w:footnote w:id="6">
    <w:p>
      <w:pPr>
        <w:pStyle w:val="FootnoteText"/>
        <w:rPr>
          <w:lang w:val="en-US"/>
        </w:rPr>
      </w:pPr>
      <w:r>
        <w:rPr>
          <w:rStyle w:val="FootnoteReference"/>
        </w:rPr>
        <w:footnoteRef/>
      </w:r>
      <w:r>
        <w:rPr>
          <w:lang w:val="en-US"/>
        </w:rPr>
        <w:tab/>
        <w:t>JOIN(2016) 49 final.</w:t>
      </w:r>
    </w:p>
  </w:footnote>
  <w:footnote w:id="7">
    <w:p>
      <w:pPr>
        <w:pStyle w:val="FootnoteText"/>
        <w:rPr>
          <w:lang w:val="en-US"/>
        </w:rPr>
      </w:pPr>
      <w:r>
        <w:rPr>
          <w:rStyle w:val="FootnoteReference"/>
        </w:rPr>
        <w:footnoteRef/>
      </w:r>
      <w:r>
        <w:rPr>
          <w:lang w:val="en-US"/>
        </w:rPr>
        <w:tab/>
        <w:t>7348/1/17 REV 1.</w:t>
      </w:r>
    </w:p>
  </w:footnote>
  <w:footnote w:id="8">
    <w:p>
      <w:pPr>
        <w:pStyle w:val="FootnoteText"/>
      </w:pPr>
      <w:r>
        <w:rPr>
          <w:rStyle w:val="FootnoteReference"/>
        </w:rPr>
        <w:footnoteRef/>
      </w:r>
      <w:r>
        <w:tab/>
        <w:t>Κανονισμός (EΕ) αριθ. 1380/2013 του Ευρωπαϊκού Κοινοβουλίου και του Συμβουλίου σχετικά με την Κοινή Αλιευτική Πολιτική, την τροποποίηση των κανονισμών του Συμβουλίου (ΕΚ) αριθ. 1954/2003 και (ΕΚ) αριθ. 1224/2009 και την κατάργηση των κανονισμών του Συμβουλίου (ΕΚ) αριθ. 2371/2002 και (ΕΚ) αριθ. 639/2004 και της απόφασης 2004/585/ΕΚ του Συμβουλίου (ΕΕ L 354 της 28.12.2013, σ. 22).</w:t>
      </w:r>
    </w:p>
  </w:footnote>
  <w:footnote w:id="9">
    <w:p>
      <w:pPr>
        <w:pStyle w:val="FootnoteText"/>
      </w:pPr>
      <w:r>
        <w:rPr>
          <w:rStyle w:val="FootnoteReference"/>
        </w:rPr>
        <w:footnoteRef/>
      </w:r>
      <w:r>
        <w:tab/>
        <w:t>Απόφαση του Συμβουλίου, της 13ης Μαΐου 2013, με την οποία εξουσιοδοτείται η Επιτροπή να προβεί σε διαπραγματεύσεις εξ ονόματος της Ευρωπαϊκής Ένωσης, σχετικά με τροπολογίες της Διεθνούς σύμβασης για τη διατήρηση των θυννοειδών του Ατλαντικού (σύμβαση ICCAT)</w:t>
      </w:r>
    </w:p>
  </w:footnote>
  <w:footnote w:id="10">
    <w:p>
      <w:pPr>
        <w:pStyle w:val="FootnoteText"/>
      </w:pPr>
      <w:r>
        <w:rPr>
          <w:rStyle w:val="FootnoteReference"/>
        </w:rPr>
        <w:footnoteRef/>
      </w:r>
      <w:r>
        <w:tab/>
        <w:t>Κανονισμός (ΕΕ) αριθ. 1380/2013 του Ευρωπαϊκού Κοινοβουλίου και του Συμβουλίου, της 11ης Δεκεμβρίου 2013, σχετικά με την Κοινή Αλιευτική Πολιτική, την τροποποίηση των κανονισμών του Συμβουλίου (ΕΚ) αριθ. 1954/2003 και (ΕΚ) αριθ. 1224/2009 και την κατάργηση των κανονισμών του Συμβουλίου (ΕΚ) αριθ. 2371/2002 και (ΕΚ) αριθ. 639/2004 και της απόφασης 2004/585/ΕΚ του Συμβουλίου (ΕΕ L 354 της 28.12.2013, σ. 22).</w:t>
      </w:r>
    </w:p>
  </w:footnote>
  <w:footnote w:id="11">
    <w:p>
      <w:pPr>
        <w:pStyle w:val="FootnoteText"/>
        <w:rPr>
          <w:lang w:val="en-US"/>
        </w:rPr>
      </w:pPr>
      <w:r>
        <w:rPr>
          <w:rStyle w:val="FootnoteReference"/>
        </w:rPr>
        <w:footnoteRef/>
      </w:r>
      <w:r>
        <w:rPr>
          <w:lang w:val="en-US"/>
        </w:rPr>
        <w:tab/>
        <w:t xml:space="preserve">JOIN(2016) 49 final </w:t>
      </w:r>
      <w:r>
        <w:t>της</w:t>
      </w:r>
      <w:r>
        <w:rPr>
          <w:lang w:val="en-US"/>
        </w:rPr>
        <w:t xml:space="preserve"> 10.11.2016.</w:t>
      </w:r>
    </w:p>
  </w:footnote>
  <w:footnote w:id="12">
    <w:p>
      <w:pPr>
        <w:pStyle w:val="FootnoteText"/>
        <w:rPr>
          <w:lang w:val="en-US"/>
        </w:rPr>
      </w:pPr>
      <w:r>
        <w:rPr>
          <w:rStyle w:val="FootnoteReference"/>
        </w:rPr>
        <w:footnoteRef/>
      </w:r>
      <w:r>
        <w:rPr>
          <w:lang w:val="en-US"/>
        </w:rPr>
        <w:tab/>
        <w:t xml:space="preserve">7348/1/17 REV 1 </w:t>
      </w:r>
      <w:r>
        <w:t>της</w:t>
      </w:r>
      <w:r>
        <w:rPr>
          <w:lang w:val="en-US"/>
        </w:rPr>
        <w:t xml:space="preserve"> 24.3.2017.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8"/>
    <w:lvlOverride w:ilvl="0">
      <w:startOverride w:val="1"/>
    </w:lvlOverride>
  </w:num>
  <w:num w:numId="17">
    <w:abstractNumId w:val="21"/>
  </w:num>
  <w:num w:numId="18">
    <w:abstractNumId w:val="11"/>
  </w:num>
  <w:num w:numId="19">
    <w:abstractNumId w:val="24"/>
  </w:num>
  <w:num w:numId="20">
    <w:abstractNumId w:val="6"/>
  </w:num>
  <w:num w:numId="21">
    <w:abstractNumId w:val="12"/>
  </w:num>
  <w:num w:numId="22">
    <w:abstractNumId w:val="4"/>
  </w:num>
  <w:num w:numId="23">
    <w:abstractNumId w:val="23"/>
  </w:num>
  <w:num w:numId="24">
    <w:abstractNumId w:val="3"/>
  </w:num>
  <w:num w:numId="25">
    <w:abstractNumId w:val="13"/>
  </w:num>
  <w:num w:numId="26">
    <w:abstractNumId w:val="19"/>
  </w:num>
  <w:num w:numId="27">
    <w:abstractNumId w:val="20"/>
  </w:num>
  <w:num w:numId="28">
    <w:abstractNumId w:val="5"/>
  </w:num>
  <w:num w:numId="29">
    <w:abstractNumId w:val="17"/>
  </w:num>
  <w:num w:numId="30">
    <w:abstractNumId w:val="28"/>
  </w:num>
  <w:num w:numId="31">
    <w:abstractNumId w:val="21"/>
  </w:num>
  <w:num w:numId="32">
    <w:abstractNumId w:val="11"/>
  </w:num>
  <w:num w:numId="33">
    <w:abstractNumId w:val="24"/>
  </w:num>
  <w:num w:numId="34">
    <w:abstractNumId w:val="6"/>
  </w:num>
  <w:num w:numId="35">
    <w:abstractNumId w:val="12"/>
  </w:num>
  <w:num w:numId="36">
    <w:abstractNumId w:val="4"/>
  </w:num>
  <w:num w:numId="37">
    <w:abstractNumId w:val="23"/>
  </w:num>
  <w:num w:numId="38">
    <w:abstractNumId w:val="3"/>
  </w:num>
  <w:num w:numId="39">
    <w:abstractNumId w:val="13"/>
  </w:num>
  <w:num w:numId="40">
    <w:abstractNumId w:val="19"/>
  </w:num>
  <w:num w:numId="41">
    <w:abstractNumId w:val="20"/>
  </w:num>
  <w:num w:numId="42">
    <w:abstractNumId w:val="5"/>
  </w:num>
  <w:num w:numId="43">
    <w:abstractNumId w:val="17"/>
  </w:num>
  <w:num w:numId="44">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7 15:57:4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8BB9D32-13FA-4852-B7F9-17B9384E20F3"/>
    <w:docVar w:name="LW_COVERPAGE_TYPE" w:val="1"/>
    <w:docVar w:name="LW_CROSSREFERENCE" w:val="&lt;UNUSED&gt;"/>
    <w:docVar w:name="LW_DocType" w:val="COM"/>
    <w:docVar w:name="LW_EMISSION" w:val="14.10.2019"/>
    <w:docVar w:name="LW_EMISSION_ISODATE" w:val="2019-10-14"/>
    <w:docVar w:name="LW_EMISSION_LOCATION" w:val="BRX"/>
    <w:docVar w:name="LW_EMISSION_PREFIX" w:val="Βρυξέλλες,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223"/>
    <w:docVar w:name="LW_REF.II.NEW.CP_YEAR" w:val="2019"/>
    <w:docVar w:name="LW_REF.INST.NEW" w:val="COM"/>
    <w:docVar w:name="LW_REF.INST.NEW_ADOPTED" w:val="final"/>
    <w:docVar w:name="LW_REF.INST.NEW_TEXT" w:val="(2019) 47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928?\u961?\u972?\u964?\u945?\u963?\u951?"/>
    <w:docVar w:name="LW_SUPERTITRE" w:val="&lt;UNUSED&gt;"/>
    <w:docVar w:name="LW_TITRE.OBJ.CP" w:val="\u963?\u967?\u949?\u964?\u953?\u954?\u940? \u956?\u949? \u964?\u951?\u957? \u965?\u960?\u959?\u947?\u961?\u945?\u966?\u942?, \u949?\u958? \u959?\u957?\u972?\u956?\u945?\u964?\u959?\u962? \u964?\u951?\u962? \u917?\u965?\u961?\u969?\u960?\u945?\u970?\u954?\u942?\u962? \u904?\u957?\u969?\u963?\u951?\u962?, \u954?\u945?\u953? \u964?\u951?\u957? \u960?\u961?\u959?\u963?\u969?\u961?\u953?\u957?\u942? \u949?\u966?\u945?\u961?\u956?\u959?\u947?\u942? \u964?\u959?\u965? \u964?\u961?\u959?\u960?\u959?\u960?\u959?\u953?\u951?\u964?\u953?\u954?\u959?\u973? \u960?\u961?\u969?\u964?\u959?\u954?\u972?\u955?\u955?\u959?\u965? \u964?\u951?\u962? \u948?\u953?\u949?\u952?\u957?\u959?\u973?\u962? \u963?\u973?\u956?\u946?\u945?\u963?\u951?\u962? \u947?\u953?\u945? \u964?\u951? \u948?\u953?\u945?\u964?\u942?\u961?\u951?\u963?\u951? \u964?\u969?\u957? \u952?\u965?\u957?\u957?\u959?\u949?\u953?\u948?\u974?\u957? \u964?\u959?\u965? \u913?\u964?\u955?\u945?\u957?\u964?\u953?\u954?\u959?\u973?"/>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l-GR"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l-GR"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el-GR"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el-GR"/>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el-GR"/>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en-GB"/>
    </w:rPr>
  </w:style>
  <w:style w:type="character" w:customStyle="1" w:styleId="HeaderCoverPageChar">
    <w:name w:val="Header Cover Page Char"/>
    <w:link w:val="HeaderCoverPage"/>
    <w:rPr>
      <w:rFonts w:ascii="Times New Roman" w:eastAsia="Calibri" w:hAnsi="Times New Roman" w:cs="Times New Roman"/>
      <w:sz w:val="24"/>
      <w:lang w:val="el-GR"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10">
    <w:name w:val="text1"/>
    <w:basedOn w:val="Normal"/>
    <w:pPr>
      <w:spacing w:before="100" w:beforeAutospacing="1" w:after="100" w:afterAutospacing="1"/>
      <w:jc w:val="left"/>
    </w:pPr>
    <w:rPr>
      <w:rFonts w:eastAsia="Times New Roman"/>
      <w:szCs w:val="24"/>
      <w:lang w:eastAsia="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l-GR"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l-GR"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el-GR"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el-GR"/>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el-GR"/>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en-GB"/>
    </w:rPr>
  </w:style>
  <w:style w:type="character" w:customStyle="1" w:styleId="HeaderCoverPageChar">
    <w:name w:val="Header Cover Page Char"/>
    <w:link w:val="HeaderCoverPage"/>
    <w:rPr>
      <w:rFonts w:ascii="Times New Roman" w:eastAsia="Calibri" w:hAnsi="Times New Roman" w:cs="Times New Roman"/>
      <w:sz w:val="24"/>
      <w:lang w:val="el-GR"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10">
    <w:name w:val="text1"/>
    <w:basedOn w:val="Normal"/>
    <w:pPr>
      <w:spacing w:before="100" w:beforeAutospacing="1" w:after="100" w:afterAutospacing="1"/>
      <w:jc w:val="left"/>
    </w:pPr>
    <w:rPr>
      <w:rFonts w:eastAsia="Times New Roman"/>
      <w:szCs w:val="24"/>
      <w:lang w:eastAsia="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7721">
      <w:bodyDiv w:val="1"/>
      <w:marLeft w:val="0"/>
      <w:marRight w:val="0"/>
      <w:marTop w:val="0"/>
      <w:marBottom w:val="0"/>
      <w:divBdr>
        <w:top w:val="none" w:sz="0" w:space="0" w:color="auto"/>
        <w:left w:val="none" w:sz="0" w:space="0" w:color="auto"/>
        <w:bottom w:val="none" w:sz="0" w:space="0" w:color="auto"/>
        <w:right w:val="none" w:sz="0" w:space="0" w:color="auto"/>
      </w:divBdr>
      <w:divsChild>
        <w:div w:id="355431119">
          <w:marLeft w:val="0"/>
          <w:marRight w:val="0"/>
          <w:marTop w:val="0"/>
          <w:marBottom w:val="0"/>
          <w:divBdr>
            <w:top w:val="none" w:sz="0" w:space="0" w:color="auto"/>
            <w:left w:val="none" w:sz="0" w:space="0" w:color="auto"/>
            <w:bottom w:val="none" w:sz="0" w:space="0" w:color="auto"/>
            <w:right w:val="none" w:sz="0" w:space="0" w:color="auto"/>
          </w:divBdr>
        </w:div>
        <w:div w:id="280232412">
          <w:marLeft w:val="0"/>
          <w:marRight w:val="0"/>
          <w:marTop w:val="0"/>
          <w:marBottom w:val="0"/>
          <w:divBdr>
            <w:top w:val="none" w:sz="0" w:space="0" w:color="auto"/>
            <w:left w:val="none" w:sz="0" w:space="0" w:color="auto"/>
            <w:bottom w:val="none" w:sz="0" w:space="0" w:color="auto"/>
            <w:right w:val="none" w:sz="0" w:space="0" w:color="auto"/>
          </w:divBdr>
        </w:div>
        <w:div w:id="1762722805">
          <w:marLeft w:val="0"/>
          <w:marRight w:val="0"/>
          <w:marTop w:val="0"/>
          <w:marBottom w:val="0"/>
          <w:divBdr>
            <w:top w:val="none" w:sz="0" w:space="0" w:color="auto"/>
            <w:left w:val="none" w:sz="0" w:space="0" w:color="auto"/>
            <w:bottom w:val="none" w:sz="0" w:space="0" w:color="auto"/>
            <w:right w:val="none" w:sz="0" w:space="0" w:color="auto"/>
          </w:divBdr>
        </w:div>
        <w:div w:id="1305770927">
          <w:marLeft w:val="0"/>
          <w:marRight w:val="0"/>
          <w:marTop w:val="0"/>
          <w:marBottom w:val="0"/>
          <w:divBdr>
            <w:top w:val="none" w:sz="0" w:space="0" w:color="auto"/>
            <w:left w:val="none" w:sz="0" w:space="0" w:color="auto"/>
            <w:bottom w:val="none" w:sz="0" w:space="0" w:color="auto"/>
            <w:right w:val="none" w:sz="0" w:space="0" w:color="auto"/>
          </w:divBdr>
        </w:div>
        <w:div w:id="217018392">
          <w:marLeft w:val="0"/>
          <w:marRight w:val="0"/>
          <w:marTop w:val="0"/>
          <w:marBottom w:val="0"/>
          <w:divBdr>
            <w:top w:val="none" w:sz="0" w:space="0" w:color="auto"/>
            <w:left w:val="none" w:sz="0" w:space="0" w:color="auto"/>
            <w:bottom w:val="none" w:sz="0" w:space="0" w:color="auto"/>
            <w:right w:val="none" w:sz="0" w:space="0" w:color="auto"/>
          </w:divBdr>
        </w:div>
        <w:div w:id="1999991566">
          <w:marLeft w:val="0"/>
          <w:marRight w:val="0"/>
          <w:marTop w:val="0"/>
          <w:marBottom w:val="0"/>
          <w:divBdr>
            <w:top w:val="none" w:sz="0" w:space="0" w:color="auto"/>
            <w:left w:val="none" w:sz="0" w:space="0" w:color="auto"/>
            <w:bottom w:val="none" w:sz="0" w:space="0" w:color="auto"/>
            <w:right w:val="none" w:sz="0" w:space="0" w:color="auto"/>
          </w:divBdr>
        </w:div>
        <w:div w:id="2044478053">
          <w:marLeft w:val="0"/>
          <w:marRight w:val="0"/>
          <w:marTop w:val="0"/>
          <w:marBottom w:val="0"/>
          <w:divBdr>
            <w:top w:val="none" w:sz="0" w:space="0" w:color="auto"/>
            <w:left w:val="none" w:sz="0" w:space="0" w:color="auto"/>
            <w:bottom w:val="none" w:sz="0" w:space="0" w:color="auto"/>
            <w:right w:val="none" w:sz="0" w:space="0" w:color="auto"/>
          </w:divBdr>
        </w:div>
        <w:div w:id="861283573">
          <w:marLeft w:val="0"/>
          <w:marRight w:val="0"/>
          <w:marTop w:val="0"/>
          <w:marBottom w:val="0"/>
          <w:divBdr>
            <w:top w:val="none" w:sz="0" w:space="0" w:color="auto"/>
            <w:left w:val="none" w:sz="0" w:space="0" w:color="auto"/>
            <w:bottom w:val="none" w:sz="0" w:space="0" w:color="auto"/>
            <w:right w:val="none" w:sz="0" w:space="0" w:color="auto"/>
          </w:divBdr>
        </w:div>
        <w:div w:id="1461805374">
          <w:marLeft w:val="0"/>
          <w:marRight w:val="0"/>
          <w:marTop w:val="0"/>
          <w:marBottom w:val="0"/>
          <w:divBdr>
            <w:top w:val="none" w:sz="0" w:space="0" w:color="auto"/>
            <w:left w:val="none" w:sz="0" w:space="0" w:color="auto"/>
            <w:bottom w:val="none" w:sz="0" w:space="0" w:color="auto"/>
            <w:right w:val="none" w:sz="0" w:space="0" w:color="auto"/>
          </w:divBdr>
        </w:div>
        <w:div w:id="784269893">
          <w:marLeft w:val="0"/>
          <w:marRight w:val="0"/>
          <w:marTop w:val="0"/>
          <w:marBottom w:val="0"/>
          <w:divBdr>
            <w:top w:val="none" w:sz="0" w:space="0" w:color="auto"/>
            <w:left w:val="none" w:sz="0" w:space="0" w:color="auto"/>
            <w:bottom w:val="none" w:sz="0" w:space="0" w:color="auto"/>
            <w:right w:val="none" w:sz="0" w:space="0" w:color="auto"/>
          </w:divBdr>
        </w:div>
        <w:div w:id="488639541">
          <w:marLeft w:val="0"/>
          <w:marRight w:val="0"/>
          <w:marTop w:val="0"/>
          <w:marBottom w:val="0"/>
          <w:divBdr>
            <w:top w:val="none" w:sz="0" w:space="0" w:color="auto"/>
            <w:left w:val="none" w:sz="0" w:space="0" w:color="auto"/>
            <w:bottom w:val="none" w:sz="0" w:space="0" w:color="auto"/>
            <w:right w:val="none" w:sz="0" w:space="0" w:color="auto"/>
          </w:divBdr>
        </w:div>
        <w:div w:id="1395471490">
          <w:marLeft w:val="0"/>
          <w:marRight w:val="0"/>
          <w:marTop w:val="0"/>
          <w:marBottom w:val="0"/>
          <w:divBdr>
            <w:top w:val="none" w:sz="0" w:space="0" w:color="auto"/>
            <w:left w:val="none" w:sz="0" w:space="0" w:color="auto"/>
            <w:bottom w:val="none" w:sz="0" w:space="0" w:color="auto"/>
            <w:right w:val="none" w:sz="0" w:space="0" w:color="auto"/>
          </w:divBdr>
        </w:div>
      </w:divsChild>
    </w:div>
    <w:div w:id="149249283">
      <w:bodyDiv w:val="1"/>
      <w:marLeft w:val="0"/>
      <w:marRight w:val="0"/>
      <w:marTop w:val="0"/>
      <w:marBottom w:val="0"/>
      <w:divBdr>
        <w:top w:val="none" w:sz="0" w:space="0" w:color="auto"/>
        <w:left w:val="none" w:sz="0" w:space="0" w:color="auto"/>
        <w:bottom w:val="none" w:sz="0" w:space="0" w:color="auto"/>
        <w:right w:val="none" w:sz="0" w:space="0" w:color="auto"/>
      </w:divBdr>
      <w:divsChild>
        <w:div w:id="992489707">
          <w:marLeft w:val="0"/>
          <w:marRight w:val="0"/>
          <w:marTop w:val="0"/>
          <w:marBottom w:val="0"/>
          <w:divBdr>
            <w:top w:val="none" w:sz="0" w:space="0" w:color="auto"/>
            <w:left w:val="none" w:sz="0" w:space="0" w:color="auto"/>
            <w:bottom w:val="none" w:sz="0" w:space="0" w:color="auto"/>
            <w:right w:val="none" w:sz="0" w:space="0" w:color="auto"/>
          </w:divBdr>
        </w:div>
        <w:div w:id="957874661">
          <w:marLeft w:val="0"/>
          <w:marRight w:val="0"/>
          <w:marTop w:val="0"/>
          <w:marBottom w:val="0"/>
          <w:divBdr>
            <w:top w:val="none" w:sz="0" w:space="0" w:color="auto"/>
            <w:left w:val="none" w:sz="0" w:space="0" w:color="auto"/>
            <w:bottom w:val="none" w:sz="0" w:space="0" w:color="auto"/>
            <w:right w:val="none" w:sz="0" w:space="0" w:color="auto"/>
          </w:divBdr>
        </w:div>
        <w:div w:id="607350161">
          <w:marLeft w:val="0"/>
          <w:marRight w:val="0"/>
          <w:marTop w:val="0"/>
          <w:marBottom w:val="0"/>
          <w:divBdr>
            <w:top w:val="none" w:sz="0" w:space="0" w:color="auto"/>
            <w:left w:val="none" w:sz="0" w:space="0" w:color="auto"/>
            <w:bottom w:val="none" w:sz="0" w:space="0" w:color="auto"/>
            <w:right w:val="none" w:sz="0" w:space="0" w:color="auto"/>
          </w:divBdr>
        </w:div>
      </w:divsChild>
    </w:div>
    <w:div w:id="430050620">
      <w:bodyDiv w:val="1"/>
      <w:marLeft w:val="0"/>
      <w:marRight w:val="0"/>
      <w:marTop w:val="0"/>
      <w:marBottom w:val="0"/>
      <w:divBdr>
        <w:top w:val="none" w:sz="0" w:space="0" w:color="auto"/>
        <w:left w:val="none" w:sz="0" w:space="0" w:color="auto"/>
        <w:bottom w:val="none" w:sz="0" w:space="0" w:color="auto"/>
        <w:right w:val="none" w:sz="0" w:space="0" w:color="auto"/>
      </w:divBdr>
      <w:divsChild>
        <w:div w:id="1612317131">
          <w:marLeft w:val="0"/>
          <w:marRight w:val="0"/>
          <w:marTop w:val="0"/>
          <w:marBottom w:val="0"/>
          <w:divBdr>
            <w:top w:val="none" w:sz="0" w:space="0" w:color="auto"/>
            <w:left w:val="none" w:sz="0" w:space="0" w:color="auto"/>
            <w:bottom w:val="none" w:sz="0" w:space="0" w:color="auto"/>
            <w:right w:val="none" w:sz="0" w:space="0" w:color="auto"/>
          </w:divBdr>
        </w:div>
        <w:div w:id="1567908737">
          <w:marLeft w:val="0"/>
          <w:marRight w:val="0"/>
          <w:marTop w:val="0"/>
          <w:marBottom w:val="0"/>
          <w:divBdr>
            <w:top w:val="none" w:sz="0" w:space="0" w:color="auto"/>
            <w:left w:val="none" w:sz="0" w:space="0" w:color="auto"/>
            <w:bottom w:val="none" w:sz="0" w:space="0" w:color="auto"/>
            <w:right w:val="none" w:sz="0" w:space="0" w:color="auto"/>
          </w:divBdr>
        </w:div>
        <w:div w:id="1845899598">
          <w:marLeft w:val="0"/>
          <w:marRight w:val="0"/>
          <w:marTop w:val="0"/>
          <w:marBottom w:val="0"/>
          <w:divBdr>
            <w:top w:val="none" w:sz="0" w:space="0" w:color="auto"/>
            <w:left w:val="none" w:sz="0" w:space="0" w:color="auto"/>
            <w:bottom w:val="none" w:sz="0" w:space="0" w:color="auto"/>
            <w:right w:val="none" w:sz="0" w:space="0" w:color="auto"/>
          </w:divBdr>
        </w:div>
        <w:div w:id="369644660">
          <w:marLeft w:val="0"/>
          <w:marRight w:val="0"/>
          <w:marTop w:val="0"/>
          <w:marBottom w:val="0"/>
          <w:divBdr>
            <w:top w:val="none" w:sz="0" w:space="0" w:color="auto"/>
            <w:left w:val="none" w:sz="0" w:space="0" w:color="auto"/>
            <w:bottom w:val="none" w:sz="0" w:space="0" w:color="auto"/>
            <w:right w:val="none" w:sz="0" w:space="0" w:color="auto"/>
          </w:divBdr>
        </w:div>
        <w:div w:id="23749061">
          <w:marLeft w:val="0"/>
          <w:marRight w:val="0"/>
          <w:marTop w:val="0"/>
          <w:marBottom w:val="0"/>
          <w:divBdr>
            <w:top w:val="none" w:sz="0" w:space="0" w:color="auto"/>
            <w:left w:val="none" w:sz="0" w:space="0" w:color="auto"/>
            <w:bottom w:val="none" w:sz="0" w:space="0" w:color="auto"/>
            <w:right w:val="none" w:sz="0" w:space="0" w:color="auto"/>
          </w:divBdr>
        </w:div>
        <w:div w:id="1993175419">
          <w:marLeft w:val="0"/>
          <w:marRight w:val="0"/>
          <w:marTop w:val="0"/>
          <w:marBottom w:val="0"/>
          <w:divBdr>
            <w:top w:val="none" w:sz="0" w:space="0" w:color="auto"/>
            <w:left w:val="none" w:sz="0" w:space="0" w:color="auto"/>
            <w:bottom w:val="none" w:sz="0" w:space="0" w:color="auto"/>
            <w:right w:val="none" w:sz="0" w:space="0" w:color="auto"/>
          </w:divBdr>
        </w:div>
        <w:div w:id="888759268">
          <w:marLeft w:val="0"/>
          <w:marRight w:val="0"/>
          <w:marTop w:val="0"/>
          <w:marBottom w:val="0"/>
          <w:divBdr>
            <w:top w:val="none" w:sz="0" w:space="0" w:color="auto"/>
            <w:left w:val="none" w:sz="0" w:space="0" w:color="auto"/>
            <w:bottom w:val="none" w:sz="0" w:space="0" w:color="auto"/>
            <w:right w:val="none" w:sz="0" w:space="0" w:color="auto"/>
          </w:divBdr>
        </w:div>
        <w:div w:id="1192763818">
          <w:marLeft w:val="0"/>
          <w:marRight w:val="0"/>
          <w:marTop w:val="0"/>
          <w:marBottom w:val="0"/>
          <w:divBdr>
            <w:top w:val="none" w:sz="0" w:space="0" w:color="auto"/>
            <w:left w:val="none" w:sz="0" w:space="0" w:color="auto"/>
            <w:bottom w:val="none" w:sz="0" w:space="0" w:color="auto"/>
            <w:right w:val="none" w:sz="0" w:space="0" w:color="auto"/>
          </w:divBdr>
        </w:div>
        <w:div w:id="421146895">
          <w:marLeft w:val="0"/>
          <w:marRight w:val="0"/>
          <w:marTop w:val="0"/>
          <w:marBottom w:val="0"/>
          <w:divBdr>
            <w:top w:val="none" w:sz="0" w:space="0" w:color="auto"/>
            <w:left w:val="none" w:sz="0" w:space="0" w:color="auto"/>
            <w:bottom w:val="none" w:sz="0" w:space="0" w:color="auto"/>
            <w:right w:val="none" w:sz="0" w:space="0" w:color="auto"/>
          </w:divBdr>
        </w:div>
        <w:div w:id="865098418">
          <w:marLeft w:val="0"/>
          <w:marRight w:val="0"/>
          <w:marTop w:val="0"/>
          <w:marBottom w:val="0"/>
          <w:divBdr>
            <w:top w:val="none" w:sz="0" w:space="0" w:color="auto"/>
            <w:left w:val="none" w:sz="0" w:space="0" w:color="auto"/>
            <w:bottom w:val="none" w:sz="0" w:space="0" w:color="auto"/>
            <w:right w:val="none" w:sz="0" w:space="0" w:color="auto"/>
          </w:divBdr>
        </w:div>
        <w:div w:id="42340219">
          <w:marLeft w:val="0"/>
          <w:marRight w:val="0"/>
          <w:marTop w:val="0"/>
          <w:marBottom w:val="0"/>
          <w:divBdr>
            <w:top w:val="none" w:sz="0" w:space="0" w:color="auto"/>
            <w:left w:val="none" w:sz="0" w:space="0" w:color="auto"/>
            <w:bottom w:val="none" w:sz="0" w:space="0" w:color="auto"/>
            <w:right w:val="none" w:sz="0" w:space="0" w:color="auto"/>
          </w:divBdr>
        </w:div>
        <w:div w:id="1880314007">
          <w:marLeft w:val="0"/>
          <w:marRight w:val="0"/>
          <w:marTop w:val="0"/>
          <w:marBottom w:val="0"/>
          <w:divBdr>
            <w:top w:val="none" w:sz="0" w:space="0" w:color="auto"/>
            <w:left w:val="none" w:sz="0" w:space="0" w:color="auto"/>
            <w:bottom w:val="none" w:sz="0" w:space="0" w:color="auto"/>
            <w:right w:val="none" w:sz="0" w:space="0" w:color="auto"/>
          </w:divBdr>
        </w:div>
        <w:div w:id="1447390325">
          <w:marLeft w:val="0"/>
          <w:marRight w:val="0"/>
          <w:marTop w:val="0"/>
          <w:marBottom w:val="0"/>
          <w:divBdr>
            <w:top w:val="none" w:sz="0" w:space="0" w:color="auto"/>
            <w:left w:val="none" w:sz="0" w:space="0" w:color="auto"/>
            <w:bottom w:val="none" w:sz="0" w:space="0" w:color="auto"/>
            <w:right w:val="none" w:sz="0" w:space="0" w:color="auto"/>
          </w:divBdr>
        </w:div>
        <w:div w:id="1817069863">
          <w:marLeft w:val="0"/>
          <w:marRight w:val="0"/>
          <w:marTop w:val="0"/>
          <w:marBottom w:val="0"/>
          <w:divBdr>
            <w:top w:val="none" w:sz="0" w:space="0" w:color="auto"/>
            <w:left w:val="none" w:sz="0" w:space="0" w:color="auto"/>
            <w:bottom w:val="none" w:sz="0" w:space="0" w:color="auto"/>
            <w:right w:val="none" w:sz="0" w:space="0" w:color="auto"/>
          </w:divBdr>
        </w:div>
        <w:div w:id="33963449">
          <w:marLeft w:val="0"/>
          <w:marRight w:val="0"/>
          <w:marTop w:val="0"/>
          <w:marBottom w:val="0"/>
          <w:divBdr>
            <w:top w:val="none" w:sz="0" w:space="0" w:color="auto"/>
            <w:left w:val="none" w:sz="0" w:space="0" w:color="auto"/>
            <w:bottom w:val="none" w:sz="0" w:space="0" w:color="auto"/>
            <w:right w:val="none" w:sz="0" w:space="0" w:color="auto"/>
          </w:divBdr>
        </w:div>
        <w:div w:id="1781293463">
          <w:marLeft w:val="0"/>
          <w:marRight w:val="0"/>
          <w:marTop w:val="0"/>
          <w:marBottom w:val="0"/>
          <w:divBdr>
            <w:top w:val="none" w:sz="0" w:space="0" w:color="auto"/>
            <w:left w:val="none" w:sz="0" w:space="0" w:color="auto"/>
            <w:bottom w:val="none" w:sz="0" w:space="0" w:color="auto"/>
            <w:right w:val="none" w:sz="0" w:space="0" w:color="auto"/>
          </w:divBdr>
        </w:div>
        <w:div w:id="1971354863">
          <w:marLeft w:val="0"/>
          <w:marRight w:val="0"/>
          <w:marTop w:val="0"/>
          <w:marBottom w:val="0"/>
          <w:divBdr>
            <w:top w:val="none" w:sz="0" w:space="0" w:color="auto"/>
            <w:left w:val="none" w:sz="0" w:space="0" w:color="auto"/>
            <w:bottom w:val="none" w:sz="0" w:space="0" w:color="auto"/>
            <w:right w:val="none" w:sz="0" w:space="0" w:color="auto"/>
          </w:divBdr>
        </w:div>
        <w:div w:id="49691422">
          <w:marLeft w:val="0"/>
          <w:marRight w:val="0"/>
          <w:marTop w:val="0"/>
          <w:marBottom w:val="0"/>
          <w:divBdr>
            <w:top w:val="none" w:sz="0" w:space="0" w:color="auto"/>
            <w:left w:val="none" w:sz="0" w:space="0" w:color="auto"/>
            <w:bottom w:val="none" w:sz="0" w:space="0" w:color="auto"/>
            <w:right w:val="none" w:sz="0" w:space="0" w:color="auto"/>
          </w:divBdr>
        </w:div>
        <w:div w:id="373500908">
          <w:marLeft w:val="0"/>
          <w:marRight w:val="0"/>
          <w:marTop w:val="0"/>
          <w:marBottom w:val="0"/>
          <w:divBdr>
            <w:top w:val="none" w:sz="0" w:space="0" w:color="auto"/>
            <w:left w:val="none" w:sz="0" w:space="0" w:color="auto"/>
            <w:bottom w:val="none" w:sz="0" w:space="0" w:color="auto"/>
            <w:right w:val="none" w:sz="0" w:space="0" w:color="auto"/>
          </w:divBdr>
        </w:div>
        <w:div w:id="239338001">
          <w:marLeft w:val="0"/>
          <w:marRight w:val="0"/>
          <w:marTop w:val="0"/>
          <w:marBottom w:val="0"/>
          <w:divBdr>
            <w:top w:val="none" w:sz="0" w:space="0" w:color="auto"/>
            <w:left w:val="none" w:sz="0" w:space="0" w:color="auto"/>
            <w:bottom w:val="none" w:sz="0" w:space="0" w:color="auto"/>
            <w:right w:val="none" w:sz="0" w:space="0" w:color="auto"/>
          </w:divBdr>
        </w:div>
        <w:div w:id="1573006990">
          <w:marLeft w:val="0"/>
          <w:marRight w:val="0"/>
          <w:marTop w:val="0"/>
          <w:marBottom w:val="0"/>
          <w:divBdr>
            <w:top w:val="none" w:sz="0" w:space="0" w:color="auto"/>
            <w:left w:val="none" w:sz="0" w:space="0" w:color="auto"/>
            <w:bottom w:val="none" w:sz="0" w:space="0" w:color="auto"/>
            <w:right w:val="none" w:sz="0" w:space="0" w:color="auto"/>
          </w:divBdr>
        </w:div>
      </w:divsChild>
    </w:div>
    <w:div w:id="820929226">
      <w:bodyDiv w:val="1"/>
      <w:marLeft w:val="0"/>
      <w:marRight w:val="0"/>
      <w:marTop w:val="0"/>
      <w:marBottom w:val="0"/>
      <w:divBdr>
        <w:top w:val="none" w:sz="0" w:space="0" w:color="auto"/>
        <w:left w:val="none" w:sz="0" w:space="0" w:color="auto"/>
        <w:bottom w:val="none" w:sz="0" w:space="0" w:color="auto"/>
        <w:right w:val="none" w:sz="0" w:space="0" w:color="auto"/>
      </w:divBdr>
      <w:divsChild>
        <w:div w:id="436410381">
          <w:marLeft w:val="0"/>
          <w:marRight w:val="0"/>
          <w:marTop w:val="0"/>
          <w:marBottom w:val="0"/>
          <w:divBdr>
            <w:top w:val="none" w:sz="0" w:space="0" w:color="auto"/>
            <w:left w:val="none" w:sz="0" w:space="0" w:color="auto"/>
            <w:bottom w:val="none" w:sz="0" w:space="0" w:color="auto"/>
            <w:right w:val="none" w:sz="0" w:space="0" w:color="auto"/>
          </w:divBdr>
        </w:div>
        <w:div w:id="1239096386">
          <w:marLeft w:val="0"/>
          <w:marRight w:val="0"/>
          <w:marTop w:val="0"/>
          <w:marBottom w:val="0"/>
          <w:divBdr>
            <w:top w:val="none" w:sz="0" w:space="0" w:color="auto"/>
            <w:left w:val="none" w:sz="0" w:space="0" w:color="auto"/>
            <w:bottom w:val="none" w:sz="0" w:space="0" w:color="auto"/>
            <w:right w:val="none" w:sz="0" w:space="0" w:color="auto"/>
          </w:divBdr>
        </w:div>
      </w:divsChild>
    </w:div>
    <w:div w:id="855848601">
      <w:bodyDiv w:val="1"/>
      <w:marLeft w:val="0"/>
      <w:marRight w:val="0"/>
      <w:marTop w:val="0"/>
      <w:marBottom w:val="0"/>
      <w:divBdr>
        <w:top w:val="none" w:sz="0" w:space="0" w:color="auto"/>
        <w:left w:val="none" w:sz="0" w:space="0" w:color="auto"/>
        <w:bottom w:val="none" w:sz="0" w:space="0" w:color="auto"/>
        <w:right w:val="none" w:sz="0" w:space="0" w:color="auto"/>
      </w:divBdr>
      <w:divsChild>
        <w:div w:id="753166962">
          <w:marLeft w:val="0"/>
          <w:marRight w:val="0"/>
          <w:marTop w:val="0"/>
          <w:marBottom w:val="0"/>
          <w:divBdr>
            <w:top w:val="none" w:sz="0" w:space="0" w:color="auto"/>
            <w:left w:val="none" w:sz="0" w:space="0" w:color="auto"/>
            <w:bottom w:val="none" w:sz="0" w:space="0" w:color="auto"/>
            <w:right w:val="none" w:sz="0" w:space="0" w:color="auto"/>
          </w:divBdr>
        </w:div>
        <w:div w:id="742484477">
          <w:marLeft w:val="0"/>
          <w:marRight w:val="0"/>
          <w:marTop w:val="0"/>
          <w:marBottom w:val="0"/>
          <w:divBdr>
            <w:top w:val="none" w:sz="0" w:space="0" w:color="auto"/>
            <w:left w:val="none" w:sz="0" w:space="0" w:color="auto"/>
            <w:bottom w:val="none" w:sz="0" w:space="0" w:color="auto"/>
            <w:right w:val="none" w:sz="0" w:space="0" w:color="auto"/>
          </w:divBdr>
        </w:div>
      </w:divsChild>
    </w:div>
    <w:div w:id="1283266667">
      <w:bodyDiv w:val="1"/>
      <w:marLeft w:val="0"/>
      <w:marRight w:val="0"/>
      <w:marTop w:val="0"/>
      <w:marBottom w:val="0"/>
      <w:divBdr>
        <w:top w:val="none" w:sz="0" w:space="0" w:color="auto"/>
        <w:left w:val="none" w:sz="0" w:space="0" w:color="auto"/>
        <w:bottom w:val="none" w:sz="0" w:space="0" w:color="auto"/>
        <w:right w:val="none" w:sz="0" w:space="0" w:color="auto"/>
      </w:divBdr>
      <w:divsChild>
        <w:div w:id="2136480947">
          <w:marLeft w:val="0"/>
          <w:marRight w:val="0"/>
          <w:marTop w:val="0"/>
          <w:marBottom w:val="0"/>
          <w:divBdr>
            <w:top w:val="none" w:sz="0" w:space="0" w:color="auto"/>
            <w:left w:val="none" w:sz="0" w:space="0" w:color="auto"/>
            <w:bottom w:val="none" w:sz="0" w:space="0" w:color="auto"/>
            <w:right w:val="none" w:sz="0" w:space="0" w:color="auto"/>
          </w:divBdr>
        </w:div>
        <w:div w:id="160505358">
          <w:marLeft w:val="0"/>
          <w:marRight w:val="0"/>
          <w:marTop w:val="0"/>
          <w:marBottom w:val="0"/>
          <w:divBdr>
            <w:top w:val="none" w:sz="0" w:space="0" w:color="auto"/>
            <w:left w:val="none" w:sz="0" w:space="0" w:color="auto"/>
            <w:bottom w:val="none" w:sz="0" w:space="0" w:color="auto"/>
            <w:right w:val="none" w:sz="0" w:space="0" w:color="auto"/>
          </w:divBdr>
        </w:div>
        <w:div w:id="274602328">
          <w:marLeft w:val="0"/>
          <w:marRight w:val="0"/>
          <w:marTop w:val="0"/>
          <w:marBottom w:val="0"/>
          <w:divBdr>
            <w:top w:val="none" w:sz="0" w:space="0" w:color="auto"/>
            <w:left w:val="none" w:sz="0" w:space="0" w:color="auto"/>
            <w:bottom w:val="none" w:sz="0" w:space="0" w:color="auto"/>
            <w:right w:val="none" w:sz="0" w:space="0" w:color="auto"/>
          </w:divBdr>
        </w:div>
      </w:divsChild>
    </w:div>
    <w:div w:id="1449356487">
      <w:bodyDiv w:val="1"/>
      <w:marLeft w:val="0"/>
      <w:marRight w:val="0"/>
      <w:marTop w:val="0"/>
      <w:marBottom w:val="0"/>
      <w:divBdr>
        <w:top w:val="none" w:sz="0" w:space="0" w:color="auto"/>
        <w:left w:val="none" w:sz="0" w:space="0" w:color="auto"/>
        <w:bottom w:val="none" w:sz="0" w:space="0" w:color="auto"/>
        <w:right w:val="none" w:sz="0" w:space="0" w:color="auto"/>
      </w:divBdr>
      <w:divsChild>
        <w:div w:id="674918157">
          <w:marLeft w:val="0"/>
          <w:marRight w:val="0"/>
          <w:marTop w:val="0"/>
          <w:marBottom w:val="0"/>
          <w:divBdr>
            <w:top w:val="none" w:sz="0" w:space="0" w:color="auto"/>
            <w:left w:val="none" w:sz="0" w:space="0" w:color="auto"/>
            <w:bottom w:val="none" w:sz="0" w:space="0" w:color="auto"/>
            <w:right w:val="none" w:sz="0" w:space="0" w:color="auto"/>
          </w:divBdr>
        </w:div>
        <w:div w:id="1835030161">
          <w:marLeft w:val="0"/>
          <w:marRight w:val="0"/>
          <w:marTop w:val="0"/>
          <w:marBottom w:val="0"/>
          <w:divBdr>
            <w:top w:val="none" w:sz="0" w:space="0" w:color="auto"/>
            <w:left w:val="none" w:sz="0" w:space="0" w:color="auto"/>
            <w:bottom w:val="none" w:sz="0" w:space="0" w:color="auto"/>
            <w:right w:val="none" w:sz="0" w:space="0" w:color="auto"/>
          </w:divBdr>
        </w:div>
        <w:div w:id="613445890">
          <w:marLeft w:val="0"/>
          <w:marRight w:val="0"/>
          <w:marTop w:val="0"/>
          <w:marBottom w:val="0"/>
          <w:divBdr>
            <w:top w:val="none" w:sz="0" w:space="0" w:color="auto"/>
            <w:left w:val="none" w:sz="0" w:space="0" w:color="auto"/>
            <w:bottom w:val="none" w:sz="0" w:space="0" w:color="auto"/>
            <w:right w:val="none" w:sz="0" w:space="0" w:color="auto"/>
          </w:divBdr>
        </w:div>
        <w:div w:id="2132549850">
          <w:marLeft w:val="0"/>
          <w:marRight w:val="0"/>
          <w:marTop w:val="0"/>
          <w:marBottom w:val="0"/>
          <w:divBdr>
            <w:top w:val="none" w:sz="0" w:space="0" w:color="auto"/>
            <w:left w:val="none" w:sz="0" w:space="0" w:color="auto"/>
            <w:bottom w:val="none" w:sz="0" w:space="0" w:color="auto"/>
            <w:right w:val="none" w:sz="0" w:space="0" w:color="auto"/>
          </w:divBdr>
        </w:div>
        <w:div w:id="1501505778">
          <w:marLeft w:val="0"/>
          <w:marRight w:val="0"/>
          <w:marTop w:val="0"/>
          <w:marBottom w:val="0"/>
          <w:divBdr>
            <w:top w:val="none" w:sz="0" w:space="0" w:color="auto"/>
            <w:left w:val="none" w:sz="0" w:space="0" w:color="auto"/>
            <w:bottom w:val="none" w:sz="0" w:space="0" w:color="auto"/>
            <w:right w:val="none" w:sz="0" w:space="0" w:color="auto"/>
          </w:divBdr>
        </w:div>
      </w:divsChild>
    </w:div>
    <w:div w:id="1878659805">
      <w:bodyDiv w:val="1"/>
      <w:marLeft w:val="0"/>
      <w:marRight w:val="0"/>
      <w:marTop w:val="0"/>
      <w:marBottom w:val="0"/>
      <w:divBdr>
        <w:top w:val="none" w:sz="0" w:space="0" w:color="auto"/>
        <w:left w:val="none" w:sz="0" w:space="0" w:color="auto"/>
        <w:bottom w:val="none" w:sz="0" w:space="0" w:color="auto"/>
        <w:right w:val="none" w:sz="0" w:space="0" w:color="auto"/>
      </w:divBdr>
      <w:divsChild>
        <w:div w:id="1151478988">
          <w:marLeft w:val="0"/>
          <w:marRight w:val="0"/>
          <w:marTop w:val="0"/>
          <w:marBottom w:val="0"/>
          <w:divBdr>
            <w:top w:val="none" w:sz="0" w:space="0" w:color="auto"/>
            <w:left w:val="none" w:sz="0" w:space="0" w:color="auto"/>
            <w:bottom w:val="none" w:sz="0" w:space="0" w:color="auto"/>
            <w:right w:val="none" w:sz="0" w:space="0" w:color="auto"/>
          </w:divBdr>
        </w:div>
        <w:div w:id="619144393">
          <w:marLeft w:val="0"/>
          <w:marRight w:val="0"/>
          <w:marTop w:val="0"/>
          <w:marBottom w:val="0"/>
          <w:divBdr>
            <w:top w:val="none" w:sz="0" w:space="0" w:color="auto"/>
            <w:left w:val="none" w:sz="0" w:space="0" w:color="auto"/>
            <w:bottom w:val="none" w:sz="0" w:space="0" w:color="auto"/>
            <w:right w:val="none" w:sz="0" w:space="0" w:color="auto"/>
          </w:divBdr>
        </w:div>
        <w:div w:id="156389997">
          <w:marLeft w:val="0"/>
          <w:marRight w:val="0"/>
          <w:marTop w:val="0"/>
          <w:marBottom w:val="0"/>
          <w:divBdr>
            <w:top w:val="none" w:sz="0" w:space="0" w:color="auto"/>
            <w:left w:val="none" w:sz="0" w:space="0" w:color="auto"/>
            <w:bottom w:val="none" w:sz="0" w:space="0" w:color="auto"/>
            <w:right w:val="none" w:sz="0" w:space="0" w:color="auto"/>
          </w:divBdr>
        </w:div>
        <w:div w:id="1207334192">
          <w:marLeft w:val="0"/>
          <w:marRight w:val="0"/>
          <w:marTop w:val="0"/>
          <w:marBottom w:val="0"/>
          <w:divBdr>
            <w:top w:val="none" w:sz="0" w:space="0" w:color="auto"/>
            <w:left w:val="none" w:sz="0" w:space="0" w:color="auto"/>
            <w:bottom w:val="none" w:sz="0" w:space="0" w:color="auto"/>
            <w:right w:val="none" w:sz="0" w:space="0" w:color="auto"/>
          </w:divBdr>
        </w:div>
        <w:div w:id="1738630665">
          <w:marLeft w:val="0"/>
          <w:marRight w:val="0"/>
          <w:marTop w:val="0"/>
          <w:marBottom w:val="0"/>
          <w:divBdr>
            <w:top w:val="none" w:sz="0" w:space="0" w:color="auto"/>
            <w:left w:val="none" w:sz="0" w:space="0" w:color="auto"/>
            <w:bottom w:val="none" w:sz="0" w:space="0" w:color="auto"/>
            <w:right w:val="none" w:sz="0" w:space="0" w:color="auto"/>
          </w:divBdr>
        </w:div>
        <w:div w:id="454452191">
          <w:marLeft w:val="0"/>
          <w:marRight w:val="0"/>
          <w:marTop w:val="0"/>
          <w:marBottom w:val="0"/>
          <w:divBdr>
            <w:top w:val="none" w:sz="0" w:space="0" w:color="auto"/>
            <w:left w:val="none" w:sz="0" w:space="0" w:color="auto"/>
            <w:bottom w:val="none" w:sz="0" w:space="0" w:color="auto"/>
            <w:right w:val="none" w:sz="0" w:space="0" w:color="auto"/>
          </w:divBdr>
        </w:div>
        <w:div w:id="25180958">
          <w:marLeft w:val="0"/>
          <w:marRight w:val="0"/>
          <w:marTop w:val="0"/>
          <w:marBottom w:val="0"/>
          <w:divBdr>
            <w:top w:val="none" w:sz="0" w:space="0" w:color="auto"/>
            <w:left w:val="none" w:sz="0" w:space="0" w:color="auto"/>
            <w:bottom w:val="none" w:sz="0" w:space="0" w:color="auto"/>
            <w:right w:val="none" w:sz="0" w:space="0" w:color="auto"/>
          </w:divBdr>
        </w:div>
        <w:div w:id="202864402">
          <w:marLeft w:val="0"/>
          <w:marRight w:val="0"/>
          <w:marTop w:val="0"/>
          <w:marBottom w:val="0"/>
          <w:divBdr>
            <w:top w:val="none" w:sz="0" w:space="0" w:color="auto"/>
            <w:left w:val="none" w:sz="0" w:space="0" w:color="auto"/>
            <w:bottom w:val="none" w:sz="0" w:space="0" w:color="auto"/>
            <w:right w:val="none" w:sz="0" w:space="0" w:color="auto"/>
          </w:divBdr>
        </w:div>
        <w:div w:id="284194947">
          <w:marLeft w:val="0"/>
          <w:marRight w:val="0"/>
          <w:marTop w:val="0"/>
          <w:marBottom w:val="0"/>
          <w:divBdr>
            <w:top w:val="none" w:sz="0" w:space="0" w:color="auto"/>
            <w:left w:val="none" w:sz="0" w:space="0" w:color="auto"/>
            <w:bottom w:val="none" w:sz="0" w:space="0" w:color="auto"/>
            <w:right w:val="none" w:sz="0" w:space="0" w:color="auto"/>
          </w:divBdr>
        </w:div>
        <w:div w:id="1522355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92851DD-7520-4B84-B6AB-89E3241DC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9</Pages>
  <Words>2103</Words>
  <Characters>12328</Characters>
  <Application>Microsoft Office Word</Application>
  <DocSecurity>0</DocSecurity>
  <Lines>232</Lines>
  <Paragraphs>100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2019-09-23T11:29:00Z</dcterms:created>
  <dcterms:modified xsi:type="dcterms:W3CDTF">2019-10-07T13:57:00Z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