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C1D456-5120-40D2-8D3D-0B405F59BBD8" style="width:450.3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spacing w:before="0" w:after="240"/>
        <w:rPr>
          <w:rFonts w:eastAsia="Arial Unicode MS"/>
          <w:noProof/>
        </w:rPr>
      </w:pPr>
      <w:r>
        <w:rPr>
          <w:noProof/>
        </w:rPr>
        <w:t>Internationella konventionen för bevarande av tonfisk i Atlanten (</w:t>
      </w:r>
      <w:r>
        <w:rPr>
          <w:i/>
          <w:noProof/>
        </w:rPr>
        <w:t>Iccat-konventionen</w:t>
      </w:r>
      <w:r>
        <w:rPr>
          <w:noProof/>
        </w:rPr>
        <w:t>) har, genom inrättandet av Iccat, till syfte att främja samarbete i syfte att bevara populationerna av tonfisk och tonfiskliknande fisk i Atlanten på sådana nivåer som ger utrymme för största möjliga hållbara fångst i livsmedelshänseende och för andra ändamål. Konventionen trädde i kraft den 21 mars 1969. Unionen är part i konventionen genom att ha godkänt den i enlighet med rådets beslut av den 9 juni 1986</w:t>
      </w:r>
      <w:r>
        <w:rPr>
          <w:rStyle w:val="FootnoteReference"/>
          <w:noProof/>
        </w:rPr>
        <w:footnoteReference w:id="1"/>
      </w:r>
      <w:r>
        <w:rPr>
          <w:noProof/>
        </w:rPr>
        <w:t>.</w:t>
      </w:r>
    </w:p>
    <w:p>
      <w:pPr>
        <w:spacing w:before="0" w:after="240"/>
        <w:rPr>
          <w:rFonts w:eastAsia="Arial Unicode MS"/>
          <w:noProof/>
        </w:rPr>
      </w:pPr>
      <w:r>
        <w:rPr>
          <w:noProof/>
        </w:rPr>
        <w:t>Internationella kommissionen för bevarande av tonfisk i Atlanten (</w:t>
      </w:r>
      <w:r>
        <w:rPr>
          <w:i/>
          <w:iCs/>
          <w:noProof/>
        </w:rPr>
        <w:t>Iccat-kommissionen</w:t>
      </w:r>
      <w:r>
        <w:rPr>
          <w:noProof/>
        </w:rPr>
        <w:t xml:space="preserve">) är det organ som upprättats genom Iccat-konventionen för bevarande och förvaltning av arter som hör till dess kompetensområde. Iccat-kommissionen har befogenhet att anta rekommendationer som är bindande för de fördragsslutande parterna. Som fördragsslutande part i Iccat-konventionen är unionen ledamot av Iccat-kommissionen där den har deltaganderätt och rösträtt. </w:t>
      </w:r>
    </w:p>
    <w:p>
      <w:pPr>
        <w:spacing w:before="0" w:after="240"/>
        <w:rPr>
          <w:rFonts w:eastAsia="Arial Unicode MS"/>
          <w:noProof/>
        </w:rPr>
      </w:pPr>
      <w:r>
        <w:rPr>
          <w:noProof/>
        </w:rPr>
        <w:t>För att bli effektivare och stärka bevarandet och förvaltningen av arter som hör till dess kompetensområde har Iccat-kommissionen samtyckt till behovet av att ändra konventionen. Den 13 maj 2013 bemyndigade rådet kommissionen att på Europeiska unionens vägnar förhandla om ändringar av konventionen</w:t>
      </w:r>
      <w:r>
        <w:rPr>
          <w:rStyle w:val="FootnoteReference"/>
          <w:noProof/>
        </w:rPr>
        <w:footnoteReference w:id="2"/>
      </w:r>
      <w:r>
        <w:rPr>
          <w:noProof/>
        </w:rPr>
        <w:t xml:space="preserve">. </w:t>
      </w:r>
    </w:p>
    <w:p>
      <w:pPr>
        <w:spacing w:before="0" w:after="240"/>
        <w:rPr>
          <w:rFonts w:eastAsia="Arial Unicode MS"/>
          <w:noProof/>
        </w:rPr>
      </w:pPr>
      <w:r>
        <w:rPr>
          <w:noProof/>
        </w:rPr>
        <w:t>Från 2013 till 2018 har det förts diskussioner inom Iccat-kommissionen om vilka ändringar av konventionen som är nödvändiga. Till följd av detta har det utarbetats ett protokoll för att ändra konventionen. De huvudsakliga ändringarna, när de väl trätt i kraft, kommer att</w:t>
      </w:r>
    </w:p>
    <w:p>
      <w:pPr>
        <w:pStyle w:val="Point0"/>
        <w:rPr>
          <w:noProof/>
        </w:rPr>
      </w:pPr>
      <w:r>
        <w:t>(1)</w:t>
      </w:r>
      <w:r>
        <w:tab/>
      </w:r>
      <w:r>
        <w:rPr>
          <w:noProof/>
        </w:rPr>
        <w:t>bredda konventionens tillämpningsområde vad gäller bevarande och förvaltning av hajar,</w:t>
      </w:r>
    </w:p>
    <w:p>
      <w:pPr>
        <w:pStyle w:val="Point0"/>
        <w:rPr>
          <w:noProof/>
        </w:rPr>
      </w:pPr>
      <w:r>
        <w:t>(2)</w:t>
      </w:r>
      <w:r>
        <w:tab/>
      </w:r>
      <w:r>
        <w:rPr>
          <w:noProof/>
        </w:rPr>
        <w:t>förtydliga röstregler och beslutsförhet i Iccat-kommissionen, särskilt vad gäller majoritetskrav i situationer där samförstånd (konsensus) inte kan uppnås,</w:t>
      </w:r>
    </w:p>
    <w:p>
      <w:pPr>
        <w:pStyle w:val="Point0"/>
        <w:rPr>
          <w:noProof/>
        </w:rPr>
      </w:pPr>
      <w:r>
        <w:t>(3)</w:t>
      </w:r>
      <w:r>
        <w:tab/>
      </w:r>
      <w:r>
        <w:rPr>
          <w:noProof/>
        </w:rPr>
        <w:t>definiera de principer som Iccat-kommissionen och dess ledamöter ska följa när de utför arbete enligt Iccat-konventionen,</w:t>
      </w:r>
    </w:p>
    <w:p>
      <w:pPr>
        <w:pStyle w:val="Point0"/>
        <w:rPr>
          <w:noProof/>
        </w:rPr>
      </w:pPr>
      <w:r>
        <w:t>(4)</w:t>
      </w:r>
      <w:r>
        <w:tab/>
      </w:r>
      <w:r>
        <w:rPr>
          <w:noProof/>
        </w:rPr>
        <w:t>förkorta tidsfristen för ikraftträdande för rekommendationer antagna av Iccat-kommissionen från sex till fyra månader efter anmälan till Iccats medlemmar,</w:t>
      </w:r>
    </w:p>
    <w:p>
      <w:pPr>
        <w:pStyle w:val="Point0"/>
        <w:rPr>
          <w:noProof/>
        </w:rPr>
      </w:pPr>
      <w:r>
        <w:t>(5)</w:t>
      </w:r>
      <w:r>
        <w:tab/>
      </w:r>
      <w:r>
        <w:rPr>
          <w:noProof/>
        </w:rPr>
        <w:t xml:space="preserve">förtydliga användningen av invändningsförfarandet för rekommendationer antagna av Iccat-kommissionen, </w:t>
      </w:r>
    </w:p>
    <w:p>
      <w:pPr>
        <w:pStyle w:val="Point0"/>
        <w:rPr>
          <w:noProof/>
        </w:rPr>
      </w:pPr>
      <w:r>
        <w:t>(6)</w:t>
      </w:r>
      <w:r>
        <w:tab/>
      </w:r>
      <w:r>
        <w:rPr>
          <w:noProof/>
        </w:rPr>
        <w:t>möjliggöra ökat deltagande från samarbetande icke-fördragsslutande parter och fiskeenheter i Iccat-kommissionens arbete och</w:t>
      </w:r>
    </w:p>
    <w:p>
      <w:pPr>
        <w:pStyle w:val="Point0"/>
        <w:rPr>
          <w:noProof/>
        </w:rPr>
      </w:pPr>
      <w:r>
        <w:lastRenderedPageBreak/>
        <w:t>(7)</w:t>
      </w:r>
      <w:r>
        <w:tab/>
      </w:r>
      <w:r>
        <w:rPr>
          <w:noProof/>
        </w:rPr>
        <w:t xml:space="preserve">införa en Iccat-mekanism för tvistlösning att användas på frivillig basis, men vars resultat kommer att vara slutgiltigt och bindande för de parter som använder sig av den. </w:t>
      </w:r>
    </w:p>
    <w:p>
      <w:pPr>
        <w:spacing w:before="0" w:after="240"/>
        <w:rPr>
          <w:rFonts w:eastAsia="Arial Unicode MS"/>
          <w:noProof/>
        </w:rPr>
      </w:pPr>
      <w:r>
        <w:rPr>
          <w:noProof/>
        </w:rPr>
        <w:t>Ändringen av konventionen blir också en möjlighet att undanröja små skillnader mellan de engelska, franska och spanska språkversionerna av konventionen, eftersom alla versioner är lika giltiga. Protokollet innehåller därför alla bestämmelser som ska ändras i någon av de tre språkversionerna.</w:t>
      </w:r>
    </w:p>
    <w:p>
      <w:pPr>
        <w:spacing w:before="0" w:after="240"/>
        <w:rPr>
          <w:rFonts w:eastAsia="Arial Unicode MS"/>
          <w:noProof/>
        </w:rPr>
      </w:pPr>
      <w:r>
        <w:rPr>
          <w:noProof/>
        </w:rPr>
        <w:t xml:space="preserve">Protokollet kommer att antas av de fördragsslutande parterna vid Iccat-kommissionens 28:e ordinarie möte den 18–25 november 2019. </w:t>
      </w:r>
    </w:p>
    <w:p>
      <w:pPr>
        <w:spacing w:before="0" w:after="240"/>
        <w:rPr>
          <w:rFonts w:eastAsia="Arial Unicode MS"/>
          <w:noProof/>
        </w:rPr>
      </w:pPr>
      <w:r>
        <w:rPr>
          <w:noProof/>
        </w:rPr>
        <w:t>Detta förslag avser ett rådsbeslut om bemyndigande av undertecknande, på unionens vägnar, och provisorisk tillämpning av protokollet. I artikel 13 i protokollet föreskrivs att protokollet, för varje fördragsslutande part som godkänner det, kommer att träda i kraft den nittionde dagen efter deponeringen hos generaldirektören för Förenta nationernas livsmedels- och jordbruksorganisation av ett instrument som godkänts av tre fjärdedelar av de fördragsslutande parterna, och därefter, för varje  återstående fördragsslutande part, efter det att den godkänt det. Det är därför nödvändigt att föreskriva provisorisk tillämpning av protokollet i den händelse att det träder i raft innan unionen har slutfört sina interna ratificeringsförfaranden. Provisorisk tillämpning är också i linje med rådets beslut om bemyndigande av kommissionen att förhandla om ändringarna av konventionen.</w:t>
      </w:r>
    </w:p>
    <w:p>
      <w:pPr>
        <w:spacing w:before="0" w:after="240"/>
        <w:rPr>
          <w:rFonts w:eastAsia="Arial Unicode MS"/>
          <w:noProof/>
        </w:rPr>
      </w:pPr>
      <w:r>
        <w:rPr>
          <w:noProof/>
        </w:rPr>
        <w:t xml:space="preserve">Protokollet ingår i ett större paket som även omfattar följande: </w:t>
      </w:r>
    </w:p>
    <w:p>
      <w:pPr>
        <w:pStyle w:val="Point0"/>
        <w:rPr>
          <w:noProof/>
        </w:rPr>
      </w:pPr>
      <w:r>
        <w:t>(1)</w:t>
      </w:r>
      <w:r>
        <w:tab/>
      </w:r>
      <w:r>
        <w:rPr>
          <w:i/>
          <w:noProof/>
        </w:rPr>
        <w:t>Iccats resolution rörande fiskeenheters deltagande enligt den ändrade Iccat-konventionen</w:t>
      </w:r>
      <w:r>
        <w:rPr>
          <w:noProof/>
        </w:rPr>
        <w:t>. I denna resolution förtydligas ändringarna av konventionen vad avser icke-parters deltagande, i synnerhet att kinesiska Taipei är den fiskeenhet som avses omfattas av bilaga 2 om fiskeenheter, vilken fogades till konventionen genom artikel 11 i protokollet, och</w:t>
      </w:r>
    </w:p>
    <w:p>
      <w:pPr>
        <w:pStyle w:val="Point0"/>
        <w:rPr>
          <w:noProof/>
        </w:rPr>
      </w:pPr>
      <w:r>
        <w:t>(2)</w:t>
      </w:r>
      <w:r>
        <w:tab/>
      </w:r>
      <w:r>
        <w:rPr>
          <w:noProof/>
        </w:rPr>
        <w:t xml:space="preserve">Iccats rekommendation om fiskar som anses vara tonfisk eller tonfiskliknande arter eller oceaniska, pelagiska och långvandrande Elasmobranchii (hajar och rockor). I rekommendationen förtydligas vilka arter som omfattas av konventionen, särskilt genom att uttryckligen ange att Iccat-arter omfattar Elasmobranchii (hajar och rockor) som är oceaniska, pelagiska och långvandrande. </w:t>
      </w:r>
    </w:p>
    <w:p>
      <w:pPr>
        <w:spacing w:before="0" w:after="240"/>
        <w:rPr>
          <w:rFonts w:eastAsia="Arial Unicode MS"/>
          <w:noProof/>
        </w:rPr>
      </w:pPr>
      <w:r>
        <w:rPr>
          <w:noProof/>
        </w:rPr>
        <w:t>Resolutionen och rekommendationen kommer att antas av Iccat-kommissionen parallellt med de fördragsslutande parternas antagande av protokollet. I enlighet med artikel 8.2 i Iccat-konventionen kommer rekommendationen att träda i kraft sex månader efter den dag då de fördragsslutande parterna har underrättats om den. Rekommendationen kommer inte att vara bindande för en fördragsslutande part som har gjort och därefter bekräftat en invändning mot den. Om en invändning stöds av en majoritet av de fördragsslutande parterna ska rekommendationen inte träda i kraft.</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noProof/>
        </w:rPr>
      </w:pPr>
      <w:r>
        <w:rPr>
          <w:noProof/>
        </w:rPr>
        <w:t xml:space="preserve">De regionala fiskeriförvaltningsorganisationerna (RFMO) är internationella sammanslutningar av länder (av vilka några är kuststater), organisationer för regional integration, som EU, och fiskeaktörer med fiskeintressen i ett visst område. Vissa regionala fiskeriförvaltningsorganisationer förvaltar alla fiskbestånd i ett visst område, medan andra inriktar sig på arter som vandrar över stora geografiska områden, särskilt tonfisk. Vissa har </w:t>
      </w:r>
      <w:r>
        <w:rPr>
          <w:noProof/>
        </w:rPr>
        <w:lastRenderedPageBreak/>
        <w:t xml:space="preserve">bara en rådgivande funktion, men de flesta har rätt att fastställa fångstbegränsningar och fiskebegränsningar, tekniska åtgärder och tillsynskrav. </w:t>
      </w:r>
    </w:p>
    <w:p>
      <w:pPr>
        <w:spacing w:before="0" w:after="240"/>
        <w:rPr>
          <w:rFonts w:eastAsia="Arial Unicode MS"/>
          <w:noProof/>
        </w:rPr>
      </w:pPr>
      <w:r>
        <w:rPr>
          <w:noProof/>
        </w:rPr>
        <w:t xml:space="preserve">Europeiska unionen, företrädd av Europeiska kommissionen, stöder och bidrar aktivt till Iccats arbete, i enlighet med kommissionens meddelande </w:t>
      </w:r>
      <w:r>
        <w:rPr>
          <w:i/>
          <w:noProof/>
        </w:rPr>
        <w:t>Europeiska gemenskapens deltagande i regionala fiskeorganisationer</w:t>
      </w:r>
      <w:r>
        <w:rPr>
          <w:rStyle w:val="FootnoteReference"/>
          <w:noProof/>
        </w:rPr>
        <w:footnoteReference w:id="3"/>
      </w:r>
      <w:r>
        <w:rPr>
          <w:noProof/>
        </w:rPr>
        <w:t>, artikel 29 i Europarlamentets och rådets förordning (EU) nr 1380/2013 om den gemensamma fiskeripolitiken</w:t>
      </w:r>
      <w:r>
        <w:rPr>
          <w:rStyle w:val="FootnoteReference"/>
          <w:noProof/>
        </w:rPr>
        <w:footnoteReference w:id="4"/>
      </w:r>
      <w:r>
        <w:rPr>
          <w:noProof/>
        </w:rPr>
        <w:t xml:space="preserve"> och rådets slutsatser av den 19 mars 2012 om kommissionens meddelande om den gemensamma fiskeripolitikens internationella dimension</w:t>
      </w:r>
      <w:r>
        <w:rPr>
          <w:rStyle w:val="FootnoteReference"/>
          <w:noProof/>
        </w:rPr>
        <w:footnoteReference w:id="5"/>
      </w:r>
      <w:r>
        <w:rPr>
          <w:noProof/>
        </w:rPr>
        <w:t>. Ändringarna av konventionen är nödvändiga för att säkerställa hållbart nyttjande, förvaltning och bevarande av de marina biologiska resurser och den marina miljö som förvaltas av Iccat, samt av arter som fångas inom ramen för den fiskeverksamhet som är inriktad på Iccat-arter.</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pBdr>
          <w:top w:val="nil"/>
          <w:left w:val="nil"/>
          <w:bottom w:val="nil"/>
          <w:right w:val="nil"/>
          <w:between w:val="nil"/>
          <w:bar w:val="nil"/>
        </w:pBdr>
        <w:spacing w:before="0" w:after="240"/>
        <w:rPr>
          <w:noProof/>
          <w:sz w:val="23"/>
          <w:szCs w:val="23"/>
        </w:rPr>
      </w:pPr>
      <w:r>
        <w:rPr>
          <w:noProof/>
        </w:rPr>
        <w:t xml:space="preserve">I enlighet med det gemensamma meddelandet från unionens höga representant för utrikes frågor och säkerhetspolitik och Europeiska kommissionen </w:t>
      </w:r>
      <w:r>
        <w:rPr>
          <w:i/>
          <w:noProof/>
        </w:rPr>
        <w:t>Internationell världshavsförvaltning</w:t>
      </w:r>
      <w:r>
        <w:rPr>
          <w:noProof/>
        </w:rPr>
        <w:t xml:space="preserve">: </w:t>
      </w:r>
      <w:r>
        <w:rPr>
          <w:i/>
          <w:noProof/>
        </w:rPr>
        <w:t>en agenda för havens framtid</w:t>
      </w:r>
      <w:r>
        <w:rPr>
          <w:rStyle w:val="FootnoteReference"/>
          <w:noProof/>
        </w:rPr>
        <w:footnoteReference w:id="6"/>
      </w:r>
      <w:r>
        <w:rPr>
          <w:noProof/>
        </w:rPr>
        <w:t xml:space="preserve"> och rådets slutsatser om detta gemensamma meddelande</w:t>
      </w:r>
      <w:r>
        <w:rPr>
          <w:rStyle w:val="FootnoteReference"/>
          <w:noProof/>
        </w:rPr>
        <w:footnoteReference w:id="7"/>
      </w:r>
      <w:r>
        <w:rPr>
          <w:noProof/>
        </w:rPr>
        <w:t xml:space="preserve">, är främjandet av åtgärder som stöder och förbättrar ändamålsenligheten hos regionala fiskeriförvaltningsorganisationer och, vid behov, förbättrar förvaltningen i dessa organisationer ett centralt inslag i EU:s insatser i dessa forum.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rPr>
          <w:rFonts w:eastAsia="Times New Roman"/>
          <w:noProof/>
        </w:rPr>
      </w:pPr>
      <w:r>
        <w:rPr>
          <w:noProof/>
        </w:rPr>
        <w:t>Detta förslag till rådets beslut grundar sig på fördraget om Europeiska unionens funktionssätt, särskilt artikel 43.2 jämförd med artikel 218.5.</w:t>
      </w:r>
    </w:p>
    <w:p>
      <w:pPr>
        <w:pBdr>
          <w:top w:val="nil"/>
          <w:left w:val="nil"/>
          <w:bottom w:val="nil"/>
          <w:right w:val="nil"/>
          <w:between w:val="nil"/>
          <w:bar w:val="nil"/>
        </w:pBdr>
        <w:spacing w:before="0" w:after="240"/>
        <w:rPr>
          <w:rFonts w:eastAsia="Arial Unicode MS"/>
          <w:noProof/>
        </w:rPr>
      </w:pPr>
      <w:r>
        <w:rPr>
          <w:noProof/>
        </w:rPr>
        <w:t>Europaparlamentets och rådets förordning (EU) nr 1380/2013</w:t>
      </w:r>
      <w:r>
        <w:rPr>
          <w:rStyle w:val="FootnoteReference"/>
          <w:noProof/>
        </w:rPr>
        <w:footnoteReference w:id="8"/>
      </w:r>
      <w:r>
        <w:rPr>
          <w:noProof/>
        </w:rPr>
        <w:t xml:space="preserve"> är den rättsliga grunden för de principer som ska uttryckas i denna ståndpunkt.</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pBdr>
          <w:top w:val="nil"/>
          <w:left w:val="nil"/>
          <w:bottom w:val="nil"/>
          <w:right w:val="nil"/>
          <w:between w:val="nil"/>
          <w:bar w:val="nil"/>
        </w:pBdr>
        <w:spacing w:before="0" w:after="240"/>
        <w:rPr>
          <w:rFonts w:eastAsia="Arial Unicode MS"/>
          <w:noProof/>
        </w:rPr>
      </w:pPr>
      <w:r>
        <w:rPr>
          <w:noProof/>
        </w:rPr>
        <w:t>Förslaget går inte utöver vad som är nödvändigt för att uppnå de eftersträvade målen, nämligen unionens undertecknande och provisoriska tillämpning av protokollet.</w:t>
      </w:r>
    </w:p>
    <w:p>
      <w:pPr>
        <w:pStyle w:val="ManualHeading2"/>
        <w:rPr>
          <w:rFonts w:eastAsia="Arial Unicode MS"/>
          <w:noProof/>
          <w:u w:color="000000"/>
          <w:bdr w:val="nil"/>
        </w:rPr>
      </w:pPr>
      <w:r>
        <w:rPr>
          <w:noProof/>
          <w:u w:color="000000"/>
          <w:bdr w:val="nil"/>
        </w:rPr>
        <w:lastRenderedPageBreak/>
        <w:t>•</w:t>
      </w:r>
      <w:r>
        <w:rPr>
          <w:noProof/>
          <w:u w:color="000000"/>
          <w:bdr w:val="nil"/>
        </w:rPr>
        <w:tab/>
        <w:t>Val av instrument</w:t>
      </w:r>
    </w:p>
    <w:p>
      <w:pPr>
        <w:pBdr>
          <w:top w:val="nil"/>
          <w:left w:val="nil"/>
          <w:bottom w:val="nil"/>
          <w:right w:val="nil"/>
          <w:between w:val="nil"/>
          <w:bar w:val="nil"/>
        </w:pBdr>
        <w:spacing w:before="0" w:after="240"/>
        <w:rPr>
          <w:rFonts w:eastAsia="Arial Unicode MS"/>
          <w:noProof/>
        </w:rPr>
      </w:pPr>
      <w:r>
        <w:rPr>
          <w:noProof/>
        </w:rPr>
        <w:t>Enligt artikel 218.5 i fördraget om Europeiska unionens funktionssätt krävs ett förslag från kommissionen, för att rådet ska kunna anta ett beslut om bemyndigande att underteckna protokollet och, i förekommande fall, att tillämpa det provisoriskt före ikraftträdandet.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spacing w:before="0" w:after="240"/>
        <w:rPr>
          <w:rFonts w:eastAsia="Times New Roman"/>
          <w:noProof/>
        </w:rPr>
      </w:pPr>
      <w:r>
        <w:rPr>
          <w:noProof/>
        </w:rPr>
        <w:t>Den 13 maj 2013 bemyndigade rådet kommissionen att på Europeiska unionens vägnar förhandla om ändringar av konventionen.</w:t>
      </w:r>
    </w:p>
    <w:p>
      <w:pPr>
        <w:spacing w:before="0" w:after="240"/>
        <w:rPr>
          <w:rFonts w:eastAsia="Times New Roman"/>
          <w:noProof/>
        </w:rPr>
      </w:pPr>
      <w:r>
        <w:rPr>
          <w:noProof/>
        </w:rPr>
        <w:t>Ändringarna utarbetades vid sex möten i arbetsgruppen för konventionsändring, inrättad i detta syfte av Iccat; det första mötet ägde rum den 10–12 juli 2013 och det sista den 24–25 maj 2018. Medlemsstaterna hölls underrättade om förhandlingarnas framskridande.</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Kommissionen använde sig av sakkunskap från medlemsstaterna i utarbetandet av, såväl som under förhandlingarna i Iccat om, ändringarna av konventionen.</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0" w:after="240"/>
        <w:rPr>
          <w:rFonts w:eastAsia="Arial Unicode MS"/>
          <w:noProof/>
        </w:rPr>
      </w:pPr>
      <w:r>
        <w:rPr>
          <w:noProof/>
        </w:rPr>
        <w:t xml:space="preserve">Ej tillämpligt. </w:t>
      </w:r>
    </w:p>
    <w:p>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r>
        <w:t xml:space="preserve"> </w:t>
      </w:r>
    </w:p>
    <w:p>
      <w:pPr>
        <w:pStyle w:val="ManualHeading2"/>
        <w:rPr>
          <w:rFonts w:eastAsia="Arial Unicode MS"/>
          <w:noProof/>
          <w:u w:color="000000"/>
          <w:bdr w:val="nil"/>
        </w:rPr>
      </w:pPr>
      <w:r>
        <w:rPr>
          <w:noProof/>
          <w:u w:color="000000"/>
          <w:bdr w:val="nil"/>
        </w:rPr>
        <w:t>•</w:t>
      </w:r>
      <w:r>
        <w:rPr>
          <w:noProof/>
          <w:u w:color="000000"/>
          <w:bdr w:val="nil"/>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medför inga ytterligare kostnader för EU:s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pBdr>
          <w:top w:val="nil"/>
          <w:left w:val="nil"/>
          <w:bottom w:val="nil"/>
          <w:right w:val="nil"/>
          <w:between w:val="nil"/>
          <w:bar w:val="nil"/>
        </w:pBdr>
        <w:spacing w:before="0" w:after="240"/>
        <w:rPr>
          <w:noProof/>
        </w:rPr>
      </w:pPr>
      <w:r>
        <w:rPr>
          <w:noProof/>
        </w:rPr>
        <w:t>Ej tillämpligt.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2019/0223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undertecknande, på Europeiska unionens vägnar, och provisorisk tillämpning av protokollet om ändring av den internationella konventionen för bevarande av tonfisk i Atlanten</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43.2 jämförd med artikel 218.5,</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Den 13 maj 2013 bemyndigade rådet Europeiska kommissionen att inleda förhandlingar om ändringar av den internationella konventionen för bevarande av tonfisk i Atlanten (</w:t>
      </w:r>
      <w:r>
        <w:rPr>
          <w:i/>
          <w:noProof/>
        </w:rPr>
        <w:t>Iccat-konventionen</w:t>
      </w:r>
      <w:r>
        <w:rPr>
          <w:noProof/>
        </w:rPr>
        <w:t>)</w:t>
      </w:r>
      <w:r>
        <w:rPr>
          <w:rStyle w:val="FootnoteReference"/>
          <w:noProof/>
        </w:rPr>
        <w:footnoteReference w:id="9"/>
      </w:r>
      <w:r>
        <w:rPr>
          <w:noProof/>
        </w:rPr>
        <w:t xml:space="preserve">. Förhandlingarna slutfördes med framgång i november 2018. </w:t>
      </w:r>
    </w:p>
    <w:p>
      <w:pPr>
        <w:pStyle w:val="ManualConsidrant"/>
        <w:rPr>
          <w:noProof/>
        </w:rPr>
      </w:pPr>
      <w:r>
        <w:t>(2)</w:t>
      </w:r>
      <w:r>
        <w:tab/>
      </w:r>
      <w:r>
        <w:rPr>
          <w:noProof/>
        </w:rPr>
        <w:t>Det protokoll som följde av förhandlingarna skulle göra Iccat mer effektivt och stärka bevarandet och förvaltningen av de arter som hör till dess kompetensområde.</w:t>
      </w:r>
    </w:p>
    <w:p>
      <w:pPr>
        <w:pStyle w:val="ManualConsidrant"/>
        <w:rPr>
          <w:noProof/>
        </w:rPr>
      </w:pPr>
      <w:r>
        <w:t>(3)</w:t>
      </w:r>
      <w:r>
        <w:tab/>
      </w:r>
      <w:r>
        <w:rPr>
          <w:noProof/>
        </w:rPr>
        <w:t>I Europaparlamentets och rådets förordning (EU) nr 1380/2013</w:t>
      </w:r>
      <w:r>
        <w:rPr>
          <w:rStyle w:val="FootnoteReference"/>
          <w:noProof/>
        </w:rPr>
        <w:footnoteReference w:id="10"/>
      </w:r>
      <w:r>
        <w:rPr>
          <w:noProof/>
        </w:rPr>
        <w:t xml:space="preserve"> föreskrivs att unionen ska säkerställa att fiske- och vattenbruksverksamheterna är miljömässigt hållbara på lång sikt och förvaltas på ett sätt som är förenligt med målen om att uppnå nytta i ekonomiskt, socialt och sysselsättningshänseende samt att bidra till att trygga livsmedelsförsörjningen. Den föreskriver också att unionen ska tillämpa försiktighetsansatsen i fiskeriförvaltningen och säkerställa att nyttjandet av de levande marina biologiska resurserna sker på ett sådant sätt att populationerna av skördade arter återställs till och bevaras över nivåer som säkerställer en maximal hållbar avkastning. Den föreskriver också att unionen bör sträva efter att vidta förvaltnings- och bevarandeåtgärder på grundval av bästa tillgängliga vetenskapliga rådgivning, stödja utvecklingen av vetenskapliga rön och vetenskaplig rådgivning, gradvis eliminera utkast och främja fiskemetoder som bidrar till ett mer selektivt fiske och till att oönskade fångster så långt möjligt undviks och minskas samt till ett fiske med liten inverkan på de marina ekosystemen och fiskeresurserna. I förordning (EU) nr 1380/2013 föreskrivs dessutom uttryckligen att unionen ska tillämpa dessa mål och principer i sina yttre förbindelser på fiskeriområdet. Protokollet är förenligt med dessa mål.</w:t>
      </w:r>
    </w:p>
    <w:p>
      <w:pPr>
        <w:pStyle w:val="ManualConsidrant"/>
        <w:rPr>
          <w:noProof/>
        </w:rPr>
      </w:pPr>
      <w:r>
        <w:lastRenderedPageBreak/>
        <w:t>(4)</w:t>
      </w:r>
      <w:r>
        <w:tab/>
      </w:r>
      <w:r>
        <w:rPr>
          <w:noProof/>
        </w:rPr>
        <w:t xml:space="preserve">Såsom anges i det gemensamma meddelandet från unionens höga representant för utrikes frågor och säkerhetspolitik och Europeiska kommissionen </w:t>
      </w:r>
      <w:r>
        <w:rPr>
          <w:i/>
          <w:noProof/>
        </w:rPr>
        <w:t>Internationell världshavsförvaltning</w:t>
      </w:r>
      <w:r>
        <w:rPr>
          <w:noProof/>
        </w:rPr>
        <w:t>:</w:t>
      </w:r>
      <w:r>
        <w:rPr>
          <w:i/>
          <w:noProof/>
        </w:rPr>
        <w:t xml:space="preserve"> en agenda för havens framtid</w:t>
      </w:r>
      <w:r>
        <w:rPr>
          <w:rStyle w:val="FootnoteReference"/>
          <w:noProof/>
        </w:rPr>
        <w:footnoteReference w:id="11"/>
      </w:r>
      <w:r>
        <w:rPr>
          <w:noProof/>
        </w:rPr>
        <w:t xml:space="preserve"> och rådets slutsatser om detta gemensamma meddelande</w:t>
      </w:r>
      <w:r>
        <w:rPr>
          <w:rStyle w:val="FootnoteReference"/>
          <w:noProof/>
        </w:rPr>
        <w:footnoteReference w:id="12"/>
      </w:r>
      <w:r>
        <w:rPr>
          <w:noProof/>
        </w:rPr>
        <w:t>, är främjandet av åtgärder som stöder och förbättrar ändamålsenligheten hos regionala fiskeriförvaltningsorganisationer och, vid behov, förbättrar förvaltningen i dessa organisationer av central betydelse för EU:s insatser i dessa forum. Protokollet är fullt förenligt med dessa mål.</w:t>
      </w:r>
    </w:p>
    <w:p>
      <w:pPr>
        <w:pStyle w:val="ManualConsidrant"/>
        <w:rPr>
          <w:noProof/>
        </w:rPr>
      </w:pPr>
      <w:r>
        <w:t>(5)</w:t>
      </w:r>
      <w:r>
        <w:tab/>
      </w:r>
      <w:r>
        <w:rPr>
          <w:noProof/>
        </w:rPr>
        <w:t>Protokollet bör undertecknas på unionens vägnar och tillämpas provisoriskt i avvaktan på att de förfaranden som är nödvändiga för protokollets ingående avslutas.</w:t>
      </w:r>
    </w:p>
    <w:p>
      <w:pPr>
        <w:pStyle w:val="ManualConsidrant"/>
        <w:rPr>
          <w:noProof/>
        </w:rPr>
      </w:pPr>
      <w:r>
        <w:t>(6)</w:t>
      </w:r>
      <w:r>
        <w:tab/>
      </w:r>
      <w:r>
        <w:rPr>
          <w:noProof/>
        </w:rPr>
        <w:t>Med hänsyn till möjligheten att protokollet träder i kraft innan unionen har slutfört sin interna ratificeringsförfaranden, bör de tillämpas provisoriskt.</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 xml:space="preserve">Undertecknandet på unionens vägnar av protokollet om ändring av den internationella konventionen för bevarande av tonfisk i Atlanten (nedan kallat </w:t>
      </w:r>
      <w:r>
        <w:rPr>
          <w:i/>
          <w:noProof/>
        </w:rPr>
        <w:t>protokollet</w:t>
      </w:r>
      <w:r>
        <w:rPr>
          <w:noProof/>
        </w:rPr>
        <w:t xml:space="preserve">) bemyndigas härmed, med förbehåll för att protokollet ingås. </w:t>
      </w:r>
    </w:p>
    <w:p>
      <w:pPr>
        <w:rPr>
          <w:noProof/>
        </w:rPr>
      </w:pPr>
      <w:r>
        <w:rPr>
          <w:noProof/>
        </w:rPr>
        <w:t>Texten till det protokoll som ska undertecknas åtföljer detta beslut.</w:t>
      </w:r>
    </w:p>
    <w:p>
      <w:pPr>
        <w:pStyle w:val="Titrearticle"/>
        <w:keepNext w:val="0"/>
        <w:rPr>
          <w:noProof/>
        </w:rPr>
      </w:pPr>
      <w:r>
        <w:rPr>
          <w:noProof/>
        </w:rPr>
        <w:t>Artikel 2</w:t>
      </w:r>
    </w:p>
    <w:p>
      <w:pPr>
        <w:keepLines/>
        <w:rPr>
          <w:noProof/>
        </w:rPr>
      </w:pPr>
      <w:r>
        <w:rPr>
          <w:noProof/>
        </w:rPr>
        <w:t>Rådets generalsekretariat ska utfärda det instrument som ger den eller de personer som anges av protokollets förhandlare full befogenhet att underteckna protokollet med förbehåll för att det ingås.</w:t>
      </w:r>
    </w:p>
    <w:p>
      <w:pPr>
        <w:pStyle w:val="Titrearticle"/>
        <w:keepNext w:val="0"/>
        <w:rPr>
          <w:noProof/>
        </w:rPr>
      </w:pPr>
      <w:r>
        <w:rPr>
          <w:noProof/>
        </w:rPr>
        <w:t>Artikel 3</w:t>
      </w:r>
    </w:p>
    <w:p>
      <w:pPr>
        <w:keepLines/>
        <w:rPr>
          <w:noProof/>
        </w:rPr>
      </w:pPr>
      <w:r>
        <w:rPr>
          <w:noProof/>
        </w:rPr>
        <w:t>Protokollet ska tillämpas provisoriskt, i enlighet med artikel 13 i protokollet, i avvaktan på att det träder i kraft.</w:t>
      </w:r>
    </w:p>
    <w:p>
      <w:pPr>
        <w:pStyle w:val="Titrearticle"/>
        <w:rPr>
          <w:noProof/>
        </w:rPr>
      </w:pPr>
      <w:r>
        <w:rPr>
          <w:noProof/>
        </w:rPr>
        <w:t>Artikel 4</w:t>
      </w:r>
    </w:p>
    <w:p>
      <w:pPr>
        <w:keepLines/>
        <w:rPr>
          <w:noProof/>
        </w:rPr>
      </w:pPr>
      <w:r>
        <w:rPr>
          <w:noProof/>
        </w:rPr>
        <w:t>Detta beslut träder i kraft samma dag som det antas.</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av den 9 juni 1986 om anslutning av gemenskapen till internationella konventionen för bevarande av tonfisk i Atlanten, ändrat genom det protokoll som bifogas till utskottets slutbetänkande vid konferensen av staternas befullmäktigade ombud som i Paris undertecknat konventionen den 10 juli 1984 (EGT L 162, 18.6.1986, s. 33).</w:t>
      </w:r>
    </w:p>
  </w:footnote>
  <w:footnote w:id="2">
    <w:p>
      <w:pPr>
        <w:pStyle w:val="FootnoteText"/>
      </w:pPr>
      <w:r>
        <w:rPr>
          <w:rStyle w:val="FootnoteReference"/>
        </w:rPr>
        <w:footnoteRef/>
      </w:r>
      <w:r>
        <w:tab/>
        <w:t>Rådets beslut av den 13 maj 2013 om bemyndigande för kommissionen att på Europeiska unionens vägnar inleda förhandlingar om ändringar av den internationella konventionen för bevarande av tonfisk i Atlanten.</w:t>
      </w:r>
    </w:p>
  </w:footnote>
  <w:footnote w:id="3">
    <w:p>
      <w:pPr>
        <w:pStyle w:val="FootnoteText"/>
      </w:pPr>
      <w:r>
        <w:rPr>
          <w:rStyle w:val="FootnoteReference"/>
        </w:rPr>
        <w:footnoteRef/>
      </w:r>
      <w:r>
        <w:tab/>
        <w:t>COM(99) 0613 slutlig.</w:t>
      </w:r>
    </w:p>
  </w:footnote>
  <w:footnote w:id="4">
    <w:p>
      <w:pPr>
        <w:pStyle w:val="FootnoteText"/>
      </w:pPr>
      <w:r>
        <w:rPr>
          <w:rStyle w:val="FootnoteReference"/>
        </w:rPr>
        <w:footnoteRef/>
      </w:r>
      <w:r>
        <w:tab/>
        <w:t>Europaparlamentets och rådets förordning (EU) nr 1380/2013 om den gemensamma fiskeripolitiken, om ändring av rådets förordningar (EG) nr 1954/2003 och (EG) nr 1224/2009 och om upphävande av rådets förordningar (EG) nr 2371/2002 och (EG) nr 639/2004 och rådets beslut 2004/585/EG (EUT L 354, 28.12.2013, s. 22).</w:t>
      </w:r>
    </w:p>
  </w:footnote>
  <w:footnote w:id="5">
    <w:p>
      <w:pPr>
        <w:pStyle w:val="FootnoteText"/>
        <w:rPr>
          <w:rFonts w:eastAsia="Times New Roman"/>
        </w:rPr>
      </w:pPr>
      <w:r>
        <w:rPr>
          <w:rStyle w:val="FootnoteReference"/>
        </w:rPr>
        <w:footnoteRef/>
      </w:r>
      <w:r>
        <w:tab/>
        <w:t>COM(2011) 424, 13.7.2011.</w:t>
      </w:r>
    </w:p>
  </w:footnote>
  <w:footnote w:id="6">
    <w:p>
      <w:pPr>
        <w:pStyle w:val="FootnoteText"/>
      </w:pPr>
      <w:r>
        <w:rPr>
          <w:rStyle w:val="FootnoteReference"/>
        </w:rPr>
        <w:footnoteRef/>
      </w:r>
      <w:r>
        <w:tab/>
        <w:t>JOIN(2016) 49 final</w:t>
      </w:r>
    </w:p>
  </w:footnote>
  <w:footnote w:id="7">
    <w:p>
      <w:pPr>
        <w:pStyle w:val="FootnoteText"/>
      </w:pPr>
      <w:r>
        <w:rPr>
          <w:rStyle w:val="FootnoteReference"/>
        </w:rPr>
        <w:footnoteRef/>
      </w:r>
      <w:r>
        <w:tab/>
        <w:t>7348/1/17, REV 1.</w:t>
      </w:r>
    </w:p>
  </w:footnote>
  <w:footnote w:id="8">
    <w:p>
      <w:pPr>
        <w:pStyle w:val="FootnoteText"/>
      </w:pPr>
      <w:r>
        <w:rPr>
          <w:rStyle w:val="FootnoteReference"/>
        </w:rPr>
        <w:footnoteRef/>
      </w:r>
      <w:r>
        <w:tab/>
        <w:t>Europaparlamentets och rådets förordning (EU) nr 1380/2013 om den gemensamma fiskeripolitiken, om ändring av rådets förordningar (EG) nr 1954/2003 och (EG) nr 1224/2009 och om upphävande av rådets förordningar (EG) nr 2371/2002 och (EG) nr 639/2004 och rådets beslut 2004/585/EG (EUT L 354, 28.12.2013, s. 22).</w:t>
      </w:r>
    </w:p>
  </w:footnote>
  <w:footnote w:id="9">
    <w:p>
      <w:pPr>
        <w:pStyle w:val="FootnoteText"/>
      </w:pPr>
      <w:r>
        <w:rPr>
          <w:rStyle w:val="FootnoteReference"/>
        </w:rPr>
        <w:footnoteRef/>
      </w:r>
      <w:r>
        <w:tab/>
        <w:t>Rådets beslut av den 13 maj 2013 om bemyndigande för kommissionen att på Europeiska unionens vägnar inleda förhandlingar om ändringar av den internationella konventionen för bevarande av tonfisk i Atlanten (Iccat-konventionen).</w:t>
      </w:r>
    </w:p>
  </w:footnote>
  <w:footnote w:id="10">
    <w:p>
      <w:pPr>
        <w:pStyle w:val="FootnoteText"/>
      </w:pPr>
      <w:r>
        <w:rPr>
          <w:rStyle w:val="FootnoteReference"/>
        </w:rPr>
        <w:footnoteRef/>
      </w:r>
      <w:r>
        <w:tab/>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11">
    <w:p>
      <w:pPr>
        <w:pStyle w:val="FootnoteText"/>
      </w:pPr>
      <w:r>
        <w:rPr>
          <w:rStyle w:val="FootnoteReference"/>
        </w:rPr>
        <w:footnoteRef/>
      </w:r>
      <w:r>
        <w:tab/>
        <w:t>JOIN(2016) 49 final, 10.11.2016.</w:t>
      </w:r>
    </w:p>
  </w:footnote>
  <w:footnote w:id="12">
    <w:p>
      <w:pPr>
        <w:pStyle w:val="FootnoteText"/>
      </w:pPr>
      <w:r>
        <w:rPr>
          <w:rStyle w:val="FootnoteReference"/>
        </w:rPr>
        <w:footnoteRef/>
      </w:r>
      <w:r>
        <w:tab/>
        <w:t>7348/1/17 REV 1, 24.3.2017.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6:00: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C1D456-5120-40D2-8D3D-0B405F59BBD8"/>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23"/>
    <w:docVar w:name="LW_REF.II.NEW.CP_YEAR" w:val="2019"/>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undertecknande, på Europeiska unionens vägnar, och provisorisk tillämpning av protokollet om ändring av den internationella konventionen för bevarande av tonfisk i Atlante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sv-SE"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v-S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sv-SE"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721">
      <w:bodyDiv w:val="1"/>
      <w:marLeft w:val="0"/>
      <w:marRight w:val="0"/>
      <w:marTop w:val="0"/>
      <w:marBottom w:val="0"/>
      <w:divBdr>
        <w:top w:val="none" w:sz="0" w:space="0" w:color="auto"/>
        <w:left w:val="none" w:sz="0" w:space="0" w:color="auto"/>
        <w:bottom w:val="none" w:sz="0" w:space="0" w:color="auto"/>
        <w:right w:val="none" w:sz="0" w:space="0" w:color="auto"/>
      </w:divBdr>
      <w:divsChild>
        <w:div w:id="355431119">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62722805">
          <w:marLeft w:val="0"/>
          <w:marRight w:val="0"/>
          <w:marTop w:val="0"/>
          <w:marBottom w:val="0"/>
          <w:divBdr>
            <w:top w:val="none" w:sz="0" w:space="0" w:color="auto"/>
            <w:left w:val="none" w:sz="0" w:space="0" w:color="auto"/>
            <w:bottom w:val="none" w:sz="0" w:space="0" w:color="auto"/>
            <w:right w:val="none" w:sz="0" w:space="0" w:color="auto"/>
          </w:divBdr>
        </w:div>
        <w:div w:id="1305770927">
          <w:marLeft w:val="0"/>
          <w:marRight w:val="0"/>
          <w:marTop w:val="0"/>
          <w:marBottom w:val="0"/>
          <w:divBdr>
            <w:top w:val="none" w:sz="0" w:space="0" w:color="auto"/>
            <w:left w:val="none" w:sz="0" w:space="0" w:color="auto"/>
            <w:bottom w:val="none" w:sz="0" w:space="0" w:color="auto"/>
            <w:right w:val="none" w:sz="0" w:space="0" w:color="auto"/>
          </w:divBdr>
        </w:div>
        <w:div w:id="217018392">
          <w:marLeft w:val="0"/>
          <w:marRight w:val="0"/>
          <w:marTop w:val="0"/>
          <w:marBottom w:val="0"/>
          <w:divBdr>
            <w:top w:val="none" w:sz="0" w:space="0" w:color="auto"/>
            <w:left w:val="none" w:sz="0" w:space="0" w:color="auto"/>
            <w:bottom w:val="none" w:sz="0" w:space="0" w:color="auto"/>
            <w:right w:val="none" w:sz="0" w:space="0" w:color="auto"/>
          </w:divBdr>
        </w:div>
        <w:div w:id="1999991566">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861283573">
          <w:marLeft w:val="0"/>
          <w:marRight w:val="0"/>
          <w:marTop w:val="0"/>
          <w:marBottom w:val="0"/>
          <w:divBdr>
            <w:top w:val="none" w:sz="0" w:space="0" w:color="auto"/>
            <w:left w:val="none" w:sz="0" w:space="0" w:color="auto"/>
            <w:bottom w:val="none" w:sz="0" w:space="0" w:color="auto"/>
            <w:right w:val="none" w:sz="0" w:space="0" w:color="auto"/>
          </w:divBdr>
        </w:div>
        <w:div w:id="1461805374">
          <w:marLeft w:val="0"/>
          <w:marRight w:val="0"/>
          <w:marTop w:val="0"/>
          <w:marBottom w:val="0"/>
          <w:divBdr>
            <w:top w:val="none" w:sz="0" w:space="0" w:color="auto"/>
            <w:left w:val="none" w:sz="0" w:space="0" w:color="auto"/>
            <w:bottom w:val="none" w:sz="0" w:space="0" w:color="auto"/>
            <w:right w:val="none" w:sz="0" w:space="0" w:color="auto"/>
          </w:divBdr>
        </w:div>
        <w:div w:id="784269893">
          <w:marLeft w:val="0"/>
          <w:marRight w:val="0"/>
          <w:marTop w:val="0"/>
          <w:marBottom w:val="0"/>
          <w:divBdr>
            <w:top w:val="none" w:sz="0" w:space="0" w:color="auto"/>
            <w:left w:val="none" w:sz="0" w:space="0" w:color="auto"/>
            <w:bottom w:val="none" w:sz="0" w:space="0" w:color="auto"/>
            <w:right w:val="none" w:sz="0" w:space="0" w:color="auto"/>
          </w:divBdr>
        </w:div>
        <w:div w:id="488639541">
          <w:marLeft w:val="0"/>
          <w:marRight w:val="0"/>
          <w:marTop w:val="0"/>
          <w:marBottom w:val="0"/>
          <w:divBdr>
            <w:top w:val="none" w:sz="0" w:space="0" w:color="auto"/>
            <w:left w:val="none" w:sz="0" w:space="0" w:color="auto"/>
            <w:bottom w:val="none" w:sz="0" w:space="0" w:color="auto"/>
            <w:right w:val="none" w:sz="0" w:space="0" w:color="auto"/>
          </w:divBdr>
        </w:div>
        <w:div w:id="1395471490">
          <w:marLeft w:val="0"/>
          <w:marRight w:val="0"/>
          <w:marTop w:val="0"/>
          <w:marBottom w:val="0"/>
          <w:divBdr>
            <w:top w:val="none" w:sz="0" w:space="0" w:color="auto"/>
            <w:left w:val="none" w:sz="0" w:space="0" w:color="auto"/>
            <w:bottom w:val="none" w:sz="0" w:space="0" w:color="auto"/>
            <w:right w:val="none" w:sz="0" w:space="0" w:color="auto"/>
          </w:divBdr>
        </w:div>
      </w:divsChild>
    </w:div>
    <w:div w:id="149249283">
      <w:bodyDiv w:val="1"/>
      <w:marLeft w:val="0"/>
      <w:marRight w:val="0"/>
      <w:marTop w:val="0"/>
      <w:marBottom w:val="0"/>
      <w:divBdr>
        <w:top w:val="none" w:sz="0" w:space="0" w:color="auto"/>
        <w:left w:val="none" w:sz="0" w:space="0" w:color="auto"/>
        <w:bottom w:val="none" w:sz="0" w:space="0" w:color="auto"/>
        <w:right w:val="none" w:sz="0" w:space="0" w:color="auto"/>
      </w:divBdr>
      <w:divsChild>
        <w:div w:id="992489707">
          <w:marLeft w:val="0"/>
          <w:marRight w:val="0"/>
          <w:marTop w:val="0"/>
          <w:marBottom w:val="0"/>
          <w:divBdr>
            <w:top w:val="none" w:sz="0" w:space="0" w:color="auto"/>
            <w:left w:val="none" w:sz="0" w:space="0" w:color="auto"/>
            <w:bottom w:val="none" w:sz="0" w:space="0" w:color="auto"/>
            <w:right w:val="none" w:sz="0" w:space="0" w:color="auto"/>
          </w:divBdr>
        </w:div>
        <w:div w:id="957874661">
          <w:marLeft w:val="0"/>
          <w:marRight w:val="0"/>
          <w:marTop w:val="0"/>
          <w:marBottom w:val="0"/>
          <w:divBdr>
            <w:top w:val="none" w:sz="0" w:space="0" w:color="auto"/>
            <w:left w:val="none" w:sz="0" w:space="0" w:color="auto"/>
            <w:bottom w:val="none" w:sz="0" w:space="0" w:color="auto"/>
            <w:right w:val="none" w:sz="0" w:space="0" w:color="auto"/>
          </w:divBdr>
        </w:div>
        <w:div w:id="607350161">
          <w:marLeft w:val="0"/>
          <w:marRight w:val="0"/>
          <w:marTop w:val="0"/>
          <w:marBottom w:val="0"/>
          <w:divBdr>
            <w:top w:val="none" w:sz="0" w:space="0" w:color="auto"/>
            <w:left w:val="none" w:sz="0" w:space="0" w:color="auto"/>
            <w:bottom w:val="none" w:sz="0" w:space="0" w:color="auto"/>
            <w:right w:val="none" w:sz="0" w:space="0" w:color="auto"/>
          </w:divBdr>
        </w:div>
      </w:divsChild>
    </w:div>
    <w:div w:id="430050620">
      <w:bodyDiv w:val="1"/>
      <w:marLeft w:val="0"/>
      <w:marRight w:val="0"/>
      <w:marTop w:val="0"/>
      <w:marBottom w:val="0"/>
      <w:divBdr>
        <w:top w:val="none" w:sz="0" w:space="0" w:color="auto"/>
        <w:left w:val="none" w:sz="0" w:space="0" w:color="auto"/>
        <w:bottom w:val="none" w:sz="0" w:space="0" w:color="auto"/>
        <w:right w:val="none" w:sz="0" w:space="0" w:color="auto"/>
      </w:divBdr>
      <w:divsChild>
        <w:div w:id="1612317131">
          <w:marLeft w:val="0"/>
          <w:marRight w:val="0"/>
          <w:marTop w:val="0"/>
          <w:marBottom w:val="0"/>
          <w:divBdr>
            <w:top w:val="none" w:sz="0" w:space="0" w:color="auto"/>
            <w:left w:val="none" w:sz="0" w:space="0" w:color="auto"/>
            <w:bottom w:val="none" w:sz="0" w:space="0" w:color="auto"/>
            <w:right w:val="none" w:sz="0" w:space="0" w:color="auto"/>
          </w:divBdr>
        </w:div>
        <w:div w:id="1567908737">
          <w:marLeft w:val="0"/>
          <w:marRight w:val="0"/>
          <w:marTop w:val="0"/>
          <w:marBottom w:val="0"/>
          <w:divBdr>
            <w:top w:val="none" w:sz="0" w:space="0" w:color="auto"/>
            <w:left w:val="none" w:sz="0" w:space="0" w:color="auto"/>
            <w:bottom w:val="none" w:sz="0" w:space="0" w:color="auto"/>
            <w:right w:val="none" w:sz="0" w:space="0" w:color="auto"/>
          </w:divBdr>
        </w:div>
        <w:div w:id="1845899598">
          <w:marLeft w:val="0"/>
          <w:marRight w:val="0"/>
          <w:marTop w:val="0"/>
          <w:marBottom w:val="0"/>
          <w:divBdr>
            <w:top w:val="none" w:sz="0" w:space="0" w:color="auto"/>
            <w:left w:val="none" w:sz="0" w:space="0" w:color="auto"/>
            <w:bottom w:val="none" w:sz="0" w:space="0" w:color="auto"/>
            <w:right w:val="none" w:sz="0" w:space="0" w:color="auto"/>
          </w:divBdr>
        </w:div>
        <w:div w:id="369644660">
          <w:marLeft w:val="0"/>
          <w:marRight w:val="0"/>
          <w:marTop w:val="0"/>
          <w:marBottom w:val="0"/>
          <w:divBdr>
            <w:top w:val="none" w:sz="0" w:space="0" w:color="auto"/>
            <w:left w:val="none" w:sz="0" w:space="0" w:color="auto"/>
            <w:bottom w:val="none" w:sz="0" w:space="0" w:color="auto"/>
            <w:right w:val="none" w:sz="0" w:space="0" w:color="auto"/>
          </w:divBdr>
        </w:div>
        <w:div w:id="23749061">
          <w:marLeft w:val="0"/>
          <w:marRight w:val="0"/>
          <w:marTop w:val="0"/>
          <w:marBottom w:val="0"/>
          <w:divBdr>
            <w:top w:val="none" w:sz="0" w:space="0" w:color="auto"/>
            <w:left w:val="none" w:sz="0" w:space="0" w:color="auto"/>
            <w:bottom w:val="none" w:sz="0" w:space="0" w:color="auto"/>
            <w:right w:val="none" w:sz="0" w:space="0" w:color="auto"/>
          </w:divBdr>
        </w:div>
        <w:div w:id="1993175419">
          <w:marLeft w:val="0"/>
          <w:marRight w:val="0"/>
          <w:marTop w:val="0"/>
          <w:marBottom w:val="0"/>
          <w:divBdr>
            <w:top w:val="none" w:sz="0" w:space="0" w:color="auto"/>
            <w:left w:val="none" w:sz="0" w:space="0" w:color="auto"/>
            <w:bottom w:val="none" w:sz="0" w:space="0" w:color="auto"/>
            <w:right w:val="none" w:sz="0" w:space="0" w:color="auto"/>
          </w:divBdr>
        </w:div>
        <w:div w:id="888759268">
          <w:marLeft w:val="0"/>
          <w:marRight w:val="0"/>
          <w:marTop w:val="0"/>
          <w:marBottom w:val="0"/>
          <w:divBdr>
            <w:top w:val="none" w:sz="0" w:space="0" w:color="auto"/>
            <w:left w:val="none" w:sz="0" w:space="0" w:color="auto"/>
            <w:bottom w:val="none" w:sz="0" w:space="0" w:color="auto"/>
            <w:right w:val="none" w:sz="0" w:space="0" w:color="auto"/>
          </w:divBdr>
        </w:div>
        <w:div w:id="1192763818">
          <w:marLeft w:val="0"/>
          <w:marRight w:val="0"/>
          <w:marTop w:val="0"/>
          <w:marBottom w:val="0"/>
          <w:divBdr>
            <w:top w:val="none" w:sz="0" w:space="0" w:color="auto"/>
            <w:left w:val="none" w:sz="0" w:space="0" w:color="auto"/>
            <w:bottom w:val="none" w:sz="0" w:space="0" w:color="auto"/>
            <w:right w:val="none" w:sz="0" w:space="0" w:color="auto"/>
          </w:divBdr>
        </w:div>
        <w:div w:id="421146895">
          <w:marLeft w:val="0"/>
          <w:marRight w:val="0"/>
          <w:marTop w:val="0"/>
          <w:marBottom w:val="0"/>
          <w:divBdr>
            <w:top w:val="none" w:sz="0" w:space="0" w:color="auto"/>
            <w:left w:val="none" w:sz="0" w:space="0" w:color="auto"/>
            <w:bottom w:val="none" w:sz="0" w:space="0" w:color="auto"/>
            <w:right w:val="none" w:sz="0" w:space="0" w:color="auto"/>
          </w:divBdr>
        </w:div>
        <w:div w:id="865098418">
          <w:marLeft w:val="0"/>
          <w:marRight w:val="0"/>
          <w:marTop w:val="0"/>
          <w:marBottom w:val="0"/>
          <w:divBdr>
            <w:top w:val="none" w:sz="0" w:space="0" w:color="auto"/>
            <w:left w:val="none" w:sz="0" w:space="0" w:color="auto"/>
            <w:bottom w:val="none" w:sz="0" w:space="0" w:color="auto"/>
            <w:right w:val="none" w:sz="0" w:space="0" w:color="auto"/>
          </w:divBdr>
        </w:div>
        <w:div w:id="42340219">
          <w:marLeft w:val="0"/>
          <w:marRight w:val="0"/>
          <w:marTop w:val="0"/>
          <w:marBottom w:val="0"/>
          <w:divBdr>
            <w:top w:val="none" w:sz="0" w:space="0" w:color="auto"/>
            <w:left w:val="none" w:sz="0" w:space="0" w:color="auto"/>
            <w:bottom w:val="none" w:sz="0" w:space="0" w:color="auto"/>
            <w:right w:val="none" w:sz="0" w:space="0" w:color="auto"/>
          </w:divBdr>
        </w:div>
        <w:div w:id="1880314007">
          <w:marLeft w:val="0"/>
          <w:marRight w:val="0"/>
          <w:marTop w:val="0"/>
          <w:marBottom w:val="0"/>
          <w:divBdr>
            <w:top w:val="none" w:sz="0" w:space="0" w:color="auto"/>
            <w:left w:val="none" w:sz="0" w:space="0" w:color="auto"/>
            <w:bottom w:val="none" w:sz="0" w:space="0" w:color="auto"/>
            <w:right w:val="none" w:sz="0" w:space="0" w:color="auto"/>
          </w:divBdr>
        </w:div>
        <w:div w:id="1447390325">
          <w:marLeft w:val="0"/>
          <w:marRight w:val="0"/>
          <w:marTop w:val="0"/>
          <w:marBottom w:val="0"/>
          <w:divBdr>
            <w:top w:val="none" w:sz="0" w:space="0" w:color="auto"/>
            <w:left w:val="none" w:sz="0" w:space="0" w:color="auto"/>
            <w:bottom w:val="none" w:sz="0" w:space="0" w:color="auto"/>
            <w:right w:val="none" w:sz="0" w:space="0" w:color="auto"/>
          </w:divBdr>
        </w:div>
        <w:div w:id="1817069863">
          <w:marLeft w:val="0"/>
          <w:marRight w:val="0"/>
          <w:marTop w:val="0"/>
          <w:marBottom w:val="0"/>
          <w:divBdr>
            <w:top w:val="none" w:sz="0" w:space="0" w:color="auto"/>
            <w:left w:val="none" w:sz="0" w:space="0" w:color="auto"/>
            <w:bottom w:val="none" w:sz="0" w:space="0" w:color="auto"/>
            <w:right w:val="none" w:sz="0" w:space="0" w:color="auto"/>
          </w:divBdr>
        </w:div>
        <w:div w:id="33963449">
          <w:marLeft w:val="0"/>
          <w:marRight w:val="0"/>
          <w:marTop w:val="0"/>
          <w:marBottom w:val="0"/>
          <w:divBdr>
            <w:top w:val="none" w:sz="0" w:space="0" w:color="auto"/>
            <w:left w:val="none" w:sz="0" w:space="0" w:color="auto"/>
            <w:bottom w:val="none" w:sz="0" w:space="0" w:color="auto"/>
            <w:right w:val="none" w:sz="0" w:space="0" w:color="auto"/>
          </w:divBdr>
        </w:div>
        <w:div w:id="1781293463">
          <w:marLeft w:val="0"/>
          <w:marRight w:val="0"/>
          <w:marTop w:val="0"/>
          <w:marBottom w:val="0"/>
          <w:divBdr>
            <w:top w:val="none" w:sz="0" w:space="0" w:color="auto"/>
            <w:left w:val="none" w:sz="0" w:space="0" w:color="auto"/>
            <w:bottom w:val="none" w:sz="0" w:space="0" w:color="auto"/>
            <w:right w:val="none" w:sz="0" w:space="0" w:color="auto"/>
          </w:divBdr>
        </w:div>
        <w:div w:id="1971354863">
          <w:marLeft w:val="0"/>
          <w:marRight w:val="0"/>
          <w:marTop w:val="0"/>
          <w:marBottom w:val="0"/>
          <w:divBdr>
            <w:top w:val="none" w:sz="0" w:space="0" w:color="auto"/>
            <w:left w:val="none" w:sz="0" w:space="0" w:color="auto"/>
            <w:bottom w:val="none" w:sz="0" w:space="0" w:color="auto"/>
            <w:right w:val="none" w:sz="0" w:space="0" w:color="auto"/>
          </w:divBdr>
        </w:div>
        <w:div w:id="49691422">
          <w:marLeft w:val="0"/>
          <w:marRight w:val="0"/>
          <w:marTop w:val="0"/>
          <w:marBottom w:val="0"/>
          <w:divBdr>
            <w:top w:val="none" w:sz="0" w:space="0" w:color="auto"/>
            <w:left w:val="none" w:sz="0" w:space="0" w:color="auto"/>
            <w:bottom w:val="none" w:sz="0" w:space="0" w:color="auto"/>
            <w:right w:val="none" w:sz="0" w:space="0" w:color="auto"/>
          </w:divBdr>
        </w:div>
        <w:div w:id="373500908">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573006990">
          <w:marLeft w:val="0"/>
          <w:marRight w:val="0"/>
          <w:marTop w:val="0"/>
          <w:marBottom w:val="0"/>
          <w:divBdr>
            <w:top w:val="none" w:sz="0" w:space="0" w:color="auto"/>
            <w:left w:val="none" w:sz="0" w:space="0" w:color="auto"/>
            <w:bottom w:val="none" w:sz="0" w:space="0" w:color="auto"/>
            <w:right w:val="none" w:sz="0" w:space="0" w:color="auto"/>
          </w:divBdr>
        </w:div>
      </w:divsChild>
    </w:div>
    <w:div w:id="820929226">
      <w:bodyDiv w:val="1"/>
      <w:marLeft w:val="0"/>
      <w:marRight w:val="0"/>
      <w:marTop w:val="0"/>
      <w:marBottom w:val="0"/>
      <w:divBdr>
        <w:top w:val="none" w:sz="0" w:space="0" w:color="auto"/>
        <w:left w:val="none" w:sz="0" w:space="0" w:color="auto"/>
        <w:bottom w:val="none" w:sz="0" w:space="0" w:color="auto"/>
        <w:right w:val="none" w:sz="0" w:space="0" w:color="auto"/>
      </w:divBdr>
      <w:divsChild>
        <w:div w:id="436410381">
          <w:marLeft w:val="0"/>
          <w:marRight w:val="0"/>
          <w:marTop w:val="0"/>
          <w:marBottom w:val="0"/>
          <w:divBdr>
            <w:top w:val="none" w:sz="0" w:space="0" w:color="auto"/>
            <w:left w:val="none" w:sz="0" w:space="0" w:color="auto"/>
            <w:bottom w:val="none" w:sz="0" w:space="0" w:color="auto"/>
            <w:right w:val="none" w:sz="0" w:space="0" w:color="auto"/>
          </w:divBdr>
        </w:div>
        <w:div w:id="1239096386">
          <w:marLeft w:val="0"/>
          <w:marRight w:val="0"/>
          <w:marTop w:val="0"/>
          <w:marBottom w:val="0"/>
          <w:divBdr>
            <w:top w:val="none" w:sz="0" w:space="0" w:color="auto"/>
            <w:left w:val="none" w:sz="0" w:space="0" w:color="auto"/>
            <w:bottom w:val="none" w:sz="0" w:space="0" w:color="auto"/>
            <w:right w:val="none" w:sz="0" w:space="0" w:color="auto"/>
          </w:divBdr>
        </w:div>
      </w:divsChild>
    </w:div>
    <w:div w:id="855848601">
      <w:bodyDiv w:val="1"/>
      <w:marLeft w:val="0"/>
      <w:marRight w:val="0"/>
      <w:marTop w:val="0"/>
      <w:marBottom w:val="0"/>
      <w:divBdr>
        <w:top w:val="none" w:sz="0" w:space="0" w:color="auto"/>
        <w:left w:val="none" w:sz="0" w:space="0" w:color="auto"/>
        <w:bottom w:val="none" w:sz="0" w:space="0" w:color="auto"/>
        <w:right w:val="none" w:sz="0" w:space="0" w:color="auto"/>
      </w:divBdr>
      <w:divsChild>
        <w:div w:id="753166962">
          <w:marLeft w:val="0"/>
          <w:marRight w:val="0"/>
          <w:marTop w:val="0"/>
          <w:marBottom w:val="0"/>
          <w:divBdr>
            <w:top w:val="none" w:sz="0" w:space="0" w:color="auto"/>
            <w:left w:val="none" w:sz="0" w:space="0" w:color="auto"/>
            <w:bottom w:val="none" w:sz="0" w:space="0" w:color="auto"/>
            <w:right w:val="none" w:sz="0" w:space="0" w:color="auto"/>
          </w:divBdr>
        </w:div>
        <w:div w:id="742484477">
          <w:marLeft w:val="0"/>
          <w:marRight w:val="0"/>
          <w:marTop w:val="0"/>
          <w:marBottom w:val="0"/>
          <w:divBdr>
            <w:top w:val="none" w:sz="0" w:space="0" w:color="auto"/>
            <w:left w:val="none" w:sz="0" w:space="0" w:color="auto"/>
            <w:bottom w:val="none" w:sz="0" w:space="0" w:color="auto"/>
            <w:right w:val="none" w:sz="0" w:space="0" w:color="auto"/>
          </w:divBdr>
        </w:div>
      </w:divsChild>
    </w:div>
    <w:div w:id="1283266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947">
          <w:marLeft w:val="0"/>
          <w:marRight w:val="0"/>
          <w:marTop w:val="0"/>
          <w:marBottom w:val="0"/>
          <w:divBdr>
            <w:top w:val="none" w:sz="0" w:space="0" w:color="auto"/>
            <w:left w:val="none" w:sz="0" w:space="0" w:color="auto"/>
            <w:bottom w:val="none" w:sz="0" w:space="0" w:color="auto"/>
            <w:right w:val="none" w:sz="0" w:space="0" w:color="auto"/>
          </w:divBdr>
        </w:div>
        <w:div w:id="160505358">
          <w:marLeft w:val="0"/>
          <w:marRight w:val="0"/>
          <w:marTop w:val="0"/>
          <w:marBottom w:val="0"/>
          <w:divBdr>
            <w:top w:val="none" w:sz="0" w:space="0" w:color="auto"/>
            <w:left w:val="none" w:sz="0" w:space="0" w:color="auto"/>
            <w:bottom w:val="none" w:sz="0" w:space="0" w:color="auto"/>
            <w:right w:val="none" w:sz="0" w:space="0" w:color="auto"/>
          </w:divBdr>
        </w:div>
        <w:div w:id="274602328">
          <w:marLeft w:val="0"/>
          <w:marRight w:val="0"/>
          <w:marTop w:val="0"/>
          <w:marBottom w:val="0"/>
          <w:divBdr>
            <w:top w:val="none" w:sz="0" w:space="0" w:color="auto"/>
            <w:left w:val="none" w:sz="0" w:space="0" w:color="auto"/>
            <w:bottom w:val="none" w:sz="0" w:space="0" w:color="auto"/>
            <w:right w:val="none" w:sz="0" w:space="0" w:color="auto"/>
          </w:divBdr>
        </w:div>
      </w:divsChild>
    </w:div>
    <w:div w:id="1449356487">
      <w:bodyDiv w:val="1"/>
      <w:marLeft w:val="0"/>
      <w:marRight w:val="0"/>
      <w:marTop w:val="0"/>
      <w:marBottom w:val="0"/>
      <w:divBdr>
        <w:top w:val="none" w:sz="0" w:space="0" w:color="auto"/>
        <w:left w:val="none" w:sz="0" w:space="0" w:color="auto"/>
        <w:bottom w:val="none" w:sz="0" w:space="0" w:color="auto"/>
        <w:right w:val="none" w:sz="0" w:space="0" w:color="auto"/>
      </w:divBdr>
      <w:divsChild>
        <w:div w:id="674918157">
          <w:marLeft w:val="0"/>
          <w:marRight w:val="0"/>
          <w:marTop w:val="0"/>
          <w:marBottom w:val="0"/>
          <w:divBdr>
            <w:top w:val="none" w:sz="0" w:space="0" w:color="auto"/>
            <w:left w:val="none" w:sz="0" w:space="0" w:color="auto"/>
            <w:bottom w:val="none" w:sz="0" w:space="0" w:color="auto"/>
            <w:right w:val="none" w:sz="0" w:space="0" w:color="auto"/>
          </w:divBdr>
        </w:div>
        <w:div w:id="1835030161">
          <w:marLeft w:val="0"/>
          <w:marRight w:val="0"/>
          <w:marTop w:val="0"/>
          <w:marBottom w:val="0"/>
          <w:divBdr>
            <w:top w:val="none" w:sz="0" w:space="0" w:color="auto"/>
            <w:left w:val="none" w:sz="0" w:space="0" w:color="auto"/>
            <w:bottom w:val="none" w:sz="0" w:space="0" w:color="auto"/>
            <w:right w:val="none" w:sz="0" w:space="0" w:color="auto"/>
          </w:divBdr>
        </w:div>
        <w:div w:id="613445890">
          <w:marLeft w:val="0"/>
          <w:marRight w:val="0"/>
          <w:marTop w:val="0"/>
          <w:marBottom w:val="0"/>
          <w:divBdr>
            <w:top w:val="none" w:sz="0" w:space="0" w:color="auto"/>
            <w:left w:val="none" w:sz="0" w:space="0" w:color="auto"/>
            <w:bottom w:val="none" w:sz="0" w:space="0" w:color="auto"/>
            <w:right w:val="none" w:sz="0" w:space="0" w:color="auto"/>
          </w:divBdr>
        </w:div>
        <w:div w:id="2132549850">
          <w:marLeft w:val="0"/>
          <w:marRight w:val="0"/>
          <w:marTop w:val="0"/>
          <w:marBottom w:val="0"/>
          <w:divBdr>
            <w:top w:val="none" w:sz="0" w:space="0" w:color="auto"/>
            <w:left w:val="none" w:sz="0" w:space="0" w:color="auto"/>
            <w:bottom w:val="none" w:sz="0" w:space="0" w:color="auto"/>
            <w:right w:val="none" w:sz="0" w:space="0" w:color="auto"/>
          </w:divBdr>
        </w:div>
        <w:div w:id="1501505778">
          <w:marLeft w:val="0"/>
          <w:marRight w:val="0"/>
          <w:marTop w:val="0"/>
          <w:marBottom w:val="0"/>
          <w:divBdr>
            <w:top w:val="none" w:sz="0" w:space="0" w:color="auto"/>
            <w:left w:val="none" w:sz="0" w:space="0" w:color="auto"/>
            <w:bottom w:val="none" w:sz="0" w:space="0" w:color="auto"/>
            <w:right w:val="none" w:sz="0" w:space="0" w:color="auto"/>
          </w:divBdr>
        </w:div>
      </w:divsChild>
    </w:div>
    <w:div w:id="1878659805">
      <w:bodyDiv w:val="1"/>
      <w:marLeft w:val="0"/>
      <w:marRight w:val="0"/>
      <w:marTop w:val="0"/>
      <w:marBottom w:val="0"/>
      <w:divBdr>
        <w:top w:val="none" w:sz="0" w:space="0" w:color="auto"/>
        <w:left w:val="none" w:sz="0" w:space="0" w:color="auto"/>
        <w:bottom w:val="none" w:sz="0" w:space="0" w:color="auto"/>
        <w:right w:val="none" w:sz="0" w:space="0" w:color="auto"/>
      </w:divBdr>
      <w:divsChild>
        <w:div w:id="1151478988">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 w:id="156389997">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738630665">
          <w:marLeft w:val="0"/>
          <w:marRight w:val="0"/>
          <w:marTop w:val="0"/>
          <w:marBottom w:val="0"/>
          <w:divBdr>
            <w:top w:val="none" w:sz="0" w:space="0" w:color="auto"/>
            <w:left w:val="none" w:sz="0" w:space="0" w:color="auto"/>
            <w:bottom w:val="none" w:sz="0" w:space="0" w:color="auto"/>
            <w:right w:val="none" w:sz="0" w:space="0" w:color="auto"/>
          </w:divBdr>
        </w:div>
        <w:div w:id="454452191">
          <w:marLeft w:val="0"/>
          <w:marRight w:val="0"/>
          <w:marTop w:val="0"/>
          <w:marBottom w:val="0"/>
          <w:divBdr>
            <w:top w:val="none" w:sz="0" w:space="0" w:color="auto"/>
            <w:left w:val="none" w:sz="0" w:space="0" w:color="auto"/>
            <w:bottom w:val="none" w:sz="0" w:space="0" w:color="auto"/>
            <w:right w:val="none" w:sz="0" w:space="0" w:color="auto"/>
          </w:divBdr>
        </w:div>
        <w:div w:id="25180958">
          <w:marLeft w:val="0"/>
          <w:marRight w:val="0"/>
          <w:marTop w:val="0"/>
          <w:marBottom w:val="0"/>
          <w:divBdr>
            <w:top w:val="none" w:sz="0" w:space="0" w:color="auto"/>
            <w:left w:val="none" w:sz="0" w:space="0" w:color="auto"/>
            <w:bottom w:val="none" w:sz="0" w:space="0" w:color="auto"/>
            <w:right w:val="none" w:sz="0" w:space="0" w:color="auto"/>
          </w:divBdr>
        </w:div>
        <w:div w:id="202864402">
          <w:marLeft w:val="0"/>
          <w:marRight w:val="0"/>
          <w:marTop w:val="0"/>
          <w:marBottom w:val="0"/>
          <w:divBdr>
            <w:top w:val="none" w:sz="0" w:space="0" w:color="auto"/>
            <w:left w:val="none" w:sz="0" w:space="0" w:color="auto"/>
            <w:bottom w:val="none" w:sz="0" w:space="0" w:color="auto"/>
            <w:right w:val="none" w:sz="0" w:space="0" w:color="auto"/>
          </w:divBdr>
        </w:div>
        <w:div w:id="284194947">
          <w:marLeft w:val="0"/>
          <w:marRight w:val="0"/>
          <w:marTop w:val="0"/>
          <w:marBottom w:val="0"/>
          <w:divBdr>
            <w:top w:val="none" w:sz="0" w:space="0" w:color="auto"/>
            <w:left w:val="none" w:sz="0" w:space="0" w:color="auto"/>
            <w:bottom w:val="none" w:sz="0" w:space="0" w:color="auto"/>
            <w:right w:val="none" w:sz="0" w:space="0" w:color="auto"/>
          </w:divBdr>
        </w:div>
        <w:div w:id="152235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ED017-74BB-44FC-A458-59BCC088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1762</Words>
  <Characters>11495</Characters>
  <Application>Microsoft Office Word</Application>
  <DocSecurity>0</DocSecurity>
  <Lines>209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2019-09-23T15:47:00Z</dcterms:created>
  <dcterms:modified xsi:type="dcterms:W3CDTF">2019-10-07T14:00:00Z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