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DBE9D183-1705-4727-88E1-E25880C30B5A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Razões e objetivos da proposta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Com a criação da CICTA, a Convenção Internacional para a Conservação dos Tunídeos do Atlântico (Convenção CICTA) visa cooperar na manutenção das populações de tunídeos e espécies afins do oceano Atlântico a níveis que permitem capturas máximas sustentáveis para a alimentação e outros propósitos. A Convenção entrou em vigor em 21 de março de 1969. A União é parte na Convenção, tendo-a aprovado pela Decisão do Conselho, de 9 de junho de 1986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A Comissão Internacional para a Conservação dos Tunídeos do Atlântico (Comissão da CICTA) é o órgão instituído pela Convenção CICTA para a conservação e a gestão das espécies sob a sua alçada. A Comissão da CICTA tem autoridade para adotar recomendações vinculativas para as partes contratantes. Enquanto parte contratante na Convenção CICTA, a União é membro da Comissão da CICTA, em que tem o direito de participar e de votar.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A fim de melhorar a sua eficácia e reforçar a conservação e a gestão das espécies sob a sua alçada, a Comissão da CICTA acordou na necessidade de alterar a Convenção. Em 13 de maio de 2013, o Conselho autorizou a Comissão a negociar, em nome da União Europeia, alterações à Convenção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Entre 2013 e 2018, realizaram-se na Comissão da CICTA discussões sobre as alterações necessárias à Convenção, em resultado das quais foi elaborado um protocolo para alterar a Convenção. Uma vez em vigor, as principais alterações: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Alargarão o âmbito de aplicação da Convenção no que diz respeito à conservação e gestão dos tubarões;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Clarificarão as regras de votação e quórum na Comissão da CICTA, em particular os requisitos de maioria nas situações em que não é possível alcançar um consenso;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Definirão os princípios que devem reger a atuação da Comissão da CICTA e dos seus membros na condução dos trabalhos no âmbito da Convenção CICTA;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Reduzirão o período para que as recomendações adotadas pela Comissão da CICTA produzam efeitos de seis para quatro meses após a notificação aos membros da CICTA;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 xml:space="preserve">Clarificarão o recurso ao procedimento de oposição relativo às recomendações adotadas pela Comissão da CICTA; 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 xml:space="preserve">Permitirão o reforço da participação de entidades de pesca e de partes não contratantes cooperantes nos trabalhos da Comissão da CICTA; </w:t>
      </w:r>
    </w:p>
    <w:p>
      <w:pPr>
        <w:pStyle w:val="Point0"/>
        <w:rPr>
          <w:noProof/>
        </w:rPr>
      </w:pPr>
      <w:r>
        <w:lastRenderedPageBreak/>
        <w:t>(7)</w:t>
      </w:r>
      <w:r>
        <w:tab/>
      </w:r>
      <w:r>
        <w:rPr>
          <w:noProof/>
        </w:rPr>
        <w:t xml:space="preserve">Introduzirão um mecanismo de resolução de litígios da CICTA voluntário, mas cujo resultado será definitivo e vinculativo para as partes que a ele recorrem.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A alteração da Convenção é igualmente utilizada como uma oportunidade para eliminar ligeiras variações entre as versões em língua espanhola, francesa e inglesa, que fazem igualmente fé. Por conseguinte, do protocolo constam todas as disposições que devem ser alteradas em qualquer das três versões linguísticas.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O protocolo será adotado pelas partes contratantes na 28.ª reunião ordinária da Comissão da CICTA de 18 a 25 de novembro de 2019.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A presente proposta diz respeito a uma decisão do Conselho que autoriza a celebração, em nome da União, do protocolo.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O protocolo faz parte de um pacote mais vasto que inclui também: </w:t>
      </w:r>
    </w:p>
    <w:p>
      <w:pPr>
        <w:pStyle w:val="Point0"/>
        <w:rPr>
          <w:noProof/>
        </w:rPr>
      </w:pPr>
      <w:r>
        <w:t>(8)</w:t>
      </w:r>
      <w:r>
        <w:tab/>
      </w:r>
      <w:r>
        <w:rPr>
          <w:i/>
          <w:noProof/>
        </w:rPr>
        <w:t>Uma Resolução da CICTA relativa à participação de entidades de pesca no âmbito da Convenção CICTA alterada.</w:t>
      </w:r>
      <w:r>
        <w:rPr>
          <w:noProof/>
        </w:rPr>
        <w:t xml:space="preserve"> Esta resolução clarifica as alterações da Convenção relativas à participação das não partes, nomeadamente o facto de o Taipé Chinês ser a entidade de pesca a que faz referência o anexo 2 relativo às entidades de pesca, que é aditado à Convenção pelo artigo 11.º do protocolo; </w:t>
      </w:r>
    </w:p>
    <w:p>
      <w:pPr>
        <w:pStyle w:val="Point0"/>
        <w:rPr>
          <w:noProof/>
        </w:rPr>
      </w:pPr>
      <w:r>
        <w:t>(9)</w:t>
      </w:r>
      <w:r>
        <w:tab/>
      </w:r>
      <w:r>
        <w:rPr>
          <w:noProof/>
        </w:rPr>
        <w:t xml:space="preserve">Uma recomendação da CICTA relativa aos peixes considerados tunídeos e espécies afins ou elasmobrânquios oceânicos, pelágicos e altamente migradores. Esta recomendação clarifica as espécies abrangidas pela Convenção, nomeadamente definindo expressamente «espécies da CICTA» como incluindo os elasmobrânquios (tubarões e raias) oceânicos, pelágicos e altamente migradores.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A resolução e a recomendação devem ser adotadas pela Comissão da CICTA concomitantemente com a adoção do protocolo pelas partes contratantes. Em conformidade com o artigo VIII, n.º 2, da Convenção CICTA, a recomendação produzirá efeitos seis meses após a data em que dela tiverem sido notificadas as partes contratantes. A recomendação não é vinculativa para as partes contratantes que tenham apresentado e confirmado uma objeção em relação a ela. Se a objeção for apoiada pela maioria das partes contratantes, a recomendação não produzirá efeitos.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Coerência com as disposições existentes da mesma política setorial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As organizações regionais de gestão das pescas (ORGP) são organizações internacionais de países, alguns dos quais são Estados costeiros, de organizações de integração regional, como a UE, e de entidades de pesca com interesses de pesca numa dada zona. Algumas gerem todas as unidades populacionais de uma determinada zona, outras concentram-se em espécies altamente migradoras, como o atum, cobrindo vastas zonas geográficas. Embora algumas ORGP sejam meramente consultivas, a maioria tem poderes de gestão que lhes permitem estabelecer limites de captura e de esforço de pesca, medidas técnicas e obrigações de controlo.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A União Europeia, representada pela Comissão Europeia, apoia e contribui ativamente para o trabalho da CICTA, em conformidade com a Comunicação da Comissão relativa à participação em organizações regionais de pesca (ORP)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com o artigo 29.º do Regulamento (UE) n.º 1380/2013 do Parlamento Europeu e do Conselho relativo à política comum das </w:t>
      </w:r>
      <w:r>
        <w:rPr>
          <w:noProof/>
        </w:rPr>
        <w:lastRenderedPageBreak/>
        <w:t>pescas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e com as conclusões do Conselho de 19 de março de 2012 sobre a Comunicação da Comissão relativa à dimensão externa da política comum das pescas</w:t>
      </w:r>
      <w:r>
        <w:rPr>
          <w:rStyle w:val="FootnoteReference"/>
          <w:noProof/>
        </w:rPr>
        <w:footnoteReference w:id="5"/>
      </w:r>
      <w:r>
        <w:rPr>
          <w:noProof/>
        </w:rPr>
        <w:t>. As alterações da Convenção são necessárias para assegurar a exploração sustentável, a gestão e a conservação dos recursos biológicos marinhos e do meio marinho geridos pela CICTA, bem como das espécies capturadas no contexto de atividades de pesca dirigidas a espécies da CICTA.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</w:rPr>
        <w:t>Decorre da Comunicação Conjunta da Alta Representante da União para os Negócios Estrangeiros e a Política de Segurança e da Comissão Europeia intitulada «Governação internacional dos oceanos: uma agenda para o futuro dos oceanos»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e das conclusões do Conselho sobre essa comunicação conjunta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que a promoção de medidas para apoiar e aumentar a eficácia das organizações regionais de gestão das pescas e, se necessário, melhorar a respetiva governação é um elemento central da ação da União nessas instâncias.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presente proposta de decisão do Conselho baseia-se no Tratado sobre o Funcionamento da União Europeia, nomeadamente no artigo 43.º, n.º 2, em conjugação com o artigo 218.º, n.º 6.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Subsidiariedade (no caso de competência não exclusiva)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não excede o necessário para atingir o objetivo prosseguido, nomeadamente a celebração do protocolo pela União.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Escolha do instrumento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Decorre do artigo 218.º, n.º 6, do Tratado sobre o Funcionamento da União Europeia que a Comissão deve apresentar uma proposta para que o Conselho adote uma decisão relativa à celebração do protocolo.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Avaliações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/balanços de qualidade da legislação existente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Consultas das partes interessadas</w:t>
      </w:r>
    </w:p>
    <w:p>
      <w:pPr>
        <w:spacing w:before="0" w:after="240"/>
        <w:rPr>
          <w:rFonts w:eastAsia="Times New Roman"/>
          <w:noProof/>
        </w:rPr>
      </w:pPr>
      <w:r>
        <w:rPr>
          <w:noProof/>
        </w:rPr>
        <w:t>Em 13 de maio de 2013, o Conselho autorizou a Comissão a negociar, em nome da União Europeia, alterações à Convenção.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As alterações foram preparadas em seis reuniões do grupo de trabalho sobre a alteração da Convenção criado para esse efeito pela CICTA, a primeira das quais decorreu de 10 a 12 de julho de 2013 e a última de 24 a 25 de maio de 2018. Os Estados-Membros foram informados dos progressos nas negociações.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Recolha e utilização de conhecimentos especializados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 preparação das alterações à Convenção, bem como nas negociações atinentes na CICTA, a Comissão baseou-se nos conhecimentos especializados dos Estados-Membros.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Avaliação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Adequação da regulamentação e simplificação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Direitos fundamentais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presente proposta não implica custos adicionais para o orçamento da 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Planos de execução e acompanhamento, avaliação e informação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Documentos explicativos (para as diretivas)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Explicação pormenorizada das disposições específicas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t xml:space="preserve"> 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2019/0225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celebração, em nome da União, do Protocolo que altera a Convenção Internacional para a Conservação dos Tunídeos do Atlântico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43.º, n.º 2, em conjugação com o artigo 218.º, n.º 6, segundo parágrafo, alínea a), subalínea v),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a aprovação do Parlamento Europeu</w:t>
      </w:r>
      <w:r>
        <w:rPr>
          <w:rStyle w:val="FootnoteReference"/>
          <w:noProof/>
        </w:rPr>
        <w:footnoteReference w:id="8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Em conformidade com a Decisão [XXXX] do Conselho, de [XXXX], o Protocolo que altera a Convenção Internacional para a Conservação dos Tunídeos do Atlântico foi assinado em [XXXX] e é aplicado a título provisório a partir da data da sua entrada em vigor, enquanto se aguarda a sua celebração em data posterior.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Nos termos do Regulamento (UE) n.º 1380/2013 do Parlamento Europeu e do Conselho</w:t>
      </w:r>
      <w:r>
        <w:rPr>
          <w:rStyle w:val="FootnoteReference"/>
          <w:noProof/>
        </w:rPr>
        <w:footnoteReference w:id="9"/>
      </w:r>
      <w:r>
        <w:rPr>
          <w:noProof/>
        </w:rPr>
        <w:t>, a União deve garantir a sustentabilidade ambiental a longo prazo das atividades da pesca e da aquicultura e a sua gestão de forma consentânea com os objetivos de obter benefícios económicos, sociais e de emprego e de contribuir para o abastecimento de produtos alimentares. O mesmo regulamento dispõe igualmente que a União deve aplicar a abordagem de precaução à gestão das pescas e visar a exploração dos recursos biológicos marinhos vivos de forma a restabelecer e manter as populações das espécies exploradas acima dos níveis suscetíveis de gerar o rendimento máximo sustentável. Dispõe ainda que a União deve adotar medidas de gestão e de conservação com base nos melhores pareceres científicos disponíveis e, para tal, apoiar o desenvolvimento de conhecimentos e pareceres científicos, eliminar progressivamente as devoluções, promover métodos que contribuam para uma pesca mais seletiva, para a prevenção e redução, na medida do possível, das capturas indesejadas, e para uma pesca de baixo impacto no ecossistema marinho e nos recursos haliêuticos. Além disso, o Regulamento (UE) n.º 1380/2013 dispõe expressamente que esses objetivos e princípios devem ser aplicados pela União na condução das suas relações externas neste domínio. O protocolo é coerente com estes objetivos.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Decorre da Comunicação Conjunta da Alta Representante da União para os Negócios Estrangeiros e a Política de Segurança e da Comissão Europeia intitulada </w:t>
      </w:r>
      <w:r>
        <w:rPr>
          <w:noProof/>
        </w:rPr>
        <w:lastRenderedPageBreak/>
        <w:t>«</w:t>
      </w:r>
      <w:r>
        <w:rPr>
          <w:i/>
          <w:noProof/>
        </w:rPr>
        <w:t>Governação internacional dos oceanos: uma agenda para o futuro dos oceanos</w:t>
      </w:r>
      <w:r>
        <w:rPr>
          <w:noProof/>
        </w:rPr>
        <w:t>»</w:t>
      </w:r>
      <w:r>
        <w:rPr>
          <w:rStyle w:val="FootnoteReference"/>
          <w:noProof/>
        </w:rPr>
        <w:footnoteReference w:id="10"/>
      </w:r>
      <w:r>
        <w:rPr>
          <w:noProof/>
        </w:rPr>
        <w:t>, bem como das conclusões do Conselho sobre esta comunicação conjunta</w:t>
      </w:r>
      <w:r>
        <w:rPr>
          <w:rStyle w:val="FootnoteReference"/>
          <w:noProof/>
        </w:rPr>
        <w:footnoteReference w:id="11"/>
      </w:r>
      <w:r>
        <w:rPr>
          <w:noProof/>
        </w:rPr>
        <w:t>, que a promoção de medidas destinadas a apoiar e aumentar a eficácia das organizações regionais de gestão das pescas (ORGP) e, se for caso disso, melhorar a sua governação é fundamental para a ação da União nestes fóruns. O protocolo está em plena consonância com estes objetivos.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 protocolo deve ser aprovado em nome da União Europeia,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keepLines/>
        <w:rPr>
          <w:noProof/>
        </w:rPr>
      </w:pPr>
      <w:r>
        <w:rPr>
          <w:noProof/>
        </w:rPr>
        <w:t>É aprovado, em nome da União, o Protocolo que altera a Convenção Internacional para a Conservação dos Tunídeos do Atlântico (a seguir designado por «Protocolo»).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Artigo 2.º</w:t>
      </w:r>
    </w:p>
    <w:p>
      <w:pPr>
        <w:keepLines/>
        <w:rPr>
          <w:noProof/>
        </w:rPr>
      </w:pPr>
      <w:r>
        <w:rPr>
          <w:noProof/>
        </w:rPr>
        <w:t xml:space="preserve">O Presidente do Conselho designa a pessoa com poderes para proceder, em nome da União, ao depósito do instrumento de aprovação do Protocolo previsto no artigo 13.º do Protocolo. 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keepLines/>
        <w:rPr>
          <w:noProof/>
        </w:rPr>
      </w:pPr>
      <w:r>
        <w:rPr>
          <w:noProof/>
        </w:rPr>
        <w:t>A presente decisão entra em vigor no dia da sua adoção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Decisão do Conselho, de 9 de junho de 1986, relativa à adesão da Comunidade à Convenção Internacional para a Conservação dos Tunídeos do Atlântico, alterada pelo Protocolo anexo à Ata Final da Conferência dos Plenipotenciários dos Estados Partes na Convenção assinada em Paris em 10 de julho de 1984 (JO L 162 de 18.6.1986, p. 33).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Decisão do Conselho de 13 de maio de 2013 que autoriza a Comissão a encetar negociações em nome da União Europeia sobre a adoção de alterações à Convenção da Comissão Internacional para a Conservação dos Tunídeos do Atlântico.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COM/99/0613 final.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Regulamento (UE) n.º 1380/2013 do Parlamento Europeu e do Conselho, relativo à política comum das pescas, que altera os Regulamentos (CE) n.º 1954/2003 e (CE) n.º 1224/2009 do Conselho e revoga os Regulamentos (CE) n.º 2371/2002 e (CE) n.º 639/2004 do Conselho e a Decisão 2004/585/CE do Conselho (JO L 354 de 28.12.2013, p. 22).</w:t>
      </w:r>
    </w:p>
  </w:footnote>
  <w:footnote w:id="5">
    <w:p>
      <w:pPr>
        <w:pStyle w:val="FootnoteText"/>
        <w:rPr>
          <w:rFonts w:eastAsia="Times New Roman"/>
        </w:rPr>
      </w:pPr>
      <w:r>
        <w:rPr>
          <w:rStyle w:val="FootnoteReference"/>
        </w:rPr>
        <w:footnoteRef/>
      </w:r>
      <w:r>
        <w:tab/>
        <w:t>COM(2011) 424 de 13.7.2011.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JOIN(2016) 49 final.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7348/1/17 REV 1.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JO C , , p. 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Regulamento (UE) n.º 1380/2013 do Parlamento Europeu e do Conselho, de 11 de dezembro de 2013, relativo à política comum das pescas, que altera os Regulamentos (CE) n.º 1954/2003 e (CE) n.º 1224/2009 do Conselho e revoga os Regulamentos (CE) n.º 2371/2002 e (CE) n.º 639/2004 do Conselho e a Decisão 2004/585/CE do Conselho (JO L 354 de 28.12.2013, p. 22).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JOIN(2016) 49 final de 10.11.2016.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7348/1/17 REV 1 de 24.3.2017.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 xml:space="preserve">A data de entrada em vigor do Protocolo é publicada no </w:t>
      </w:r>
      <w:r>
        <w:rPr>
          <w:i/>
        </w:rPr>
        <w:t>Jornal Oficial da União Europeia</w:t>
      </w:r>
      <w:r>
        <w:t xml:space="preserve"> pelo Secretariado Geral do Conselho.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22E22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8ACE4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D899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0DCB6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9308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E98D7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71E51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DB80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8 12:27:0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BE9D183-1705-4727-88E1-E25880C30B5A"/>
    <w:docVar w:name="LW_COVERPAGE_TYPE" w:val="1"/>
    <w:docVar w:name="LW_CROSSREFERENCE" w:val="&lt;UNUSED&gt;"/>
    <w:docVar w:name="LW_DocType" w:val="COM"/>
    <w:docVar w:name="LW_EMISSION" w:val="14.10.2019"/>
    <w:docVar w:name="LW_EMISSION_ISODATE" w:val="2019-10-14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25"/>
    <w:docVar w:name="LW_REF.II.NEW.CP_YEAR" w:val="2019"/>
    <w:docVar w:name="LW_REF.INST.NEW" w:val="COM"/>
    <w:docVar w:name="LW_REF.INST.NEW_ADOPTED" w:val="final"/>
    <w:docVar w:name="LW_REF.INST.NEW_TEXT" w:val="(2019) 4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celebração, em nome da União, do Protocolo que altera a Convenção Internacional para a Conservação dos Tunídeos do Atlântico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1CBF81B-1581-49C4-8FD4-667259F0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1849</Words>
  <Characters>9987</Characters>
  <Application>Microsoft Office Word</Application>
  <DocSecurity>0</DocSecurity>
  <Lines>188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2019-10-07T10:23:00Z</dcterms:created>
  <dcterms:modified xsi:type="dcterms:W3CDTF">2019-10-08T10:27:00Z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