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C18C50-C004-4ECD-9C32-F57CF4926179"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KOMISIJAS ZIŅOJUMS PADOMEI UN EIROPAS PARLAMENTAM</w:t>
      </w:r>
    </w:p>
    <w:p>
      <w:pPr>
        <w:pStyle w:val="Titreobjet"/>
        <w:rPr>
          <w:noProof/>
        </w:rPr>
      </w:pPr>
      <w:r>
        <w:rPr>
          <w:noProof/>
        </w:rPr>
        <w:t>par Uzņēmumu konkurētspējas un mazo un vidējo uzņēmumu  programmas starpposma izvērtējumu</w:t>
      </w:r>
    </w:p>
    <w:p>
      <w:pPr>
        <w:numPr>
          <w:ilvl w:val="0"/>
          <w:numId w:val="1"/>
        </w:numPr>
        <w:spacing w:after="160" w:line="240" w:lineRule="auto"/>
        <w:jc w:val="both"/>
        <w:rPr>
          <w:b/>
          <w:noProof/>
        </w:rPr>
      </w:pPr>
      <w:r>
        <w:rPr>
          <w:b/>
          <w:noProof/>
        </w:rPr>
        <w:t>IEVADS</w:t>
      </w:r>
    </w:p>
    <w:p>
      <w:pPr>
        <w:spacing w:line="240" w:lineRule="auto"/>
        <w:jc w:val="both"/>
        <w:rPr>
          <w:noProof/>
        </w:rPr>
      </w:pPr>
      <w:r>
        <w:rPr>
          <w:noProof/>
        </w:rPr>
        <w:t xml:space="preserve">Uzņēmumu konkurētspējas un mazo un vidējo uzņēmumu (MVU) programma (COSME) ir Eiropas Savienības programma, kas paredzēta uzņēmumu konkurētspējas un ilgtspējas uzlabošanai, uzņēmējdarbības vides kultivēšanai un MVU izveides un izaugsmes veicināšanai. Tā sekmē stratēģijas “Eiropa 2020” gudrai, ilgtspējīgai un integrējošai izaugsmei vispārējo mērķu sasniegšanu, vienlaikus cenšoties optimizēt sinerģijas ar citām ES programmām, piemēram, “Apvārsnis 2020”, un Eiropas strukturālajiem un investīciju fondiem (ESI fondiem). </w:t>
      </w:r>
    </w:p>
    <w:p>
      <w:pPr>
        <w:spacing w:line="240" w:lineRule="auto"/>
        <w:jc w:val="both"/>
        <w:rPr>
          <w:noProof/>
        </w:rPr>
      </w:pPr>
      <w:r>
        <w:rPr>
          <w:noProof/>
        </w:rPr>
        <w:t xml:space="preserve">Kā noteikts </w:t>
      </w:r>
      <w:r>
        <w:rPr>
          <w:i/>
          <w:noProof/>
        </w:rPr>
        <w:t>COSME</w:t>
      </w:r>
      <w:r>
        <w:rPr>
          <w:noProof/>
        </w:rPr>
        <w:t xml:space="preserve"> regulā</w:t>
      </w:r>
      <w:r>
        <w:rPr>
          <w:rStyle w:val="FootnoteReference"/>
          <w:noProof/>
        </w:rPr>
        <w:footnoteReference w:id="2"/>
      </w:r>
      <w:r>
        <w:rPr>
          <w:noProof/>
        </w:rPr>
        <w:t>, Komisija ir veikusi programmas starpposma izvērtējumu, lai novērtētu tās atbilstību un pievienoto vērtību, kā arī īstenošanas efektivitāti un lietderību, un saskaņotību ar citām ES programmām.</w:t>
      </w:r>
    </w:p>
    <w:p>
      <w:pPr>
        <w:spacing w:line="240" w:lineRule="auto"/>
        <w:jc w:val="both"/>
        <w:rPr>
          <w:noProof/>
        </w:rPr>
      </w:pPr>
      <w:r>
        <w:rPr>
          <w:noProof/>
        </w:rPr>
        <w:t xml:space="preserve">Šajā ziņojumā ir apkopoti galvenie izvērtējuma konstatējumi, izklāstīti secinājumi un gūtās mācības. Tam pievienots detalizētāks dienestu darba dokuments. </w:t>
      </w:r>
    </w:p>
    <w:p>
      <w:pPr>
        <w:numPr>
          <w:ilvl w:val="0"/>
          <w:numId w:val="1"/>
        </w:numPr>
        <w:spacing w:after="160" w:line="240" w:lineRule="auto"/>
        <w:jc w:val="both"/>
        <w:rPr>
          <w:b/>
          <w:noProof/>
        </w:rPr>
      </w:pPr>
      <w:r>
        <w:rPr>
          <w:b/>
          <w:noProof/>
        </w:rPr>
        <w:t>VISPĀRĪGA INFORMĀCIJA</w:t>
      </w:r>
    </w:p>
    <w:p>
      <w:pPr>
        <w:spacing w:line="240" w:lineRule="auto"/>
        <w:jc w:val="both"/>
        <w:rPr>
          <w:noProof/>
        </w:rPr>
      </w:pPr>
      <w:r>
        <w:rPr>
          <w:noProof/>
        </w:rPr>
        <w:t>COSME aizstāj Konkurētspējas un inovāciju pamatprogrammu (CIP)</w:t>
      </w:r>
      <w:r>
        <w:rPr>
          <w:noProof/>
          <w:vertAlign w:val="superscript"/>
        </w:rPr>
        <w:footnoteReference w:id="3"/>
      </w:r>
      <w:r>
        <w:rPr>
          <w:noProof/>
        </w:rPr>
        <w:t>, ko īstenoja laikposmā no 2007. gada līdz 2013. gadam ar 3,6 miljardus EUR lielu budžetu</w:t>
      </w:r>
      <w:r>
        <w:rPr>
          <w:noProof/>
          <w:vertAlign w:val="superscript"/>
        </w:rPr>
        <w:footnoteReference w:id="4"/>
      </w:r>
      <w:r>
        <w:rPr>
          <w:noProof/>
        </w:rPr>
        <w:t xml:space="preserve">. Tās mērķis bija uzlabot produktivitāti, inovācijas spējas un ilgtspējīgu izaugsmi. CIP veidoja trīs “pīlāri”: Uzņēmējdarbības un inovāciju programma (EIP), Informācijas un komunikāciju tehnoloģijas politikas atbalsta programma (ICT-PSP) un programma “Saprātīga enerģija Eiropai” (IEE). </w:t>
      </w:r>
    </w:p>
    <w:p>
      <w:pPr>
        <w:spacing w:line="240" w:lineRule="auto"/>
        <w:jc w:val="both"/>
        <w:rPr>
          <w:noProof/>
        </w:rPr>
      </w:pPr>
      <w:r>
        <w:rPr>
          <w:noProof/>
        </w:rPr>
        <w:t xml:space="preserve">2014.–2020. gada plānošanas periodā ICT-PSP un IEE pasākumi tika pārcelti uz programmu “Apvārsnis 2020”, savukārt EIP pasākumi lielākoties tika pārcelti uz COSME. </w:t>
      </w:r>
    </w:p>
    <w:p>
      <w:pPr>
        <w:spacing w:line="240" w:lineRule="auto"/>
        <w:jc w:val="both"/>
        <w:rPr>
          <w:noProof/>
        </w:rPr>
      </w:pPr>
      <w:r>
        <w:rPr>
          <w:noProof/>
        </w:rPr>
        <w:t>EIP veidoja aptuveni 60 % no CIP budžeta. EIP atbalstīja MVU piekļuvi finansējumam, Eiropas Biznesa atbalsta tīklu (Enterprise Europe Network jeb EEN), programmu “Erasmus jaunajiem uzņēmējiem” (EYE), MVU paredzētus palīdzības dienestus intelektuālā īpašuma tiesību (IĪT) jautājumos un pasākumus, kuru mērķis bija veicināt uzņēmējdarbības kultūru un izveidot labākus pamatnosacījumus MVU, kas darbojas ES. COSME netika iekļautas atsauces uz inovācijām, taču īpaša uzmanība ir veltīta tūrismam</w:t>
      </w:r>
      <w:r>
        <w:rPr>
          <w:noProof/>
          <w:vertAlign w:val="superscript"/>
        </w:rPr>
        <w:footnoteReference w:id="5"/>
      </w:r>
      <w:r>
        <w:rPr>
          <w:noProof/>
        </w:rPr>
        <w:t xml:space="preserve">. </w:t>
      </w:r>
    </w:p>
    <w:p>
      <w:pPr>
        <w:spacing w:line="240" w:lineRule="auto"/>
        <w:jc w:val="both"/>
        <w:rPr>
          <w:noProof/>
        </w:rPr>
      </w:pPr>
      <w:r>
        <w:rPr>
          <w:i/>
          <w:noProof/>
        </w:rPr>
        <w:t>COSME</w:t>
      </w:r>
      <w:r>
        <w:rPr>
          <w:noProof/>
        </w:rPr>
        <w:t xml:space="preserve"> regulas priekšlikumam</w:t>
      </w:r>
      <w:r>
        <w:rPr>
          <w:rStyle w:val="FootnoteReference"/>
          <w:noProof/>
        </w:rPr>
        <w:footnoteReference w:id="6"/>
      </w:r>
      <w:r>
        <w:rPr>
          <w:noProof/>
        </w:rPr>
        <w:t xml:space="preserve"> pievienotajā ietekmes novērtējumā</w:t>
      </w:r>
      <w:r>
        <w:rPr>
          <w:rStyle w:val="FootnoteReference"/>
          <w:noProof/>
        </w:rPr>
        <w:footnoteReference w:id="7"/>
      </w:r>
      <w:r>
        <w:rPr>
          <w:noProof/>
        </w:rPr>
        <w:t xml:space="preserve"> bija norādītas šādas tirgus nepilnības: MVU grūtības piekļūt finansējumam; mazs skaits izveidoto uzņēmumu un slikti darbības </w:t>
      </w:r>
      <w:r>
        <w:rPr>
          <w:noProof/>
        </w:rPr>
        <w:lastRenderedPageBreak/>
        <w:t>rezultāti; vājš uzņēmējdarbības gars; uzņēmējdarbības vide, kas neveicina jaunuzņēmumu izveidi un izaugsmi; problēmas, kas neļauj specializēties konkrētā nozarē un mazina nozaru konkurētspēju; ierobežota MVU internacionalizācija Eiropā un ārpus tās.</w:t>
      </w:r>
    </w:p>
    <w:p>
      <w:pPr>
        <w:spacing w:line="240" w:lineRule="auto"/>
        <w:jc w:val="both"/>
        <w:rPr>
          <w:noProof/>
        </w:rPr>
      </w:pPr>
      <w:r>
        <w:rPr>
          <w:noProof/>
        </w:rPr>
        <w:t xml:space="preserve">Lai risinātu šīs problēmas, tika noteikti vispārējie un konkrētie COSME mērķi. Vēlamais veids, kā sasniegt šos mērķus, bija turpināt visas </w:t>
      </w:r>
      <w:r>
        <w:rPr>
          <w:i/>
          <w:noProof/>
        </w:rPr>
        <w:t>EIP</w:t>
      </w:r>
      <w:r>
        <w:rPr>
          <w:noProof/>
        </w:rPr>
        <w:t xml:space="preserve"> darbības </w:t>
      </w:r>
      <w:r>
        <w:rPr>
          <w:i/>
          <w:noProof/>
        </w:rPr>
        <w:t>COSME</w:t>
      </w:r>
      <w:r>
        <w:rPr>
          <w:noProof/>
        </w:rPr>
        <w:t xml:space="preserve"> ietvaros (2,2 miljardi EUR), izņemot inovācijas (aptuveni 600 miljoni EUR). COSME finansējums 2014.–2020. gadam ir 2,3 miljardi EUR. </w:t>
      </w:r>
    </w:p>
    <w:p>
      <w:pPr>
        <w:spacing w:line="240" w:lineRule="auto"/>
        <w:jc w:val="both"/>
        <w:rPr>
          <w:i/>
          <w:noProof/>
        </w:rPr>
      </w:pPr>
      <w:r>
        <w:rPr>
          <w:noProof/>
        </w:rPr>
        <w:t>COSME programmu Eiropas Komisijas (EK) vārdā galvenokārt īsteno EASME — Eiropas Mazo un vidējo uzņēmumu izpildaģentūra, izņemot finanšu instrumentus, kurus EK vārdā īsteno Eiropas Investīciju fonds (EIF). Programma ir atvērta arī Eiropas Savienībā neesošajām (trešām) Eiropas valstīm</w:t>
      </w:r>
      <w:r>
        <w:rPr>
          <w:rStyle w:val="FootnoteReference"/>
          <w:noProof/>
        </w:rPr>
        <w:footnoteReference w:id="8"/>
      </w:r>
      <w:r>
        <w:rPr>
          <w:i/>
          <w:noProof/>
        </w:rPr>
        <w:t xml:space="preserve">. </w:t>
      </w:r>
    </w:p>
    <w:p>
      <w:pPr>
        <w:spacing w:line="240" w:lineRule="auto"/>
        <w:ind w:left="360"/>
        <w:jc w:val="both"/>
        <w:rPr>
          <w:noProof/>
        </w:rPr>
      </w:pPr>
    </w:p>
    <w:p>
      <w:pPr>
        <w:numPr>
          <w:ilvl w:val="0"/>
          <w:numId w:val="1"/>
        </w:numPr>
        <w:spacing w:after="160" w:line="240" w:lineRule="auto"/>
        <w:jc w:val="both"/>
        <w:rPr>
          <w:b/>
          <w:noProof/>
        </w:rPr>
      </w:pPr>
      <w:r>
        <w:rPr>
          <w:b/>
          <w:noProof/>
        </w:rPr>
        <w:t>ĪSTENOŠANA — PAŠREIZĒJĀ SITUĀCIJA</w:t>
      </w:r>
    </w:p>
    <w:p>
      <w:pPr>
        <w:spacing w:line="240" w:lineRule="auto"/>
        <w:jc w:val="both"/>
        <w:rPr>
          <w:noProof/>
        </w:rPr>
      </w:pPr>
      <w:r>
        <w:rPr>
          <w:noProof/>
        </w:rPr>
        <w:t>Kā pierāda starpposma izvērtējums, COSME budžeta izpildes rādītāji ir labi. 2014. gadā pieejamais darbības budžets</w:t>
      </w:r>
      <w:r>
        <w:rPr>
          <w:rStyle w:val="FootnoteReference"/>
          <w:noProof/>
        </w:rPr>
        <w:footnoteReference w:id="9"/>
      </w:r>
      <w:r>
        <w:rPr>
          <w:noProof/>
        </w:rPr>
        <w:t xml:space="preserve"> (247 miljoni EUR) tika izpildīts par 99,87 %; 2015. gadā pieejamais darbības budžets (329 miljoni EUR) tika izpildīts par 99,38 %; 2016. gadā pieejamais darbības budžets (336 miljoni EUR) tika izpildīts par 96,69%. Finanšu instrumentu un Eiropas Biznesa atbalsta tīkla īstenošanas struktūras bija ieviestas un darbojās. Papildu finansējums 550 miljonu EUR apmērā finanšu instrumentiem tika piešķirts no Eiropas Stratēģisko investīciju fonda.</w:t>
      </w:r>
    </w:p>
    <w:p>
      <w:pPr>
        <w:spacing w:after="0" w:line="240" w:lineRule="auto"/>
        <w:jc w:val="both"/>
        <w:rPr>
          <w:rFonts w:eastAsia="Calibri" w:cstheme="minorHAnsi"/>
          <w:b/>
          <w:noProof/>
          <w:u w:val="single"/>
        </w:rPr>
      </w:pPr>
      <w:r>
        <w:rPr>
          <w:b/>
          <w:noProof/>
          <w:u w:val="single"/>
        </w:rPr>
        <w:t>Finansējuma pieejamība — 1. konkrētais mērķis</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noProof/>
        </w:rPr>
        <w:t xml:space="preserve">Vismaz 60 % programmas resursu (t. i., 1400 miljoni EUR) ir piešķirti COSME finanšu instrumentiem, aizdevumu garantiju instrumentam (LGF) un kapitāla instrumentam izaugsmei (EFG). To pamatā ir Konkurētspējas un inovāciju pamatprogrammas (CIP) finanšu instrumentu sasniegumi (2007.–2013. gadā); šie finanšu instrumenti palīdzēja piesaistīt vairāk nekā 21 miljardu EUR aizdevumos un 3 miljardus EUR riska kapitālā vairāk nekā 380 000 MVU Eiropā. </w:t>
      </w:r>
    </w:p>
    <w:p>
      <w:pPr>
        <w:spacing w:line="240" w:lineRule="auto"/>
        <w:jc w:val="both"/>
        <w:rPr>
          <w:noProof/>
        </w:rPr>
      </w:pPr>
      <w:r>
        <w:rPr>
          <w:noProof/>
        </w:rPr>
        <w:t>2014. gadā publicētie uzaicinājumi izteikt ieinteresētību par finanšu instrumentiem ir radījusi lielu finanšu starpnieku interesi, jo īpaši par LGF, visās ES un ārpus ES esošajās valstīs, kas ir COSME dalībvalstis. Lielais LGF tirgus pieprasījums turpinājās 2015. gadā, kas izraisīja to, ka viss 2014. un 2015. gadam pieejamais budžets bija iztērēts līdz 2015. gada vidum. Pateicoties Eiropas Stratēģisko investīciju fonda (ESIF) piešķirtajai garantijai</w:t>
      </w:r>
      <w:r>
        <w:rPr>
          <w:noProof/>
          <w:vertAlign w:val="superscript"/>
        </w:rPr>
        <w:footnoteReference w:id="10"/>
      </w:r>
      <w:r>
        <w:rPr>
          <w:noProof/>
        </w:rPr>
        <w:t xml:space="preserve">, 2015. gada otrajā pusē EIF varēja turpināt slēgt </w:t>
      </w:r>
      <w:r>
        <w:rPr>
          <w:i/>
          <w:noProof/>
        </w:rPr>
        <w:t>COSME</w:t>
      </w:r>
      <w:r>
        <w:rPr>
          <w:noProof/>
        </w:rPr>
        <w:t xml:space="preserve"> </w:t>
      </w:r>
      <w:r>
        <w:rPr>
          <w:i/>
          <w:noProof/>
        </w:rPr>
        <w:t>LGF</w:t>
      </w:r>
      <w:r>
        <w:rPr>
          <w:noProof/>
        </w:rPr>
        <w:t xml:space="preserve"> garantijas nolīgumus. 2016. gada beigās gandrīz 143 000 MVU 21 dalībvalstī saņēma finansējumu gandrīz 5,5 miljardu EUR apmērā</w:t>
      </w:r>
      <w:r>
        <w:rPr>
          <w:noProof/>
          <w:vertAlign w:val="superscript"/>
        </w:rPr>
        <w:footnoteReference w:id="11"/>
      </w:r>
      <w:r>
        <w:rPr>
          <w:noProof/>
        </w:rPr>
        <w:t xml:space="preserve"> no pastiprinātā LGF. Pateicoties ESIF garantijai pastiprinātais COSME LGF turpināja darboties 2016. un 2017. gadā,  finansējumu riskantākajiem MVU darot pieejamu daudz ātrāk, nekā tad, ja būtu pieejams vienīgi COSME budžets, tādējādi paātrinot reālās ekonomikas finansēšanu. </w:t>
      </w:r>
    </w:p>
    <w:p>
      <w:pPr>
        <w:spacing w:line="240" w:lineRule="auto"/>
        <w:jc w:val="both"/>
        <w:rPr>
          <w:noProof/>
        </w:rPr>
      </w:pPr>
      <w:r>
        <w:rPr>
          <w:noProof/>
        </w:rPr>
        <w:t>Ņemot vērā kapitāla instrumenta specifiku ar sarežģītākiem uzticamības pārbaudes un līdzekļu piesaistes procesiem, nolīgumu parakstīšana aizņēma vairāk laika. Pirmie pieci darījumi EFG ietvaros, no kuriem trīs ir daudzpakāpju fondi apvienojumā ar InnovFin kapitāla instrumentu agrīnajam posmam (Equity Facility for Early Stage), kas izveidots programmas “Apvārsnis 2020” ietvaros, tika parakstīti 2015. gada beigās. Pirmie ieguldījumi MVU tika veikti 2016. gadā saskaņā ar šiem nolīgumiem.</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eastAsia="Calibri" w:cstheme="minorHAnsi"/>
          <w:b/>
          <w:noProof/>
          <w:u w:val="single"/>
        </w:rPr>
      </w:pPr>
      <w:r>
        <w:rPr>
          <w:b/>
          <w:noProof/>
          <w:u w:val="single"/>
        </w:rPr>
        <w:t>Piekļuve tirgiem — 2. konkrētais mērķis</w:t>
      </w:r>
    </w:p>
    <w:p>
      <w:pPr>
        <w:spacing w:after="0" w:line="240" w:lineRule="auto"/>
        <w:jc w:val="both"/>
        <w:rPr>
          <w:rFonts w:ascii="Times New Roman" w:eastAsia="Calibri" w:hAnsi="Times New Roman" w:cs="Times New Roman"/>
          <w:noProof/>
          <w:sz w:val="24"/>
          <w:szCs w:val="24"/>
          <w:u w:val="single"/>
        </w:rPr>
      </w:pPr>
    </w:p>
    <w:p>
      <w:pPr>
        <w:spacing w:line="240" w:lineRule="auto"/>
        <w:jc w:val="both"/>
        <w:rPr>
          <w:noProof/>
        </w:rPr>
      </w:pPr>
      <w:r>
        <w:rPr>
          <w:i/>
          <w:noProof/>
        </w:rPr>
        <w:t>COSME</w:t>
      </w:r>
      <w:r>
        <w:rPr>
          <w:noProof/>
        </w:rPr>
        <w:t xml:space="preserve"> palīdz Eiropas uzņēmumiem, jo īpaši MVU, veikt uzņēmējdarbību vienotajā tirgū, kā arī eksportēt ārpus Eiropas. Vairāk nekā divas trešdaļas COSME budžeta, kas paredzēts, lai veicinātu piekļuvi tirgiem, ir piešķirts Eiropas Biznesa atbalsta tīklam (EEN), kas palīdz MVU atrast uzņēmējdarbības, tehnoloģiju un pētniecības partnerus ES un trešās valstīs. Tas arī veicina MVU piedalīšanos tādās ES finansējuma programmās kā “Apvārsnis 2020” un Eiropas strukturālajos un investīciju fondos.</w:t>
      </w:r>
    </w:p>
    <w:p>
      <w:pPr>
        <w:spacing w:line="240" w:lineRule="auto"/>
        <w:contextualSpacing/>
        <w:jc w:val="both"/>
        <w:rPr>
          <w:noProof/>
        </w:rPr>
      </w:pPr>
      <w:r>
        <w:rPr>
          <w:noProof/>
        </w:rPr>
        <w:t xml:space="preserve">EEN savas darbības kā plānots sāka 2015. gada 1. janvārī (uz darbībām 2014. gadā aizvien attiecās CIP).  Pēc diviem uzaicinājumiem iesniegt priekšlikumus tika atlasīti 92 konsorciji. Šajā posmā tīklā bija iekļautas 525 organizācijas ES un 80 organizācijas astoņās </w:t>
      </w:r>
      <w:r>
        <w:rPr>
          <w:i/>
          <w:noProof/>
        </w:rPr>
        <w:t>COSME</w:t>
      </w:r>
      <w:r>
        <w:rPr>
          <w:noProof/>
        </w:rPr>
        <w:t xml:space="preserve"> dalības valstīs</w:t>
      </w:r>
      <w:r>
        <w:rPr>
          <w:rStyle w:val="FootnoteReference"/>
          <w:noProof/>
        </w:rPr>
        <w:footnoteReference w:id="12"/>
      </w:r>
      <w:r>
        <w:rPr>
          <w:noProof/>
        </w:rPr>
        <w:t>. Tās parakstīja partnerības pamatnolīgumus uz septiņiem gadiem un konkrētus dotāciju nolīgumus 2015.–2016. gada un 2017.–2018. gada darbības periodam.</w:t>
      </w:r>
    </w:p>
    <w:p>
      <w:pPr>
        <w:spacing w:line="240" w:lineRule="auto"/>
        <w:ind w:left="720"/>
        <w:contextualSpacing/>
        <w:jc w:val="both"/>
        <w:rPr>
          <w:noProof/>
        </w:rPr>
      </w:pPr>
    </w:p>
    <w:p>
      <w:pPr>
        <w:spacing w:line="240" w:lineRule="auto"/>
        <w:contextualSpacing/>
        <w:jc w:val="both"/>
        <w:rPr>
          <w:noProof/>
        </w:rPr>
      </w:pPr>
      <w:r>
        <w:rPr>
          <w:noProof/>
        </w:rPr>
        <w:t>Eiropas Biznesa atbalsta tīkls (aptuveni 3000 darbinieku) katru gadu vairāk nekā 200 000 MVU iesaistīja vietējos pasākumos, 70 000 MVU sniedza specializētus konsultāciju pakalpojumus par finansējuma pieejamību, uzņēmējdarbību un tehnoloģijām IĪT jomā, pakalpojumiem resursu efektivitātes jomā u. c. Katru gadu aptuveni 25 000 MVU piedalās partneru piemeklēšanas pasākumos, pēc kuriem ir noslēgtas aptuveni 2500 starptautiskas MVU partnerības.</w:t>
      </w:r>
    </w:p>
    <w:p>
      <w:pPr>
        <w:spacing w:line="240" w:lineRule="auto"/>
        <w:ind w:left="720"/>
        <w:contextualSpacing/>
        <w:rPr>
          <w:noProof/>
        </w:rPr>
      </w:pPr>
    </w:p>
    <w:p>
      <w:pPr>
        <w:spacing w:line="240" w:lineRule="auto"/>
        <w:contextualSpacing/>
        <w:rPr>
          <w:noProof/>
        </w:rPr>
      </w:pPr>
      <w:r>
        <w:rPr>
          <w:noProof/>
        </w:rPr>
        <w:t>Saskaņā ar 2. konkrēto mērķi COSME tiek īstenota, arī finansējot vairākus citus mazākus projektus. Svarīgākie no tiem ir šie:</w:t>
      </w:r>
    </w:p>
    <w:p>
      <w:pPr>
        <w:spacing w:line="240" w:lineRule="auto"/>
        <w:ind w:left="360"/>
        <w:contextualSpacing/>
        <w:rPr>
          <w:rFonts w:ascii="Times New Roman" w:eastAsia="Times New Roman" w:hAnsi="Times New Roman" w:cs="Times New Roman"/>
          <w:noProof/>
          <w:sz w:val="24"/>
          <w:szCs w:val="24"/>
        </w:rPr>
      </w:pPr>
    </w:p>
    <w:p>
      <w:pPr>
        <w:numPr>
          <w:ilvl w:val="0"/>
          <w:numId w:val="4"/>
        </w:numPr>
        <w:spacing w:after="0" w:line="240" w:lineRule="auto"/>
        <w:contextualSpacing/>
        <w:jc w:val="both"/>
        <w:rPr>
          <w:rFonts w:eastAsia="Times New Roman" w:cstheme="minorHAnsi"/>
          <w:noProof/>
          <w:sz w:val="20"/>
          <w:szCs w:val="20"/>
        </w:rPr>
      </w:pPr>
      <w:r>
        <w:rPr>
          <w:noProof/>
          <w:sz w:val="20"/>
          <w:szCs w:val="20"/>
        </w:rPr>
        <w:t>portāla “Tava Eiropa” sadaļa uzņēmumiem ar aptuveni 0,5 miljoniem EUR gadā;</w:t>
      </w:r>
    </w:p>
    <w:p>
      <w:pPr>
        <w:numPr>
          <w:ilvl w:val="0"/>
          <w:numId w:val="4"/>
        </w:numPr>
        <w:spacing w:after="0" w:line="240" w:lineRule="auto"/>
        <w:contextualSpacing/>
        <w:jc w:val="both"/>
        <w:rPr>
          <w:rFonts w:eastAsia="Times New Roman" w:cstheme="minorHAnsi"/>
          <w:noProof/>
          <w:sz w:val="20"/>
          <w:szCs w:val="20"/>
        </w:rPr>
      </w:pPr>
      <w:r>
        <w:rPr>
          <w:noProof/>
          <w:sz w:val="20"/>
          <w:szCs w:val="20"/>
        </w:rPr>
        <w:t>palīdzības dienesti intelektuālā īpašuma tiesību (IĪT) jautājumos Ķīnā, Latīņamerikā un Dienvidaustrumāzijā ar 7,2 miljoniem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ES un Japānas Rūpniecības sadarbības centrs ar 2,7 miljoniem EUR gadā;</w:t>
      </w:r>
    </w:p>
    <w:p>
      <w:pPr>
        <w:numPr>
          <w:ilvl w:val="0"/>
          <w:numId w:val="4"/>
        </w:numPr>
        <w:spacing w:after="0" w:line="240" w:lineRule="auto"/>
        <w:contextualSpacing/>
        <w:jc w:val="both"/>
        <w:rPr>
          <w:rFonts w:eastAsia="Times New Roman" w:cstheme="minorHAnsi"/>
          <w:noProof/>
          <w:sz w:val="20"/>
          <w:szCs w:val="20"/>
        </w:rPr>
      </w:pPr>
      <w:r>
        <w:rPr>
          <w:noProof/>
          <w:sz w:val="20"/>
          <w:szCs w:val="20"/>
        </w:rPr>
        <w:t>uzlaboti vienotie kontaktpunkti dalībvalstīs ar 1 miljonu EUR;</w:t>
      </w:r>
    </w:p>
    <w:p>
      <w:pPr>
        <w:numPr>
          <w:ilvl w:val="0"/>
          <w:numId w:val="4"/>
        </w:numPr>
        <w:spacing w:after="0" w:line="240" w:lineRule="auto"/>
        <w:contextualSpacing/>
        <w:jc w:val="both"/>
        <w:rPr>
          <w:rFonts w:eastAsia="Times New Roman" w:cstheme="minorHAnsi"/>
          <w:noProof/>
          <w:sz w:val="20"/>
          <w:szCs w:val="20"/>
        </w:rPr>
      </w:pPr>
      <w:r>
        <w:rPr>
          <w:noProof/>
          <w:sz w:val="20"/>
          <w:szCs w:val="20"/>
        </w:rPr>
        <w:t>MVU piekļuves publiskajam iepirkumam uzlabošana ar 1 miljonu EUR.</w:t>
      </w:r>
    </w:p>
    <w:p>
      <w:pPr>
        <w:spacing w:after="0" w:line="240" w:lineRule="auto"/>
        <w:contextualSpacing/>
        <w:rPr>
          <w:rFonts w:eastAsia="Times New Roman" w:cstheme="minorHAnsi"/>
          <w:noProof/>
          <w:sz w:val="20"/>
          <w:szCs w:val="20"/>
        </w:rPr>
      </w:pPr>
    </w:p>
    <w:p>
      <w:pPr>
        <w:spacing w:after="0" w:line="240" w:lineRule="auto"/>
        <w:jc w:val="both"/>
        <w:rPr>
          <w:rFonts w:eastAsia="Calibri" w:cstheme="minorHAnsi"/>
          <w:b/>
          <w:noProof/>
          <w:u w:val="single"/>
        </w:rPr>
      </w:pPr>
      <w:r>
        <w:rPr>
          <w:b/>
          <w:noProof/>
          <w:u w:val="single"/>
        </w:rPr>
        <w:t>Uzlabot uzņēmumu pamatnosacījumus — 3. konkrētais mērķis</w:t>
      </w:r>
    </w:p>
    <w:p>
      <w:pPr>
        <w:spacing w:after="240" w:line="240" w:lineRule="auto"/>
        <w:ind w:left="720"/>
        <w:contextualSpacing/>
        <w:jc w:val="both"/>
        <w:rPr>
          <w:rFonts w:ascii="Times New Roman" w:eastAsia="Times New Roman" w:hAnsi="Times New Roman" w:cs="Times New Roman"/>
          <w:noProof/>
          <w:sz w:val="24"/>
          <w:szCs w:val="24"/>
        </w:rPr>
      </w:pPr>
    </w:p>
    <w:p>
      <w:pPr>
        <w:spacing w:line="240" w:lineRule="auto"/>
        <w:contextualSpacing/>
        <w:jc w:val="both"/>
        <w:rPr>
          <w:noProof/>
        </w:rPr>
      </w:pPr>
      <w:r>
        <w:rPr>
          <w:noProof/>
        </w:rPr>
        <w:t xml:space="preserve">COSME finansē darbības, kuru mērķis ir uzlabot uzņēmējdarbības vidi MVU vajadzībām, piemēram, kopas un digitālās tehnoloģijas, samazināt birokrātiju un veicināt principu “vispirms domāt par mazajiem uzņēmumiem”, kā arī uzlabot tādu stratēģisko nozaru konkurētspēju, kas ir stratēģiski svarīgas Eiropas ekonomikai, tostarp tūrisma nozares konkurētspēju. </w:t>
      </w:r>
    </w:p>
    <w:p>
      <w:pPr>
        <w:spacing w:line="240" w:lineRule="auto"/>
        <w:contextualSpacing/>
        <w:jc w:val="both"/>
        <w:rPr>
          <w:noProof/>
        </w:rPr>
      </w:pPr>
    </w:p>
    <w:p>
      <w:pPr>
        <w:spacing w:line="240" w:lineRule="auto"/>
        <w:jc w:val="both"/>
        <w:rPr>
          <w:noProof/>
        </w:rPr>
      </w:pPr>
      <w:r>
        <w:rPr>
          <w:noProof/>
        </w:rPr>
        <w:t>Šis mērķis tiek īstenots ar daudzām dažādām mazākām darbībām, uzaicinājumiem iesniegt priekšlikumus un uzaicinājumiem iesniegt piedāvājumus, piemēram:</w:t>
      </w:r>
    </w:p>
    <w:p>
      <w:pPr>
        <w:spacing w:line="240" w:lineRule="auto"/>
        <w:contextualSpacing/>
        <w:jc w:val="both"/>
        <w:rPr>
          <w:noProof/>
        </w:rPr>
      </w:pPr>
    </w:p>
    <w:p>
      <w:pPr>
        <w:numPr>
          <w:ilvl w:val="0"/>
          <w:numId w:val="5"/>
        </w:numPr>
        <w:spacing w:after="0" w:line="240" w:lineRule="auto"/>
        <w:contextualSpacing/>
        <w:jc w:val="both"/>
        <w:rPr>
          <w:rFonts w:eastAsia="Times New Roman" w:cstheme="minorHAnsi"/>
          <w:noProof/>
          <w:sz w:val="20"/>
          <w:szCs w:val="20"/>
        </w:rPr>
      </w:pPr>
      <w:r>
        <w:rPr>
          <w:noProof/>
          <w:sz w:val="20"/>
          <w:szCs w:val="20"/>
        </w:rPr>
        <w:t>e-prasmes konkurētspējai un inovācijai ar aptuveni 3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MVU paredzēta kopu internacionalizācijas programma ar 3,5–5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kopu izcilības programma ar 1,5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rūpniecības modernizācijas darbības (svarīgās pamattehnoloģijas, progresīvā ražošana u. c.) ar vidēji 5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vairākas darbības, kas atbalsta MVU rūpniecības nozarēs (celtniecība, ķīmija, aeronautika, aizsardzība, pārtikas aprite, resursu efektivitāte, dizains, bioloģiskie produkti utt.), ar 5–8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MVU politikas pārraudzība un turpmākie pasākumi ar vidēji 5 miljoniem EUR gadā;</w:t>
      </w:r>
    </w:p>
    <w:p>
      <w:pPr>
        <w:numPr>
          <w:ilvl w:val="1"/>
          <w:numId w:val="5"/>
        </w:numPr>
        <w:spacing w:after="0" w:line="240" w:lineRule="auto"/>
        <w:contextualSpacing/>
        <w:jc w:val="both"/>
        <w:rPr>
          <w:rFonts w:eastAsia="Times New Roman" w:cstheme="minorHAnsi"/>
          <w:noProof/>
          <w:sz w:val="20"/>
          <w:szCs w:val="20"/>
        </w:rPr>
      </w:pPr>
      <w:r>
        <w:rPr>
          <w:noProof/>
          <w:sz w:val="20"/>
          <w:szCs w:val="20"/>
        </w:rPr>
        <w:t xml:space="preserve">MVU darbības pārskats; </w:t>
      </w:r>
    </w:p>
    <w:p>
      <w:pPr>
        <w:numPr>
          <w:ilvl w:val="1"/>
          <w:numId w:val="5"/>
        </w:numPr>
        <w:spacing w:after="0" w:line="240" w:lineRule="auto"/>
        <w:contextualSpacing/>
        <w:jc w:val="both"/>
        <w:rPr>
          <w:rFonts w:eastAsia="Times New Roman" w:cstheme="minorHAnsi"/>
          <w:noProof/>
          <w:sz w:val="20"/>
          <w:szCs w:val="20"/>
        </w:rPr>
      </w:pPr>
      <w:r>
        <w:rPr>
          <w:noProof/>
          <w:sz w:val="20"/>
          <w:szCs w:val="20"/>
        </w:rPr>
        <w:t>MVU asambleja;</w:t>
      </w:r>
    </w:p>
    <w:p>
      <w:pPr>
        <w:numPr>
          <w:ilvl w:val="1"/>
          <w:numId w:val="5"/>
        </w:numPr>
        <w:spacing w:after="0" w:line="240" w:lineRule="auto"/>
        <w:contextualSpacing/>
        <w:jc w:val="both"/>
        <w:rPr>
          <w:rFonts w:eastAsia="Times New Roman" w:cstheme="minorHAnsi"/>
          <w:noProof/>
          <w:sz w:val="20"/>
          <w:szCs w:val="20"/>
        </w:rPr>
      </w:pPr>
      <w:r>
        <w:rPr>
          <w:noProof/>
          <w:sz w:val="20"/>
          <w:szCs w:val="20"/>
        </w:rPr>
        <w:t>MVU sūtņu tīkls;</w:t>
      </w:r>
    </w:p>
    <w:p>
      <w:pPr>
        <w:numPr>
          <w:ilvl w:val="1"/>
          <w:numId w:val="5"/>
        </w:numPr>
        <w:spacing w:after="0" w:line="240" w:lineRule="auto"/>
        <w:contextualSpacing/>
        <w:jc w:val="both"/>
        <w:rPr>
          <w:rFonts w:eastAsia="Times New Roman" w:cstheme="minorHAnsi"/>
          <w:noProof/>
          <w:sz w:val="20"/>
          <w:szCs w:val="20"/>
        </w:rPr>
      </w:pPr>
      <w:r>
        <w:rPr>
          <w:noProof/>
          <w:sz w:val="20"/>
          <w:szCs w:val="20"/>
        </w:rPr>
        <w:t>tādi informatīvie instrumenti kā pārraide “Business Planet” kanālā “Euronews” un MVU portāls;</w:t>
      </w:r>
    </w:p>
    <w:p>
      <w:pPr>
        <w:numPr>
          <w:ilvl w:val="0"/>
          <w:numId w:val="5"/>
        </w:numPr>
        <w:spacing w:after="0" w:line="240" w:lineRule="auto"/>
        <w:contextualSpacing/>
        <w:jc w:val="both"/>
        <w:rPr>
          <w:rFonts w:eastAsia="Times New Roman" w:cstheme="minorHAnsi"/>
          <w:noProof/>
          <w:sz w:val="20"/>
          <w:szCs w:val="20"/>
        </w:rPr>
      </w:pPr>
      <w:r>
        <w:rPr>
          <w:noProof/>
          <w:sz w:val="20"/>
          <w:szCs w:val="20"/>
        </w:rPr>
        <w:t>ES REFIT platforma regulatīvā sloga samazināšanai ar vidēji 0,5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atbalsts tūrisma nozarei ar 5–9 miljoniem EUR gadā;</w:t>
      </w:r>
    </w:p>
    <w:p>
      <w:pPr>
        <w:numPr>
          <w:ilvl w:val="0"/>
          <w:numId w:val="5"/>
        </w:numPr>
        <w:spacing w:after="0" w:line="240" w:lineRule="auto"/>
        <w:contextualSpacing/>
        <w:jc w:val="both"/>
        <w:rPr>
          <w:rFonts w:eastAsia="Times New Roman" w:cstheme="minorHAnsi"/>
          <w:noProof/>
          <w:sz w:val="20"/>
          <w:szCs w:val="20"/>
        </w:rPr>
      </w:pPr>
      <w:r>
        <w:rPr>
          <w:noProof/>
          <w:sz w:val="20"/>
          <w:szCs w:val="20"/>
        </w:rPr>
        <w:t>sociālās ekonomikas un sociālās uzņēmējdarbības veicināšana ar 0,5–2 miljoniem EUR gadā.</w:t>
      </w:r>
    </w:p>
    <w:p>
      <w:pPr>
        <w:spacing w:after="0" w:line="240" w:lineRule="auto"/>
        <w:ind w:left="720"/>
        <w:contextualSpacing/>
        <w:jc w:val="both"/>
        <w:rPr>
          <w:rFonts w:eastAsia="Times New Roman" w:cstheme="minorHAnsi"/>
          <w:noProof/>
          <w:sz w:val="20"/>
          <w:szCs w:val="20"/>
        </w:rPr>
      </w:pPr>
    </w:p>
    <w:p>
      <w:pPr>
        <w:spacing w:after="0" w:line="240" w:lineRule="auto"/>
        <w:ind w:left="720"/>
        <w:contextualSpacing/>
        <w:jc w:val="both"/>
        <w:rPr>
          <w:noProof/>
          <w:sz w:val="20"/>
        </w:rPr>
      </w:pPr>
    </w:p>
    <w:p>
      <w:pPr>
        <w:spacing w:line="240" w:lineRule="auto"/>
        <w:jc w:val="both"/>
        <w:rPr>
          <w:noProof/>
        </w:rPr>
      </w:pPr>
      <w:r>
        <w:rPr>
          <w:noProof/>
        </w:rPr>
        <w:t xml:space="preserve">Laikposmā no 2014. gada līdz 2016. gadam šim mērķim tika piešķirti 109,3 miljoni EUR, kas ir 12 % no finansējuma. Pirmie uzaicinājumi šā mērķa ietvaros tika publicēti 2014. gada beigās, un, ņemot vērā izpildes periodu, vairumā darbību rezultāti tika sasniegti tikai pēc šīs izvērtēšanas beigām.  </w:t>
      </w:r>
    </w:p>
    <w:p>
      <w:pPr>
        <w:spacing w:line="240" w:lineRule="auto"/>
        <w:jc w:val="both"/>
        <w:rPr>
          <w:noProof/>
        </w:rPr>
      </w:pPr>
      <w:r>
        <w:rPr>
          <w:noProof/>
        </w:rPr>
        <w:t xml:space="preserve">Augsta līmeņa grupa administratīvā sloga jautājumos veicināja labās prakses apmaiņu un turpmāko pasākumu veikšanu un bruģēja ceļu ES REFIT platformai. MVU darbības pārskats sniedza pārskatu par Eiropas MVU un detalizētu informāciju par Mazās uzņēmējdarbības akta īstenošanu. Informācija par konkrētām dalībvalstīm tika izmantota, lai sagatavotu Eiropas pusgada ietvaros konkrētai valstij adresētajos ieteikumos. MVU sūtņu tīkls, ikgadējā MVU asambleja un Eiropas MVU nedēļa nodrošināja forumus informētības uzlabošanai un labas prakses apmaiņai visās Mazās uzņēmējdarbības akta jomās. Visbeidzot, bet ne mazāk svarīgi ir tas, ka 2015. gada 12. jūnijā “Euronews” televīzijas kanālā sākās pārraides “Business Planet” 4. sezona. </w:t>
      </w:r>
    </w:p>
    <w:p>
      <w:pPr>
        <w:spacing w:line="240" w:lineRule="auto"/>
        <w:jc w:val="both"/>
        <w:rPr>
          <w:noProof/>
        </w:rPr>
      </w:pPr>
      <w:r>
        <w:rPr>
          <w:noProof/>
        </w:rPr>
        <w:t>Kampaņa “E-prasmes nodarbinātībai” norisinājās 30 valstīs, tajā iesaistījās 384 organizācijas un vairāk nekā 300 000 dalībnieku, un kampaņa ietekmēja ap 115 miljoniem cilvēku.</w:t>
      </w:r>
    </w:p>
    <w:p>
      <w:pPr>
        <w:spacing w:line="240" w:lineRule="auto"/>
        <w:jc w:val="both"/>
        <w:rPr>
          <w:noProof/>
        </w:rPr>
      </w:pPr>
      <w:r>
        <w:rPr>
          <w:noProof/>
        </w:rPr>
        <w:t xml:space="preserve">Pēc uzaicinājuma iesniegt priekšlikumus “Ar dizainu saistītas patēriņa preces” (ar pieejamo budžetu 4 miljonu EUR apmērā) tika atlasīti 10 MVU projekti ar mērķi izstrādāt inovatīvus digitālos risinājumus nolūkā uzlabot dizaina procesus un komunikāciju tekstilizstrādājumu un apģērbu vērtības veidošanas ķēdē, inovatīvus produktus, ieviešot produktos un uzņēmējdarbības modeļos digitālās tehnoloģijas, lai risinātu vides un sabiedrības problēmas. </w:t>
      </w:r>
    </w:p>
    <w:p>
      <w:pPr>
        <w:spacing w:line="240" w:lineRule="auto"/>
        <w:jc w:val="both"/>
        <w:rPr>
          <w:noProof/>
        </w:rPr>
      </w:pPr>
      <w:r>
        <w:rPr>
          <w:noProof/>
        </w:rPr>
        <w:t xml:space="preserve">Iniciatīvas tūrisma jomā veicināja Eiropas tūrisma nozares konkurētspējas uzlabošanos. Iniciatīvas, kas bija paredzētas vecu un jaunu tūristu plūsmu palielināšanai, veicināja tūrisma sezonas pagarināšanu. Darbības tūrisma piekļūstamības veicināšanai palīdzēja uzlabot telpas un pakalpojumus tūristiem ar īpašām piekļuves vajadzībām. Ir uzlabota Eiropas izcilo galamērķu pamanāmība, kas veicinās potenciālo tūristu ierašanos lielākā skaitā un vietējos papildu ieņēmumus galamērķiem un tūrisma organizētājiem. Informētības uzlabošanas darbības un pasākumi uzlaboja tūrisma iniciatīvu pamanāmību un ieviešanu. </w:t>
      </w:r>
    </w:p>
    <w:p>
      <w:pPr>
        <w:spacing w:after="0" w:line="240" w:lineRule="auto"/>
        <w:jc w:val="both"/>
        <w:rPr>
          <w:noProof/>
        </w:rPr>
      </w:pPr>
      <w:r>
        <w:rPr>
          <w:noProof/>
        </w:rPr>
        <w:t>2014.–2016. gadā uzaicinājumos “Kopas kļūst starptautiskas” iesaistījās 25 Eiropas stratēģiskās kopu partnerības (ESKP), kas pārstāv 145 kopu organizācijas 23 Eiropas valstīs un vairāk nekā 17 000 Eiropas MVU. Tika finansētas 15 no 25 atlasītajām ESKP. Pārējām 10 partnerībām tika piešķirta ESKP zīme, un tās tika mudinātas brīvprātīgi turpināt partnerības bez COSME finansējuma. 15 līdzfinansētās partnerības veido aptuveni 95 kopas, kas sasniedz vairāk nekā 10 300 Eiropas MVU.</w:t>
      </w:r>
    </w:p>
    <w:p>
      <w:pPr>
        <w:spacing w:after="0" w:line="240" w:lineRule="auto"/>
        <w:jc w:val="both"/>
        <w:rPr>
          <w:rFonts w:eastAsia="Calibri" w:cstheme="minorHAnsi"/>
          <w:b/>
          <w:noProof/>
          <w:u w:val="single"/>
        </w:rPr>
      </w:pPr>
    </w:p>
    <w:p>
      <w:pPr>
        <w:spacing w:after="0" w:line="240" w:lineRule="auto"/>
        <w:jc w:val="both"/>
        <w:rPr>
          <w:rFonts w:eastAsia="Calibri" w:cstheme="minorHAnsi"/>
          <w:b/>
          <w:noProof/>
          <w:u w:val="single"/>
        </w:rPr>
      </w:pPr>
      <w:r>
        <w:rPr>
          <w:b/>
          <w:noProof/>
          <w:u w:val="single"/>
        </w:rPr>
        <w:t>Uzņēmējdarbība un uzņēmējdarbības kultūra — 4. konkrētais mērķis</w:t>
      </w:r>
    </w:p>
    <w:p>
      <w:pPr>
        <w:spacing w:after="0" w:line="240" w:lineRule="auto"/>
        <w:jc w:val="both"/>
        <w:rPr>
          <w:rFonts w:eastAsia="Calibri" w:cstheme="minorHAnsi"/>
          <w:b/>
          <w:noProof/>
          <w:u w:val="single"/>
        </w:rPr>
      </w:pPr>
    </w:p>
    <w:p>
      <w:pPr>
        <w:spacing w:line="240" w:lineRule="auto"/>
        <w:contextualSpacing/>
        <w:jc w:val="both"/>
        <w:rPr>
          <w:noProof/>
        </w:rPr>
      </w:pPr>
      <w:r>
        <w:rPr>
          <w:noProof/>
        </w:rPr>
        <w:t xml:space="preserve">COSME atbalsta informācijas apmaiņu starp Eiropas pedagogiem un instruktoriem, lai izstrādātu paraugpraksi uzņēmējdarbības izglītības jomā ES. Programmā lielākā uzmanība ir pievērsta tādām grupām kā jaunieši, sievietes vai vecāka gadagājuma uzņēmēji, lai tās gūtu labumu no mentorēšanas vai citām īpaši pielāgotām shēmām. </w:t>
      </w:r>
    </w:p>
    <w:p>
      <w:pPr>
        <w:spacing w:line="240" w:lineRule="auto"/>
        <w:contextualSpacing/>
        <w:jc w:val="both"/>
        <w:rPr>
          <w:noProof/>
        </w:rPr>
      </w:pPr>
      <w:r>
        <w:rPr>
          <w:noProof/>
        </w:rPr>
        <w:t>Galvenais instruments ir mentorēšanas programma “Erasmus jaunajiem uzņēmējiem”, kas jauniem uzņēmējiem palīdz iegūt un uzlabot uzņēmējdarbības prasmes un zināšanas un turpināt attīstīt uzņēmējdarbību, mācoties no pieredzējušiem uzņēmējiem. Tā sāka darboties 2009. gadā kā izmēģinājuma projekts, un tagad tā ir viena no galvenajām COSME programmas darbībām.</w:t>
      </w:r>
    </w:p>
    <w:p>
      <w:pPr>
        <w:spacing w:line="240" w:lineRule="auto"/>
        <w:contextualSpacing/>
        <w:jc w:val="both"/>
        <w:rPr>
          <w:noProof/>
        </w:rPr>
      </w:pPr>
    </w:p>
    <w:p>
      <w:pPr>
        <w:spacing w:line="240" w:lineRule="auto"/>
        <w:contextualSpacing/>
        <w:jc w:val="both"/>
        <w:rPr>
          <w:noProof/>
        </w:rPr>
      </w:pPr>
      <w:r>
        <w:rPr>
          <w:noProof/>
        </w:rPr>
        <w:t>Tā tiek īstenota ar ikgadējiem uzaicinājumiem iesniegt priekšlikumus, pēc kuriem EASME noslēdz dotāciju nolīgumus (DN) uz 24 mēnešiem. Kopumā vienmēr ir daudz labu projektu, kuru finansēt nepietiekama finansējuma dēļ. 2014. gada uzaicinājumā</w:t>
      </w:r>
      <w:r>
        <w:rPr>
          <w:rStyle w:val="FootnoteReference"/>
          <w:noProof/>
        </w:rPr>
        <w:footnoteReference w:id="13"/>
      </w:r>
      <w:r>
        <w:rPr>
          <w:noProof/>
        </w:rPr>
        <w:t xml:space="preserve"> saņemti 111 priekšlikumi, atlasīti 15 projekti, kuros iesaistītas 111 organizācijas no 28 COSME valstīm; ierobežotā budžeta dēļ nevarēja finansēt 40 projektus pavisam aptuveni 14 miljonu EUR apmērā. Darbību īstenošana sākās 2015. gada 1. februārī ar tīklu, kurā ietilpst 175 starpniekorganizācijas (SO) no 32 valstīm (26 dalībvalstīm un 6 COSME valstīm). Līdz 2016. gada beigām bija apstiprināti 11 000 uzņēmēju profili un tika noteiktas 4200 atbilstības ar vairāk nekā 8400 uzņēmējiem. </w:t>
      </w:r>
    </w:p>
    <w:p>
      <w:pPr>
        <w:spacing w:line="240" w:lineRule="auto"/>
        <w:contextualSpacing/>
        <w:jc w:val="both"/>
        <w:rPr>
          <w:noProof/>
        </w:rPr>
      </w:pPr>
    </w:p>
    <w:p>
      <w:pPr>
        <w:spacing w:line="240" w:lineRule="auto"/>
        <w:contextualSpacing/>
        <w:jc w:val="both"/>
        <w:rPr>
          <w:noProof/>
        </w:rPr>
      </w:pPr>
      <w:r>
        <w:rPr>
          <w:noProof/>
        </w:rPr>
        <w:t>Saskaņā ar šo konkrēto mērķi COSME arī finansē vairākus citus mazākus projektus. Svarīgākie no tiem ir šādi:</w:t>
      </w:r>
    </w:p>
    <w:p>
      <w:pPr>
        <w:spacing w:line="240" w:lineRule="auto"/>
        <w:ind w:left="360"/>
        <w:contextualSpacing/>
        <w:rPr>
          <w:rFonts w:ascii="Times New Roman" w:eastAsia="Times New Roman" w:hAnsi="Times New Roman" w:cs="Times New Roman"/>
          <w:noProof/>
          <w:sz w:val="24"/>
          <w:szCs w:val="24"/>
        </w:rPr>
      </w:pPr>
    </w:p>
    <w:p>
      <w:pPr>
        <w:numPr>
          <w:ilvl w:val="0"/>
          <w:numId w:val="6"/>
        </w:numPr>
        <w:spacing w:after="0" w:line="240" w:lineRule="auto"/>
        <w:contextualSpacing/>
        <w:jc w:val="both"/>
        <w:rPr>
          <w:rFonts w:eastAsia="Times New Roman" w:cstheme="minorHAnsi"/>
          <w:noProof/>
          <w:sz w:val="20"/>
          <w:szCs w:val="20"/>
        </w:rPr>
      </w:pPr>
      <w:r>
        <w:rPr>
          <w:noProof/>
          <w:sz w:val="20"/>
          <w:szCs w:val="20"/>
        </w:rPr>
        <w:t>uzņēmējdarbības izglītība ar vidēji 0,4–1 miljonu EUR gadā;</w:t>
      </w:r>
    </w:p>
    <w:p>
      <w:pPr>
        <w:numPr>
          <w:ilvl w:val="0"/>
          <w:numId w:val="6"/>
        </w:numPr>
        <w:spacing w:after="0" w:line="240" w:lineRule="auto"/>
        <w:contextualSpacing/>
        <w:jc w:val="both"/>
        <w:rPr>
          <w:rFonts w:eastAsia="Times New Roman" w:cstheme="minorHAnsi"/>
          <w:noProof/>
          <w:sz w:val="20"/>
          <w:szCs w:val="20"/>
        </w:rPr>
      </w:pPr>
      <w:r>
        <w:rPr>
          <w:noProof/>
          <w:sz w:val="20"/>
          <w:szCs w:val="20"/>
        </w:rPr>
        <w:t>sieviešu uzņēmējdarbība ar vidēji 0,5–1 miljonu EUR gadā;</w:t>
      </w:r>
    </w:p>
    <w:p>
      <w:pPr>
        <w:numPr>
          <w:ilvl w:val="0"/>
          <w:numId w:val="6"/>
        </w:numPr>
        <w:spacing w:after="0" w:line="240" w:lineRule="auto"/>
        <w:contextualSpacing/>
        <w:jc w:val="both"/>
        <w:rPr>
          <w:rFonts w:eastAsia="Times New Roman" w:cstheme="minorHAnsi"/>
          <w:noProof/>
          <w:sz w:val="20"/>
          <w:szCs w:val="20"/>
        </w:rPr>
      </w:pPr>
      <w:r>
        <w:rPr>
          <w:noProof/>
          <w:sz w:val="20"/>
          <w:szCs w:val="20"/>
        </w:rPr>
        <w:t>vecāka gadagājuma cilvēku uzņēmējdarbība ar vidēji 0,5–1 miljonu EUR gadā;</w:t>
      </w:r>
    </w:p>
    <w:p>
      <w:pPr>
        <w:numPr>
          <w:ilvl w:val="0"/>
          <w:numId w:val="6"/>
        </w:numPr>
        <w:spacing w:after="0" w:line="240" w:lineRule="auto"/>
        <w:contextualSpacing/>
        <w:jc w:val="both"/>
        <w:rPr>
          <w:rFonts w:eastAsia="Times New Roman" w:cstheme="minorHAnsi"/>
          <w:noProof/>
          <w:sz w:val="20"/>
          <w:szCs w:val="20"/>
        </w:rPr>
      </w:pPr>
      <w:r>
        <w:rPr>
          <w:noProof/>
          <w:sz w:val="20"/>
          <w:szCs w:val="20"/>
        </w:rPr>
        <w:t>digitālā uzņēmējdarbība ar 2,5 miljoniem EUR 2015. gadā;</w:t>
      </w:r>
    </w:p>
    <w:p>
      <w:pPr>
        <w:numPr>
          <w:ilvl w:val="0"/>
          <w:numId w:val="6"/>
        </w:numPr>
        <w:spacing w:after="120" w:line="240" w:lineRule="auto"/>
        <w:jc w:val="both"/>
        <w:rPr>
          <w:rFonts w:eastAsia="Times New Roman" w:cstheme="minorHAnsi"/>
          <w:noProof/>
          <w:sz w:val="20"/>
          <w:szCs w:val="20"/>
        </w:rPr>
      </w:pPr>
      <w:r>
        <w:rPr>
          <w:noProof/>
          <w:sz w:val="20"/>
          <w:szCs w:val="20"/>
        </w:rPr>
        <w:t>atbalsts migrantu uzņēmējdarbībai ar 1,5 miljoniem EUR gadā.</w:t>
      </w:r>
    </w:p>
    <w:p>
      <w:pPr>
        <w:spacing w:after="120" w:line="240" w:lineRule="auto"/>
        <w:ind w:left="720"/>
        <w:jc w:val="both"/>
        <w:rPr>
          <w:rFonts w:ascii="Times New Roman" w:eastAsia="Times New Roman" w:hAnsi="Times New Roman" w:cs="Times New Roman"/>
          <w:noProof/>
          <w:sz w:val="20"/>
          <w:szCs w:val="20"/>
        </w:rPr>
      </w:pPr>
    </w:p>
    <w:p>
      <w:pPr>
        <w:numPr>
          <w:ilvl w:val="0"/>
          <w:numId w:val="1"/>
        </w:numPr>
        <w:spacing w:after="160" w:line="240" w:lineRule="auto"/>
        <w:jc w:val="both"/>
        <w:rPr>
          <w:b/>
          <w:noProof/>
        </w:rPr>
      </w:pPr>
      <w:r>
        <w:rPr>
          <w:b/>
          <w:noProof/>
        </w:rPr>
        <w:t>METODIKA</w:t>
      </w:r>
    </w:p>
    <w:p>
      <w:pPr>
        <w:spacing w:line="240" w:lineRule="auto"/>
        <w:jc w:val="both"/>
        <w:rPr>
          <w:noProof/>
        </w:rPr>
      </w:pPr>
      <w:r>
        <w:rPr>
          <w:noProof/>
        </w:rPr>
        <w:t>Starpposma izvērtējums attiecas uz 2014.–2016. gadu, un tā pamatā lielākoties ir pētījums</w:t>
      </w:r>
      <w:r>
        <w:rPr>
          <w:rStyle w:val="FootnoteReference"/>
          <w:noProof/>
        </w:rPr>
        <w:footnoteReference w:id="14"/>
      </w:r>
      <w:r>
        <w:rPr>
          <w:noProof/>
        </w:rPr>
        <w:t>, ko laikposmā no 2016. gada decembra līdz 2017. gada decembrim veica ārējs konsultāciju uzņēmums. Konsultants veica pētījumu, izmantojot Komisijas standarta izvērtēšanas metodiku, kas ieteikta labāka regulējuma pamatnostādnēs</w:t>
      </w:r>
      <w:r>
        <w:rPr>
          <w:rStyle w:val="FootnoteReference"/>
          <w:noProof/>
        </w:rPr>
        <w:footnoteReference w:id="15"/>
      </w:r>
      <w:r>
        <w:rPr>
          <w:noProof/>
        </w:rPr>
        <w:t>.  Mērķis bija izvērtēt 2014.–2016. gadā finansētās programmas darbības atbilstīgi pieciem kritērijiem: atbilstība, efektivitāte, saskaņotība, lietderība un ES pievienotā vērtība.</w:t>
      </w:r>
    </w:p>
    <w:p>
      <w:pPr>
        <w:spacing w:line="240" w:lineRule="auto"/>
        <w:jc w:val="both"/>
        <w:rPr>
          <w:noProof/>
        </w:rPr>
      </w:pPr>
      <w:r>
        <w:rPr>
          <w:noProof/>
        </w:rPr>
        <w:t xml:space="preserve">Starpposma izvērtējumā tika atbildēts uz 6 galvenajiem jautājumiem un 15 apakšjautājumiem, kas izklāstīti pētījuma specifikācijās, un tajā tika izmantotas gan kvantitatīvas, gan kvalitatīvas metodes. </w:t>
      </w:r>
    </w:p>
    <w:p>
      <w:pPr>
        <w:spacing w:line="240" w:lineRule="auto"/>
        <w:jc w:val="both"/>
        <w:rPr>
          <w:noProof/>
        </w:rPr>
      </w:pPr>
      <w:r>
        <w:rPr>
          <w:noProof/>
        </w:rPr>
        <w:t xml:space="preserve">Starpposma izvērtējuma instrumenti bija dokumentu izpēte, sekundāro datu statistikas analīze, darbseminārs, 120 augsta līmeņa intervijas, mērķorientētas konsultācijas ar vairāk nekā 4000 MVU un sabiedriskā apspriešana, kurā tika saņemtas 195 atbildes un 14 nostājas dokumenti. </w:t>
      </w:r>
    </w:p>
    <w:p>
      <w:pPr>
        <w:spacing w:line="240" w:lineRule="auto"/>
        <w:jc w:val="both"/>
        <w:rPr>
          <w:noProof/>
        </w:rPr>
      </w:pPr>
      <w:r>
        <w:rPr>
          <w:noProof/>
        </w:rPr>
        <w:t>Ņemot vērā to, ka šis ir starpposma izvērtējums, vairums paredzēto ilgtermiņa rezultātu vēl nav izmērāmi.  Tāpēc galvenā uzmanība tika pievērsta tam, ciktāl programma nosaka pamatelementus vidusposmā gaidāmo tiešo rezultātu un koprezultāta sasniegšanai. Tas ietver uzmanības pievēršanu programmas izstrādes atbilstībai un kvalitātei, t. i., formulēto mērķu, ieguldīto līdzekļu un īstenoto darbību atbilstībai un kvalitātei, citiem vārdiem sakot, atbilstības un saskaņotības kritērijiem.</w:t>
      </w:r>
    </w:p>
    <w:p>
      <w:pPr>
        <w:spacing w:line="240" w:lineRule="auto"/>
        <w:jc w:val="both"/>
        <w:rPr>
          <w:noProof/>
        </w:rPr>
      </w:pPr>
      <w:r>
        <w:rPr>
          <w:noProof/>
        </w:rPr>
        <w:t>Sīkāku informāciju par metodiku skatīt pievienotajā dienestu darba dokumentā.</w:t>
      </w:r>
    </w:p>
    <w:p>
      <w:pPr>
        <w:numPr>
          <w:ilvl w:val="0"/>
          <w:numId w:val="1"/>
        </w:numPr>
        <w:spacing w:after="160" w:line="240" w:lineRule="auto"/>
        <w:jc w:val="both"/>
        <w:rPr>
          <w:b/>
          <w:noProof/>
        </w:rPr>
      </w:pPr>
      <w:r>
        <w:rPr>
          <w:b/>
          <w:noProof/>
        </w:rPr>
        <w:t>IZVĒRTĒJUMĀ KONSTATĒTAIS</w:t>
      </w:r>
    </w:p>
    <w:p>
      <w:pPr>
        <w:spacing w:line="240" w:lineRule="auto"/>
        <w:jc w:val="both"/>
        <w:rPr>
          <w:noProof/>
        </w:rPr>
      </w:pPr>
      <w:r>
        <w:rPr>
          <w:noProof/>
        </w:rPr>
        <w:t xml:space="preserve">Šajā sadaļā ir izklāstīti galvenie izvērtējuma konstatējumi atbilstīgi pieciem iepriekš minētajiem izvērtēšanas kritērijiem. </w:t>
      </w:r>
    </w:p>
    <w:p>
      <w:pPr>
        <w:numPr>
          <w:ilvl w:val="0"/>
          <w:numId w:val="2"/>
        </w:numPr>
        <w:spacing w:after="160" w:line="240" w:lineRule="auto"/>
        <w:jc w:val="both"/>
        <w:rPr>
          <w:b/>
          <w:noProof/>
        </w:rPr>
      </w:pPr>
      <w:r>
        <w:rPr>
          <w:b/>
          <w:noProof/>
        </w:rPr>
        <w:t>Atbilstība</w:t>
      </w:r>
    </w:p>
    <w:p>
      <w:pPr>
        <w:spacing w:line="240" w:lineRule="auto"/>
        <w:jc w:val="both"/>
        <w:rPr>
          <w:noProof/>
        </w:rPr>
      </w:pPr>
      <w:r>
        <w:rPr>
          <w:noProof/>
        </w:rPr>
        <w:t xml:space="preserve">COSME palīdz sasniegt Junkera vadītās Komisijas vislielāko prioritāti, proti, veicināt izaugsmi un darbvietas, veicot vairākas darbības, piemēram, uzlabojot finansējuma pieejamību, veidojot tīklošanās iespējas, veicinot informācijas un labās prakses apmaiņu, kā arī ES MVU piekļuvi jauniem tirgiem. COSME ir programma, kas paredzēta visiem ES MVU – vienam no programmas galvenajiem balstiem. </w:t>
      </w:r>
    </w:p>
    <w:p>
      <w:pPr>
        <w:spacing w:line="240" w:lineRule="auto"/>
        <w:jc w:val="both"/>
        <w:rPr>
          <w:noProof/>
        </w:rPr>
      </w:pPr>
      <w:r>
        <w:rPr>
          <w:noProof/>
        </w:rPr>
        <w:t xml:space="preserve">Programma īsteno Komisijas politikas prioritātes, tostarp Mazās uzņēmējdarbības aktu (SBA), vienotā tirgus stratēģiju (2015. gads) un jaunuzņēmumu un augošo uzņēmumu atbalsta iniciatīvu (2016. gads). Tā ir arī cieši saskaņota ar Eiropas MVU augošajām vajadzībām. </w:t>
      </w:r>
    </w:p>
    <w:p>
      <w:pPr>
        <w:spacing w:line="240" w:lineRule="auto"/>
        <w:jc w:val="both"/>
        <w:rPr>
          <w:noProof/>
        </w:rPr>
      </w:pPr>
      <w:r>
        <w:rPr>
          <w:noProof/>
        </w:rPr>
        <w:t xml:space="preserve">Aptauju rezultāti liecina, ka gan starpnieki MVU, gan saņēmēji MVU uzskata, ka programmā COSME veiktās darbības ir atbilstošas un izvirzīto nosacījumu un satura dēļ atbilst MVU vajadzībām. ES iedzīvotājiem šī programma ir atbilstoša, jo lielākā uzmanība tiek veltīta ekonomikas izaugsmes sekmēšanai un nodarbinātības iespēju radīšanai. </w:t>
      </w:r>
    </w:p>
    <w:p>
      <w:pPr>
        <w:spacing w:line="240" w:lineRule="auto"/>
        <w:jc w:val="both"/>
        <w:rPr>
          <w:noProof/>
        </w:rPr>
      </w:pPr>
      <w:r>
        <w:rPr>
          <w:noProof/>
        </w:rPr>
        <w:t>Programma nav tik atbilstoša ar ekonomiku nesaistītām jomām, piemēram, tām, kas saistītas ar sabiedrības problēmām, un dažiem mērķiem, kas noteikti stratēģijā “Eiropa 2020”, piemēram, integrējošai un ilgtspējīgai izaugsmei. Uz šiem mērķiem COSME reaģē  galvenokārt netieši.</w:t>
      </w:r>
    </w:p>
    <w:p>
      <w:pPr>
        <w:spacing w:line="240" w:lineRule="auto"/>
        <w:jc w:val="both"/>
        <w:rPr>
          <w:noProof/>
        </w:rPr>
      </w:pPr>
      <w:r>
        <w:rPr>
          <w:noProof/>
        </w:rPr>
        <w:t>Viena no lielākajām COSME vērtībām ir elastība. Tā ļauj īstenot jaunas politikas prioritātes, sākot jaunas darbības un novirzot finansējumu jomām, kuras ir prioritāras. Šajā sakarā pirmajos trīs īstenošanas gados tika ierosinātas un īstenotas vairākas izmaiņas budžeta sadalē.</w:t>
      </w:r>
    </w:p>
    <w:p>
      <w:pPr>
        <w:spacing w:line="240" w:lineRule="auto"/>
        <w:jc w:val="both"/>
        <w:rPr>
          <w:noProof/>
        </w:rPr>
      </w:pPr>
      <w:r>
        <w:rPr>
          <w:noProof/>
        </w:rPr>
        <w:t>Galvenā nepilnība, kas attiecas uz atbilstību (arī uz efektivitāti, kā izklāstīts turpmāk), ir saistīta ar programmas struktūru. Divas pamatdarbības — finanšu instrumenti un Eiropas Biznesa atbalsta tīkls — veido vairāk nekā 80 % no kopējā budžeta, kā noteikts COSME regulā. Attiecīgi budžets citām, mazākām, darbībām ir ļoti ierobežots. Dažos gadījumos tas vājina šo darbību iespējamo ietekmi.</w:t>
      </w:r>
    </w:p>
    <w:p>
      <w:pPr>
        <w:numPr>
          <w:ilvl w:val="0"/>
          <w:numId w:val="3"/>
        </w:numPr>
        <w:spacing w:after="160" w:line="240" w:lineRule="auto"/>
        <w:jc w:val="both"/>
        <w:rPr>
          <w:b/>
          <w:noProof/>
        </w:rPr>
      </w:pPr>
      <w:r>
        <w:rPr>
          <w:b/>
          <w:noProof/>
        </w:rPr>
        <w:t>Efektivitāte</w:t>
      </w:r>
    </w:p>
    <w:p>
      <w:pPr>
        <w:spacing w:line="240" w:lineRule="auto"/>
        <w:jc w:val="both"/>
        <w:rPr>
          <w:noProof/>
        </w:rPr>
      </w:pPr>
      <w:r>
        <w:rPr>
          <w:noProof/>
        </w:rPr>
        <w:t xml:space="preserve">2014.–2016. gadā COSME kopumā ir veiksmīgi sasniegusi paredzētos tiešos rezultātus, piemēram, tādu MVU skaitu, kas gūst labumu no aizņēmuma finansējuma, vai organizēto pasākumu skaitu. Gūtie pierādījumi liecina, ka COSME labvēlīgi ietekmēs tās labuma guvēju izaugsmi un nodarbinātību. </w:t>
      </w:r>
    </w:p>
    <w:p>
      <w:pPr>
        <w:spacing w:line="240" w:lineRule="auto"/>
        <w:jc w:val="both"/>
        <w:rPr>
          <w:noProof/>
        </w:rPr>
      </w:pPr>
      <w:r>
        <w:rPr>
          <w:noProof/>
        </w:rPr>
        <w:t>COSME stiprā puse tieši ir starpnieku izmantošana programmas īstenošanā. COSME izmanto šo starpnieku tuvību MVU un veicina COSME ietvaros sniegto pakalpojumu integrāciju šo starpnieku sniegtajos pakalpojumos valsts un reģionālā kontekstā. Šāda pieeja palielina COSME spēju panākt vēlamo ietekmi.</w:t>
      </w:r>
    </w:p>
    <w:p>
      <w:pPr>
        <w:spacing w:line="240" w:lineRule="auto"/>
        <w:jc w:val="both"/>
        <w:rPr>
          <w:i/>
          <w:noProof/>
        </w:rPr>
      </w:pPr>
      <w:r>
        <w:rPr>
          <w:i/>
          <w:noProof/>
        </w:rPr>
        <w:t>Finansējuma pieejamība</w:t>
      </w:r>
    </w:p>
    <w:p>
      <w:pPr>
        <w:spacing w:line="240" w:lineRule="auto"/>
        <w:jc w:val="both"/>
        <w:rPr>
          <w:noProof/>
        </w:rPr>
      </w:pPr>
      <w:r>
        <w:rPr>
          <w:noProof/>
        </w:rPr>
        <w:t xml:space="preserve">Aizdevumu garantiju instruments un kapitāla instruments izaugsmei ir ļoti efektīvi MVU, kas ir labuma guvēji. Proti, aizdevumu garantiju instrumentu (LGF) izmantoja liels skaits MVU, tas kopumā piedāvāja labvēlīgākus finansēšanas nosacījumus, pierādīja spēju piesaistīt lielu MVU finansējumu un palielināja aizņēmuma finansējumu vairumā dalībvalstu. Tomēr tika norādīts, ka 150 000 EUR robežvērtība, virs kuras finanšu starpniekiem ir jāpārbauda, vai MVU neatbilst kādam no inovāciju kritērijiem, kas noteikti saskaņā ar programmas “Apvārsnis 2020” MVU aizņēmuma finansējuma instrumentu, radīja negatīvu ietekmi. Starpnieki ir spiesti ierobežot savu finanšu piedāvājumu līdz šai robežvērtībai, lai gan šī robežvērtība tiek uzskatīta par neatbilstošu daudzu MVU finansējuma vajadzībām. </w:t>
      </w:r>
    </w:p>
    <w:p>
      <w:pPr>
        <w:spacing w:line="240" w:lineRule="auto"/>
        <w:jc w:val="both"/>
        <w:rPr>
          <w:noProof/>
        </w:rPr>
      </w:pPr>
      <w:r>
        <w:rPr>
          <w:noProof/>
        </w:rPr>
        <w:t xml:space="preserve">izaugsmei paredzētā kapitāla instrumenta (EFG) progress ir mazāks, jo kapitālieguldījumiem ir raksturīgs ilgāks periods līdz finansējuma saņemšanai un priekšroka tiek dota kapitāla instrumentam, kas tika ieviests 2016. gadā saskaņā ar Eiropas Stratēģisko investīciju fondu (ESIF). </w:t>
      </w:r>
    </w:p>
    <w:p>
      <w:pPr>
        <w:spacing w:line="240" w:lineRule="auto"/>
        <w:jc w:val="both"/>
        <w:rPr>
          <w:noProof/>
        </w:rPr>
      </w:pPr>
      <w:r>
        <w:rPr>
          <w:noProof/>
        </w:rPr>
        <w:t xml:space="preserve">Saskaņā ar 2016. gada 31. decembra datiem aizdevumu garantiju instrumentu (LGF) izmanto vairāk nekā 60 finanšu starpnieku 25 valstīs, atbalstot vairāk nekā 140 000 MVU, no kuriem 50 % ir jaunuzņēmumi ar mazāk nekā piecus gadus ilgu darbības vēsturi, bet 90 % atbalstīto uzņēmumu ir mikrouzņēmumi. </w:t>
      </w:r>
    </w:p>
    <w:p>
      <w:pPr>
        <w:spacing w:line="240" w:lineRule="auto"/>
        <w:jc w:val="both"/>
        <w:rPr>
          <w:noProof/>
        </w:rPr>
      </w:pPr>
      <w:r>
        <w:rPr>
          <w:noProof/>
        </w:rPr>
        <w:t xml:space="preserve">LGF ļāva palielināt finansēšanas darījumu skaitu un lielumu ar riskantākiem MVU (2014.–2016. gada noslēgtie garantijas nolīgumi 611,17 miljonu EUR apmērā ļāva piesaistīt finansējumu 5,5 miljardu EUR apmērā). Vairums aptaujāto finanšu starpnieku norādīja, ka LGF būtiski uzlaboja to spēju nodrošināt kredītriska segumu vai kredītu. Šī aptauja arī pierādīja, ka kopumā COSME garantija piesaistīja būtiskus papildieguldījumus, kas aplēsti pavisam 1,25 miljardu EUR apmērā. Aptaujātie MVU norādīja, ka gan EGF, gan LGF labvēlīgi ietekmē to izaugsmes perspektīvu. </w:t>
      </w:r>
    </w:p>
    <w:p>
      <w:pPr>
        <w:spacing w:line="240" w:lineRule="auto"/>
        <w:jc w:val="both"/>
        <w:rPr>
          <w:i/>
          <w:noProof/>
        </w:rPr>
      </w:pPr>
      <w:r>
        <w:rPr>
          <w:i/>
          <w:noProof/>
        </w:rPr>
        <w:t>Piekļuve tirgiem</w:t>
      </w:r>
    </w:p>
    <w:p>
      <w:pPr>
        <w:spacing w:line="240" w:lineRule="auto"/>
        <w:jc w:val="both"/>
        <w:rPr>
          <w:noProof/>
        </w:rPr>
      </w:pPr>
      <w:r>
        <w:rPr>
          <w:noProof/>
        </w:rPr>
        <w:t>Eiropas Biznesa atbalsta tīkls (EEN) ir pierādījis lielu spēju sasniegt MVU visā Eiropā, tostarp 150 000 MVU, kas piedalījās EEN sadarbības un konsultāciju pakalpojumos. Pateicoties EEN, vairāk nekā 8000 MVU noslēdza sadarbības nolīgumus ar MVU “pāri robežai” vai īstenoja jauno EEN konsultāciju pakalpojumu ieteikumus. EEN pakalpojumi galvenokārt atbalstīja MVU centienus uzlabot preču un pakalpojumu kvalitāti, izraisot (paredzamu) apgrozījuma pieaugumu un jo īpaši ienākšanu ģeogrāfiski jaunos tirgos gan Eiropā, gan ārpus tās. Tīkla pakalpojumus plaši izmanto un novērtē MVU, kas ir klienti. Tīkls ir guvis labus tiešos rezultātus, jo īpaši sniedzot uzņēmumu sadarbības pakalpojumus, sniedzot konsultācijas, palīdzot MVU pārvarēt šķēršļus, kas saistīti ar inovāciju un uzņēmējdarbības vadību, un ļaujot izveidot vērtīgas uzņēmējdarbības attiecības starp MVU. Tīkls sniedza tiešos rezultāts arī pašiem starpniekiem, tostarp uzlabotas zināšanas, stratēģiskos izlūkdatus un sadarbību ar citiem tīkla dalībniekiem, lai palielinātu pakalpojumu kvalitāti.</w:t>
      </w:r>
    </w:p>
    <w:p>
      <w:pPr>
        <w:spacing w:line="240" w:lineRule="auto"/>
        <w:jc w:val="both"/>
        <w:rPr>
          <w:noProof/>
        </w:rPr>
      </w:pPr>
      <w:r>
        <w:rPr>
          <w:noProof/>
        </w:rPr>
        <w:t xml:space="preserve">Papildus EEN pakalpojumiem svarīgs informācijas avots ir portāla “Tava Eiropa” sadaļa uzņēmumiem. Tajā ir informācija par tiesībām un pienākumiem, kad tiek sākta un/vai vadīta uzņēmējdarbība Eiropas valstī, un tas ir piesaistījis vairāk apmeklētāju, nekā plānots. Uzraudzības dati liecina, ka portāla unikālo apmeklētāju skaits sasniedz 2,9 miljonus (salīdzinājumam — COSME regulā kā EEN ilgtermiņa pamatelements bija noteikti 2,3 miljoni digitālo pakalpojumu lietotāju). Arī lietotāju apmierinātības rādītāji ir augsti (93 %, un COSME darba programmā 2016. gadam noteiktais mērķis bija 85 %).  </w:t>
      </w:r>
    </w:p>
    <w:p>
      <w:pPr>
        <w:spacing w:line="240" w:lineRule="auto"/>
        <w:jc w:val="both"/>
        <w:rPr>
          <w:noProof/>
        </w:rPr>
      </w:pPr>
      <w:r>
        <w:rPr>
          <w:noProof/>
        </w:rPr>
        <w:t xml:space="preserve">Darbībā “Kopas kļūst starptautiskas” (KKS) ir iesaistījušās 25 Eiropas stratēģiskās kopu partnerības (ESKP), kas pārstāv 145 kopu organizācijas 23 Eiropas valstīs un vairāk nekā 17 000 Eiropas MVU. Ierobežotā budžeta dēļ tika finansētas tikai 15 no 25 atlasītajām ESKP. Pārējām 10 partnerībām tika piešķirta ESKP zīme, un tās tika mudinātas partnerības turpināt brīvprātīgi bez COSME finansējuma. 15 līdzfinansētās partnerības veido aptuveni 95 kopas, kas sasniedz vairāk nekā 10 300 Eiropas MVU. Ir izveidotas oficiālas Eiropas kopu partnerības, kā arī pirmās “globālās” partnerības. </w:t>
      </w:r>
    </w:p>
    <w:p>
      <w:pPr>
        <w:spacing w:line="240" w:lineRule="auto"/>
        <w:jc w:val="both"/>
        <w:rPr>
          <w:noProof/>
        </w:rPr>
      </w:pPr>
      <w:r>
        <w:rPr>
          <w:noProof/>
        </w:rPr>
        <w:t xml:space="preserve">Galvenie tiešie rezultāti bija uzlabota izpratne par internacionalizācijas procesu un pastiprinātas kopu vadītāju spējas atbalstīt internacionalizāciju, kā arī jaunu starptautisku uzņēmējdarbības attiecību izveide. Kā vienu no plašākā mērogā sasniegtajiem vidēja termiņa rezultātiem var uzskatīt spēcīgāku starptautisko profilu. </w:t>
      </w:r>
    </w:p>
    <w:p>
      <w:pPr>
        <w:spacing w:line="240" w:lineRule="auto"/>
        <w:jc w:val="both"/>
        <w:rPr>
          <w:i/>
          <w:noProof/>
        </w:rPr>
      </w:pPr>
      <w:r>
        <w:rPr>
          <w:i/>
          <w:noProof/>
        </w:rPr>
        <w:t>Konkurētspējas pamatnosacījumu uzlabošana</w:t>
      </w:r>
    </w:p>
    <w:p>
      <w:pPr>
        <w:spacing w:line="240" w:lineRule="auto"/>
        <w:jc w:val="both"/>
        <w:rPr>
          <w:noProof/>
        </w:rPr>
      </w:pPr>
      <w:r>
        <w:rPr>
          <w:noProof/>
        </w:rPr>
        <w:t xml:space="preserve">Iniciatīvas, kas atbalsta nozaru konkurētspēju, vairumā gadījumu ietver tādas vienreizējas darbības ar ierobežotu budžetu, kas paredzētas daudzām nozarēm. Kā norāda tūrisma programmas atbalsta saņēmēji, tieši rezultāti ietver jaunu pārrobežu stratēģisko partnerību izveidi un labāku pamanāmību starptautiskos tirgos. Tieši iesaistīti bija maz MVU, taču profesionālo asociāciju un vietējo, reģionālo un valsts publisko tūrisma aģentūru iesaistīšanās radīja pamatu būtiskai palielinošai ietekmei. Tiek izstrādāti jauni tūrisma produkti un pakalpojumi, un dalībnieki ļoti cer, ka būs iespējas ienākt jaunos tirgos. </w:t>
      </w:r>
    </w:p>
    <w:p>
      <w:pPr>
        <w:spacing w:line="240" w:lineRule="auto"/>
        <w:jc w:val="both"/>
        <w:rPr>
          <w:noProof/>
        </w:rPr>
      </w:pPr>
      <w:r>
        <w:rPr>
          <w:noProof/>
        </w:rPr>
        <w:t xml:space="preserve">Mazās uzņēmējdarbības akta (SBA) īstenošanas darbības veiksmīgi sniedza kvalitatīvu informāciju valsts politikas veidotājiem, publicējot MVU darbības pārskatu, un nodrošināja augsti novērtētu platformu informācijas un labās prakses apmaiņai MVU sūtņu tīklā. Kopumā pastāv uzskats, ka šīs darbības veicina MVU politikas konverģenci visās COSME valstīs.  </w:t>
      </w:r>
    </w:p>
    <w:p>
      <w:pPr>
        <w:spacing w:line="240" w:lineRule="auto"/>
        <w:jc w:val="both"/>
        <w:rPr>
          <w:i/>
          <w:noProof/>
        </w:rPr>
      </w:pPr>
      <w:r>
        <w:rPr>
          <w:i/>
          <w:noProof/>
        </w:rPr>
        <w:t>Uzņēmējdarbība</w:t>
      </w:r>
    </w:p>
    <w:p>
      <w:pPr>
        <w:spacing w:line="240" w:lineRule="auto"/>
        <w:jc w:val="both"/>
        <w:rPr>
          <w:noProof/>
        </w:rPr>
      </w:pPr>
      <w:r>
        <w:rPr>
          <w:noProof/>
        </w:rPr>
        <w:t xml:space="preserve">Programma “Erasmus jaunajiem uzņēmējiem” (EYE) veiksmīgi sasniedza paredzētos mērķus. Tajā bija iesaistīti aptuveni 3500 uzņēmēju. Tiek lēsts, ka 2014.–2016. gadā jauno uzņēmēju iesaistīšanās programmā izraisīja 250 jaunu uzņēmumu izveidi, radīja 5 miljonus EUR lielu papildu apgrozījumu un aptuveni 1000 jaunas darbvietas. Tajā pašā laikā uzņēmēji, kas darbojas kā mentori, ir saistīti ar papildu apgrozījumu 203 miljonu EUR apmērā un 1100 jaunām darbvietām. Tas ir arī devis pamatu svarīgiem tiešajiem rezultātiem uzņēmējdarbības attiecību un internacionalizācijas ziņā gan jauniem uzņēmējiem, gan uzņēmējiem, kas darbojas kā mentori. Pavisam 2014.–2016. gadā darbā tika iekārtoti 2117 cilvēki. Ir aplēsts, ka, pateicoties EYE, aptuveni 1800 potenciālo jauno uzņēmēju uzlaboja vadības un tehniskās prasmes, savukārt citiem ir uzlabojušās uzņēmējdarbības prasmes (tirgvedības, administrēšanas, finanšu jomā). </w:t>
      </w:r>
    </w:p>
    <w:p>
      <w:pPr>
        <w:spacing w:line="240" w:lineRule="auto"/>
        <w:jc w:val="both"/>
        <w:rPr>
          <w:noProof/>
        </w:rPr>
      </w:pPr>
      <w:r>
        <w:rPr>
          <w:noProof/>
        </w:rPr>
        <w:t xml:space="preserve">Dalībnieki norādīja, ka dalība EYE ir uzlabojusi viņu izpratni par problēmām, ar kurām saskaras uzņēmēji. EYE arī tieši ietekmēja uzņēmējus, kas darbojas kā mentori, atbalstot inovācijas viņu uzņēmumos un izaugsmes rādītājus, kas ir daudz augstāki nekā vidēji ES. EYE programma arī sasniedza mērķus uzņēmējdarbības attiecību stiprināšanā un turpmākas sadarbības un internacionalizācijas veicināšanā, pateicoties būtisku tīklošanās iespēju izveidei. </w:t>
      </w:r>
    </w:p>
    <w:p>
      <w:pPr>
        <w:spacing w:line="240" w:lineRule="auto"/>
        <w:jc w:val="both"/>
        <w:rPr>
          <w:noProof/>
        </w:rPr>
      </w:pPr>
    </w:p>
    <w:p>
      <w:pPr>
        <w:numPr>
          <w:ilvl w:val="0"/>
          <w:numId w:val="3"/>
        </w:numPr>
        <w:spacing w:after="160" w:line="240" w:lineRule="auto"/>
        <w:jc w:val="both"/>
        <w:rPr>
          <w:b/>
          <w:noProof/>
        </w:rPr>
      </w:pPr>
      <w:r>
        <w:rPr>
          <w:b/>
          <w:noProof/>
        </w:rPr>
        <w:t>Lietderība</w:t>
      </w:r>
    </w:p>
    <w:p>
      <w:pPr>
        <w:spacing w:line="240" w:lineRule="auto"/>
        <w:jc w:val="both"/>
        <w:rPr>
          <w:noProof/>
        </w:rPr>
      </w:pPr>
      <w:r>
        <w:rPr>
          <w:noProof/>
        </w:rPr>
        <w:t>Kopumā COSME darbojas pietiekami lietderīgi, un visi tās galvenie komponenti ir īstenoti atbilstīgi konkrētajiem mērķiem un laika grafikiem, kas noteikti gada darba programmās. COSME galvenais spēks ir skaidri darba programmu apraksti, kas rada salīdzinoši mazu daļu neatbilstošu pieteikumu dotāciju saņemšanai. Netika konstatēti būtiski administratīvie šķēršļi, un ieviestie vienkāršošanas pasākumi tika uzskatīti par pozitīviem, lai gan pirmajā darbības gadā EASME bija problēmas ar jauno IT sistēmu, un tas radīja sarežģījumus labuma guvējiem.</w:t>
      </w:r>
    </w:p>
    <w:p>
      <w:pPr>
        <w:spacing w:line="240" w:lineRule="auto"/>
        <w:jc w:val="both"/>
        <w:rPr>
          <w:noProof/>
        </w:rPr>
      </w:pPr>
      <w:r>
        <w:rPr>
          <w:noProof/>
        </w:rPr>
        <w:t xml:space="preserve">COSME īstenošana ir deleģēta galvenokārt EASME (nefinanšu darbības) un EIF (finanšu instrumenti). 2014.–2016. gadā EASME īstenoja budžetu 298 miljonu EUR apmērā, bet EIF īstenoja budžetu 550 miljonu EUR apmērā, kas bija paredzēts MVU attiecībā uz COSME finanšu instrumentiem. </w:t>
      </w:r>
    </w:p>
    <w:p>
      <w:pPr>
        <w:spacing w:line="240" w:lineRule="auto"/>
        <w:jc w:val="both"/>
        <w:rPr>
          <w:noProof/>
        </w:rPr>
      </w:pPr>
      <w:r>
        <w:rPr>
          <w:noProof/>
        </w:rPr>
        <w:t xml:space="preserve">Kopumā gan starpnieki, gan galīgie saņēmēji uzskata, ka ar COSME izmantošanu saistītās izmaksas ir pieejamas cenas ziņā un pieņemamas. Lai gan dažos gadījumos administratīvais slogs tika uzskatīts par lielu, kopumā atsauksmes bija tādas, ka ieguvumi pārsniedz izmaksas.  Finanšu starpnieki norādīja, ka ziņošanas prasības bija apgrūtinošas un to dēļ pastāvēja risks, ka mazināsies LGF pievilcīgums. Finanšu starpnieki arī apgalvoja, ka EFG administratīvais slogs bija ievērojami lielāks nekā parasti riska kapitāla (RK) nozarē. Tomēr tie MVU, kas guva labumu no LGF, norādīja, ka ES garantijas dēļ nesaskārās ar papildu izmaksām, administratīvo slogu vai sarežģījumiem.  </w:t>
      </w:r>
    </w:p>
    <w:p>
      <w:pPr>
        <w:spacing w:line="240" w:lineRule="auto"/>
        <w:jc w:val="both"/>
        <w:rPr>
          <w:noProof/>
        </w:rPr>
      </w:pPr>
      <w:r>
        <w:rPr>
          <w:noProof/>
        </w:rPr>
        <w:t xml:space="preserve">Visi MVU un jo īpaši mikrosabiedrības un mazās sabiedrības novērtēja ES COSME garantijas atbalstītos finansējuma aizņēmuma nosacījumus kā labvēlīgākus par tiem, ko līdzīgam finansējumam piedāvā citi finanšu starpnieki. Arī citās COSME tematiskajās jomās MVU, kas saņēma finansējumu, uzskata, ka ieguvumi pārsniedz izmaksas. </w:t>
      </w:r>
    </w:p>
    <w:p>
      <w:pPr>
        <w:spacing w:line="240" w:lineRule="auto"/>
        <w:jc w:val="both"/>
        <w:rPr>
          <w:noProof/>
        </w:rPr>
      </w:pPr>
      <w:r>
        <w:rPr>
          <w:noProof/>
        </w:rPr>
        <w:t xml:space="preserve">Attiecībā uz to, ka COSME pārvalda EASME, laiks līdz dotācijas saņemšanai atklātos uzaicinājumos bija īsāks nekā EASME noteiktais mērķis, savukārt dažādās darbībās būtiski atšķīrās konkurences pakāpe, priekšlikumu skaits un “derīgo priekšlikumu rādītājs”. Svarīgi norādīt, ka COSME finansē daudzas mazas darbības, kurās ir vajadzīgs salīdzinoši liels skaits darbinieku.  </w:t>
      </w:r>
    </w:p>
    <w:p>
      <w:pPr>
        <w:spacing w:line="240" w:lineRule="auto"/>
        <w:jc w:val="both"/>
        <w:rPr>
          <w:noProof/>
        </w:rPr>
      </w:pPr>
      <w:r>
        <w:rPr>
          <w:noProof/>
        </w:rPr>
        <w:t>Attiecībā uz nepilnībām starpposma izvērtējums liecina, ka ir jāuzlabo COSME datu vajadzību pārvaldība. Tas, ka atbildība par īstenošanu ir sadalīta starp daudzām iesaistītajām personām, rada būtisku problēmu saistībā ar efektīvu programmas vadību un koordināciju, radot risku, ka programma tiek vājāk pārraudzīta un izvērtēta. Lai varētu pienācīgi pārraudzīt programmas tiešos rezultātus un virzību uz tās mērķu sasniegšanu, lielāka uzmanība ir jāvelta datu vākšanai par labuma guvēju profilu.</w:t>
      </w:r>
    </w:p>
    <w:p>
      <w:pPr>
        <w:numPr>
          <w:ilvl w:val="0"/>
          <w:numId w:val="3"/>
        </w:numPr>
        <w:spacing w:after="160" w:line="240" w:lineRule="auto"/>
        <w:jc w:val="both"/>
        <w:rPr>
          <w:b/>
          <w:noProof/>
        </w:rPr>
      </w:pPr>
      <w:r>
        <w:rPr>
          <w:b/>
          <w:noProof/>
        </w:rPr>
        <w:t>Saskaņotība</w:t>
      </w:r>
    </w:p>
    <w:p>
      <w:pPr>
        <w:spacing w:line="240" w:lineRule="auto"/>
        <w:jc w:val="both"/>
        <w:rPr>
          <w:noProof/>
        </w:rPr>
      </w:pPr>
      <w:r>
        <w:rPr>
          <w:noProof/>
        </w:rPr>
        <w:t>Kopumā COSME programmai piemīt laba iekšējā saskaņotība. Tiek strādāts, lai izveidotu sinerģijas un netiktu konstatēta būtiska pārklāšanās. Daudz uzmanības tiek veltīts tam, lai panāktu dažādu darbību papildināmību, jo īpaši EEN un internacionalizācijas jomā. Piemēram, gan ES un Japānas centrs, gan IĪT palīdzības dienesti sadarbojas ar EEN. Kopu internacionalizācijas programmas un ES un Japānas centra sadarbība ļāva atbalstīt kopu partnerības internacionalizācijas jautājumos. Arī IĪT palīdzības dienestu un EEN tīkla eksperti tiek mudināti iesaistīties Eiropas Kopu sadarbības platformas pasākumos.</w:t>
      </w:r>
    </w:p>
    <w:p>
      <w:pPr>
        <w:spacing w:line="240" w:lineRule="auto"/>
        <w:jc w:val="both"/>
        <w:rPr>
          <w:noProof/>
        </w:rPr>
      </w:pPr>
      <w:r>
        <w:rPr>
          <w:noProof/>
        </w:rPr>
        <w:t xml:space="preserve">Attiecībā uz mērķi “Uzņēmējdarbība” dažādu ieinteresēto personu pārklāšanās portfelī bija minimāla, jo vairums darbību paredz konkrētas partneru grupas ar īpašām zināšanām iesaistīšanos. Darbības tematiskajā jomā “Pamatnosacījumi vienotajā tirgū” savā starpā nepārklājas: katra darbība ir vērsta uz citu vienotā tirgus aspektu. </w:t>
      </w:r>
    </w:p>
    <w:p>
      <w:pPr>
        <w:spacing w:line="240" w:lineRule="auto"/>
        <w:jc w:val="both"/>
        <w:rPr>
          <w:noProof/>
        </w:rPr>
      </w:pPr>
      <w:r>
        <w:rPr>
          <w:noProof/>
        </w:rPr>
        <w:t>Situācija saistībā ar dažādu COSME komunikācijas pasākumu — galvenokārt ar finanšu instrumentiem un uzņēmējdarbības pasākumiem saistītu tīmekļa vietņu — saskaņotību ir dažāda. Finanšu instrumentu tīmekļa vietnēs ir sniegta skaidra informācija, savukārt tīmekļa vietnes, kas saistītas ar uzņēmējdarbības pasākumiem, darbojas neatkarīgi viena no otras bez jebkādas mijiedarbības. Sinerģijas un papildināmība, kas izveidota starp portāla “Tava Eiropa” sadaļu uzņēmumiem un EEN pakalpojumiem un starp citām COSME darbībām, kas vērstas uz internacionalizāciju, piemēram, EEN un programmu “Kopas kļūst starptautiskas”, ir novērtēta pozitīvi.</w:t>
      </w:r>
    </w:p>
    <w:p>
      <w:pPr>
        <w:spacing w:line="240" w:lineRule="auto"/>
        <w:jc w:val="both"/>
        <w:rPr>
          <w:noProof/>
        </w:rPr>
      </w:pPr>
      <w:r>
        <w:rPr>
          <w:noProof/>
        </w:rPr>
        <w:t>Analīze liecina, ka starp ES finanšu instrumentiem ir gan sinerģija, gan pārklāšanās. Ir skaidri pierādījumi par COSME LGF un ESIF MVU daļas sinerģiju, jo šī ESIF intervence tiek īstenota caur LGF. Var rasties COSME LGF un ESIF finanšu instrumentu pārklāšanās. Ir skaidrs, ka ESIF MVU daļa izstumj LGF (kā Komisija plānoja, izveidojot ESIF MVU daļu 2016. gadā).</w:t>
      </w:r>
    </w:p>
    <w:p>
      <w:pPr>
        <w:spacing w:line="240" w:lineRule="auto"/>
        <w:jc w:val="both"/>
        <w:rPr>
          <w:noProof/>
        </w:rPr>
      </w:pPr>
      <w:r>
        <w:rPr>
          <w:noProof/>
        </w:rPr>
        <w:t xml:space="preserve">COSME un “Apvārsnis 2020” finanšu instrumenti ir vispārēji saskaņoti. Investīciju plāna 2016. gad izvērtējumā ir secināts, ka ESIF, COSME un “Apvārsnis 2020” iniciatīva Innovfin viena otru papildina. COSME EEN darbību un programmas “Apvārsnis 2020” koordinācija ir lielisks piemērs saskaņotībai ar citām ES iniciatīvām. To augstu vērtē daudzas ieinteresētās personas.  </w:t>
      </w:r>
    </w:p>
    <w:p>
      <w:pPr>
        <w:spacing w:line="240" w:lineRule="auto"/>
        <w:jc w:val="both"/>
        <w:rPr>
          <w:noProof/>
        </w:rPr>
      </w:pPr>
      <w:r>
        <w:rPr>
          <w:noProof/>
        </w:rPr>
        <w:t xml:space="preserve">Attiecībā uz MVU internacionalizāciju COSME finansētās darbības un “Apvārsnis 2020” finansētās darbības būtiski nepārklājas. Komisijas iniciatīvas MVU internacionalizācijas jomā galvenokārt tiek īstenotas ar COSME. Tomēr ir dažas nozīmīgas “Apvārsnis 2020” programmas, kas tieši vai netieši var palīdzēt MVU internacionalizēties un inovēt. Izcils piemērs ir “Apvārsnis 2020” iniciatīva </w:t>
      </w:r>
      <w:r>
        <w:rPr>
          <w:i/>
          <w:noProof/>
        </w:rPr>
        <w:t>INNOSUP</w:t>
      </w:r>
      <w:r>
        <w:rPr>
          <w:rStyle w:val="FootnoteReference"/>
          <w:noProof/>
        </w:rPr>
        <w:footnoteReference w:id="16"/>
      </w:r>
      <w:r>
        <w:rPr>
          <w:noProof/>
        </w:rPr>
        <w:t>, kas risina problēmu saistībā ar jaunu pārrobežu rūpniecības vērtības veidošanas ķēžu attīstību visā ES, uzlabojot MVU inovācijas potenciālu.</w:t>
      </w:r>
    </w:p>
    <w:p>
      <w:pPr>
        <w:spacing w:line="240" w:lineRule="auto"/>
        <w:jc w:val="both"/>
        <w:rPr>
          <w:noProof/>
        </w:rPr>
      </w:pPr>
      <w:r>
        <w:rPr>
          <w:noProof/>
        </w:rPr>
        <w:t xml:space="preserve">Pieejamā informācija neliecina par būtisku EEN pakalpojumu, MVU/kopu internacionalizācijas darbību un citu ES iniciatīvu finansēto darbību pārklāšanos. Šīs ES iniciatīvas ir ERAF darbības programmas, kā arī iniciatīvas INTERREG, EU Gateway un Business Avenues.  </w:t>
      </w:r>
    </w:p>
    <w:p>
      <w:pPr>
        <w:spacing w:line="240" w:lineRule="auto"/>
        <w:jc w:val="both"/>
        <w:rPr>
          <w:noProof/>
        </w:rPr>
      </w:pPr>
      <w:r>
        <w:rPr>
          <w:noProof/>
        </w:rPr>
        <w:t xml:space="preserve">Vairumā gadījumu COSME finansētie EEN pakalpojumi un ERAF darbības programma lielā mērā cits citu papildina. ERAF kopumā ir vairāk vērsts uz reģionālo vidi, savukārt COSME EEN pakalpojumi ir galvenokārt vērsti uz pārrobežu sadarbību. Iniciatīvas EU Gateway un Business Avenues palīdz Eiropas uzņēmumiem izveidot uzņēmējdarbības sadarbību Āzijā (tostarp Japānā, Korejā un Dienvidaustrumāzijas valstīs). Izvērtējums pierādīja, ka notiek regulāra sadarbība starp EEN un iniciatīvām EU Gateway un Business Avenues. Sinerģija tika konstatēta arī starp citām COSME darbībām, piemēram, ES un Japānas centru un IĪT palīdzības dienestiem. </w:t>
      </w:r>
    </w:p>
    <w:p>
      <w:pPr>
        <w:spacing w:line="240" w:lineRule="auto"/>
        <w:jc w:val="both"/>
        <w:rPr>
          <w:noProof/>
        </w:rPr>
      </w:pPr>
      <w:r>
        <w:rPr>
          <w:noProof/>
        </w:rPr>
        <w:t>Iniciatīvas, kas veicina un atbalsta uzņēmējdarbību, ir izklāstītas Komisijas Rīcības plānā uzņēmējdarbības jomā 2020. gadam</w:t>
      </w:r>
      <w:r>
        <w:rPr>
          <w:rStyle w:val="FootnoteReference"/>
          <w:noProof/>
        </w:rPr>
        <w:footnoteReference w:id="17"/>
      </w:r>
      <w:r>
        <w:rPr>
          <w:noProof/>
        </w:rPr>
        <w:t>. Daudzus no šiem pasākumiem finansē COSME. Tomēr citas līdzīgas ievirzes darbības finansē citas ES programmas, tostarp atbalsts vairākiem tīkliem, kas palīdz sievietēm kļūt par uzņēmējām, programma Erasmus+, ES Nodarbinātības un sociālās inovācijas programma (EaSI) un Eiropas strukturālie un investīciju fondi (ESI fondi). Visām šīm darbībām ir kopīgs mērķis, tomēr nav vērojama būtiska to pārklāšanās. Papildināmība tiek panākta, galvenokārt izmantojot dažādus instrumentus.</w:t>
      </w:r>
    </w:p>
    <w:p>
      <w:pPr>
        <w:spacing w:line="240" w:lineRule="auto"/>
        <w:jc w:val="both"/>
        <w:rPr>
          <w:noProof/>
        </w:rPr>
      </w:pPr>
      <w:r>
        <w:rPr>
          <w:noProof/>
        </w:rPr>
        <w:t>Vienlaikus starpposma izvērtējums liecina, ka MVU atbalsts ES, valsts un reģionālā līmenī ne vienmēr ir sinerģisks un papildinošs, lai gan būtiska pārklāšanās konstatēta netika. Darbībās, kur būtisks veicinošais faktors ir tuvība MVU kopienām, saskaņotību vēl vairāk uzlabotu labāka koordinācija ar valsts un reģionālām darbībām. Jo īpaši tas attiecas uz EEN pakalpojumiem un COSME darbībām, kas atbalsta kopu organizācijas.</w:t>
      </w:r>
    </w:p>
    <w:p>
      <w:pPr>
        <w:spacing w:line="240" w:lineRule="auto"/>
        <w:jc w:val="both"/>
        <w:rPr>
          <w:noProof/>
        </w:rPr>
      </w:pPr>
    </w:p>
    <w:p>
      <w:pPr>
        <w:numPr>
          <w:ilvl w:val="0"/>
          <w:numId w:val="3"/>
        </w:numPr>
        <w:spacing w:after="160" w:line="240" w:lineRule="auto"/>
        <w:jc w:val="both"/>
        <w:rPr>
          <w:b/>
          <w:noProof/>
        </w:rPr>
      </w:pPr>
      <w:r>
        <w:rPr>
          <w:b/>
          <w:noProof/>
        </w:rPr>
        <w:t>Eiropas Savienības pievienotā vērtība</w:t>
      </w:r>
    </w:p>
    <w:p>
      <w:pPr>
        <w:spacing w:line="240" w:lineRule="auto"/>
        <w:jc w:val="both"/>
        <w:rPr>
          <w:noProof/>
        </w:rPr>
      </w:pPr>
      <w:r>
        <w:rPr>
          <w:noProof/>
        </w:rPr>
        <w:t xml:space="preserve">Ikvienai programmai, ko finansē ES, būtu jāsniedz reāla ES pievienotā vērtība. Tas nozīmē, ka tai būtu skaidri jāveicina Eiropas Savienības vērtības un standarti. ES finansētajām darbībām būtu jāpapildina, jāpaplašina un jāatbalsta valsts, reģionālās un vietējās darbības. </w:t>
      </w:r>
    </w:p>
    <w:p>
      <w:pPr>
        <w:spacing w:line="240" w:lineRule="auto"/>
        <w:jc w:val="both"/>
        <w:rPr>
          <w:noProof/>
        </w:rPr>
      </w:pPr>
      <w:r>
        <w:rPr>
          <w:noProof/>
        </w:rPr>
        <w:t xml:space="preserve">COSME finanšu instrumenti, jo īpaši aizdevumu garantiju instruments, piesaista svarīgu finanšu sviru, kas ļauj valsts un reģionāliem starpniekiem nodrošināt aizdevuma produktus ar augstāka riska profilu nekā parastiem produktiem. Tie arī piedāvā atbalstu daudz lielākam skaitam uzņēmumu, nekā tie varētu apkalpot bez piesaistītā finansējuma. Turklāt valsts atbalsta programmas, jo īpaši mazos tirgos, piesaista lielāku finanšu sviru, ja tās ir apvienotas ar ES līmeņa programmu. Ieinteresētās personas un starpnieki kopumā piekrīt, ka neviena privātā iestāde vai dalībvalsts nevarētu pati sasniegt rezultātus iesaistīto MVU sviras efekta, darbības jomas un riska profilā ziņā, ko ir spējusi sasniegt COSME. </w:t>
      </w:r>
    </w:p>
    <w:p>
      <w:pPr>
        <w:spacing w:line="240" w:lineRule="auto"/>
        <w:jc w:val="both"/>
        <w:rPr>
          <w:noProof/>
        </w:rPr>
      </w:pPr>
      <w:r>
        <w:rPr>
          <w:noProof/>
        </w:rPr>
        <w:t xml:space="preserve">Vairums LGF starpnieku publiskā sektora atbalstu ES līmenī uzskatīja par izšķirošu, un tiem šķita, ka Eiropas programma var sasniegt rezultātus, kurus valsts programma nevarētu sasniegt. LGF ļāva tiem piedāvāt garantiju instrumentu ar labvēlīgākiem nosacījumiem (zemākām procentu likmēm un maksājumiem, mazāka nodrošinājuma pieprasījumu) lielākam skaitam MVU. Turklāt dažās valstīs nav valsts līmeņa programmu, kas atbalstītu finansējuma pieejamību MVU. ES preču zīme palīdz uzlabot uzticēšanos iespējamo labuma guvēju vidū. Tomēr izvērtējuma rezultāti norādīja, ka LGF nav pietiekami sasniedzis nepieredzējušākus finanšu tirgus un ka būtu vēlama mērķorientētāka pieeja. </w:t>
      </w:r>
    </w:p>
    <w:p>
      <w:pPr>
        <w:spacing w:line="240" w:lineRule="auto"/>
        <w:jc w:val="both"/>
        <w:rPr>
          <w:noProof/>
        </w:rPr>
      </w:pPr>
      <w:r>
        <w:rPr>
          <w:noProof/>
        </w:rPr>
        <w:t>Visi šajā izvērtēšanā aptaujātie EFG starpnieki piekrita, ka pašu kapitāla finansējuma piešķiršana ir daudz efektīvāka ES līmenī un ļauj realizēt atbalstu plašākā mērogā un ar lielāku vērienu nekā valsts un reģionālās programmas.</w:t>
      </w:r>
    </w:p>
    <w:p>
      <w:pPr>
        <w:spacing w:line="240" w:lineRule="auto"/>
        <w:jc w:val="both"/>
        <w:rPr>
          <w:noProof/>
        </w:rPr>
      </w:pPr>
      <w:r>
        <w:rPr>
          <w:noProof/>
        </w:rPr>
        <w:t xml:space="preserve">Eiropas aspekts ir arī Eiropas Biznesa atbalsta tīkla un tā pakalpojumu pamatā. Pateicoties sniegtā pakalpojuma apmēram un kvalitātei, tīkls veic darbības, kas citādi nebūtu iespējamas.  Eiropas aspekts ir ļoti svarīgs, jo īpaši pakalpojumiem ar pārrobežu elementu, kas ir MVU aspekts, kuru parasti neiekļauj līdzīgās programmās valsts/reģionālā līmenī. </w:t>
      </w:r>
    </w:p>
    <w:p>
      <w:pPr>
        <w:spacing w:line="240" w:lineRule="auto"/>
        <w:jc w:val="both"/>
        <w:rPr>
          <w:noProof/>
        </w:rPr>
      </w:pPr>
      <w:r>
        <w:rPr>
          <w:noProof/>
        </w:rPr>
        <w:t xml:space="preserve">Valsts/vietējā līmenī ir daudz dažādu intervenču, kas paredzētas uzņēmējdarbības un jaunuzņēmumu veicināšanai to sākotnējā darbības posmā. Vairums mazāku COSME finansētu darbību, kas saistītas ar uzņēmējdarbību, ir paredzētas, lai apvienotu valsts ieinteresētās personas un iniciatīvas dažādās uzņēmējdarbības jomās. Jaunās jomās (piemēram, migrantu uzņēmējdarbība) valsts pasākumus galvenokārt atbalsta COSME darbības. </w:t>
      </w:r>
    </w:p>
    <w:p>
      <w:pPr>
        <w:spacing w:line="240" w:lineRule="auto"/>
        <w:jc w:val="both"/>
        <w:rPr>
          <w:noProof/>
        </w:rPr>
      </w:pPr>
      <w:r>
        <w:rPr>
          <w:noProof/>
        </w:rPr>
        <w:t xml:space="preserve">Arī programmai EYE ir spēcīgs ES pārrobežu uzdevums un mērķi. Tā nodrošina mobilitāti visā Eiropā, savedot kopā jaunus uzņēmējus ar uzņēmējiem, kas darbojas kā mentori, citās valstīs un piedāvājot iespējas mācīties un izveidot kontaktus starp uzņēmējiem vienotajā tirgū. Tas tiek darīts apmērā, kādu nebūtu iespējams sasniegt valsts līmenī. </w:t>
      </w:r>
    </w:p>
    <w:p>
      <w:pPr>
        <w:spacing w:line="240" w:lineRule="auto"/>
        <w:jc w:val="both"/>
        <w:rPr>
          <w:noProof/>
        </w:rPr>
      </w:pPr>
      <w:r>
        <w:rPr>
          <w:noProof/>
        </w:rPr>
        <w:t>Ieguvumi arī no citu COSME darbības virzienu īstenošanas Eiropas, nevis valsts vai reģionālā līmenī, ir ļoti lieli. Šādu darbību piemēri ir e-prasmes, darbības tūrisma jomā, kas apvieno dalībniekus Eiropas vērtību ķēdēs un programmā “Kopas kļūst starptautiskas”, sekmējot Eiropas partnerību izveidi starp kopām, lai kopīgi izstrādātu un īstenotu internacionalizācijas stratēģijas. Turklāt MVU politikas darbības, kas sniedz stratēģisku informāciju un tīklošanas iespējas valsts politikas veidotājiem, sekmē MVU politikas veidošanu, kā arī konverģenci starp valsts MVU politikas pasākumiem. COSME piedāvātā atbalsta apmērs un dziļums pārsniedz to, ko varētu piedāvāt Eiropas MVU ar valsts vai reģionālām iniciatīvām.</w:t>
      </w:r>
    </w:p>
    <w:p>
      <w:pPr>
        <w:spacing w:line="240" w:lineRule="auto"/>
        <w:jc w:val="both"/>
        <w:rPr>
          <w:noProof/>
        </w:rPr>
      </w:pPr>
    </w:p>
    <w:p>
      <w:pPr>
        <w:spacing w:line="240" w:lineRule="auto"/>
        <w:jc w:val="both"/>
        <w:rPr>
          <w:b/>
          <w:noProof/>
        </w:rPr>
      </w:pPr>
      <w:r>
        <w:rPr>
          <w:b/>
          <w:noProof/>
        </w:rPr>
        <w:t>V. SECINĀJUMI UN GŪTĀS MĀCĪBAS</w:t>
      </w:r>
    </w:p>
    <w:p>
      <w:pPr>
        <w:spacing w:line="240" w:lineRule="auto"/>
        <w:jc w:val="both"/>
        <w:rPr>
          <w:noProof/>
        </w:rPr>
      </w:pPr>
      <w:r>
        <w:rPr>
          <w:noProof/>
        </w:rPr>
        <w:t>COSME starpposma izvērtējums sniedz pozitīvu pārskatu par programmas īstenošanu un sasniegtajiem rezultātiem pirmajos trīs plānošanas perioda gados. Programma tiek īstenota tā, lai līdz 2020. gada beigām tiktu sasniegti juridiskajā pamatā noteiktie mērķi. Tomēr jānorāda, ka izvērtējumā konstatētais attiecas vienīgi uz izvērtējuma periodu un vēl neliecina par COSME programmas pilnīgu ietekmi.</w:t>
      </w:r>
    </w:p>
    <w:p>
      <w:pPr>
        <w:spacing w:line="240" w:lineRule="auto"/>
        <w:jc w:val="both"/>
        <w:rPr>
          <w:noProof/>
        </w:rPr>
      </w:pPr>
      <w:r>
        <w:rPr>
          <w:noProof/>
        </w:rPr>
        <w:t xml:space="preserve">COSME darbības ir ļoti būtiskas, lai risinātu problēmas, kas saistītas ar ekonomikas izaugsmes veicināšanu un nodarbinātības iespēju radīšanu. Tomēr to ietekme nav tik liela, lai varētu risināt globālas un sabiedrības problēmas. Tādējādi šie mērķi varētu tikt labāk integrēti COSME projektos un pašreizējie COSME instrumenti, jo īpaši EEN, varētu tikt plašāk izmantoti, lai palīdzētu MVU risināt sabiedrības problēmas. </w:t>
      </w:r>
    </w:p>
    <w:p>
      <w:pPr>
        <w:spacing w:line="240" w:lineRule="auto"/>
        <w:jc w:val="both"/>
        <w:rPr>
          <w:noProof/>
        </w:rPr>
      </w:pPr>
      <w:r>
        <w:rPr>
          <w:noProof/>
        </w:rPr>
        <w:t xml:space="preserve">Vairums COSME darbību, finanšu instrumenti, Eiropas Biznesa atbalsta tīkls, “Erasmus jauniem uzņēmējiem”, IĪT MVU palīdzības dienesti vai kopas ir CIP darbību turpinājums. Kopumā ar COSME ir sasniegti gaidītie tiešie rezultāti. Programmas stiprā puse ir tieši starpnieku izmantošana programmas īstenošanā. COSME izmanto šo starpnieku tuvību MVU un veicina COSME sniegto pakalpojumu integrāciju šo starpnieku sniegtajos pakalpojumos valsts un reģionālā kontekstā. </w:t>
      </w:r>
    </w:p>
    <w:p>
      <w:pPr>
        <w:spacing w:line="240" w:lineRule="auto"/>
        <w:jc w:val="both"/>
        <w:rPr>
          <w:noProof/>
        </w:rPr>
      </w:pPr>
      <w:r>
        <w:rPr>
          <w:noProof/>
        </w:rPr>
        <w:t>Kopumā COSME darbojas pietiekami lietderīgi. Darbības tiek veiktas atbilstoši gada darba programmās noteiktajiem konkrētajiem mērķiem un laika grafikiem. Pārliecinošs vairākums starpnieku un galīgo saņēmēju ziņo par labu savas līdzdalības izmaksu un ieguvumu attiecību. Tomēr liels skaits mazu darbību nozīmē mazāku EASME īstenotās COSME efektivitāti izmaksu ziņā. Sadrumstalotībai tiks veltīta uzmanība COSME gada darba programmās līdz plānošanas perioda beigām, piešķirot prioritāti lielākām un stratēģiskām darbībām, ar ko īsteno Komisijas politikas prioritātes, vienlaikus saglabājot ierobežotu skaitu mazāku izmēģinājuma darbību, lai saglabātu programmas elastību.</w:t>
      </w:r>
    </w:p>
    <w:p>
      <w:pPr>
        <w:spacing w:line="240" w:lineRule="auto"/>
        <w:jc w:val="both"/>
        <w:rPr>
          <w:noProof/>
        </w:rPr>
      </w:pPr>
      <w:r>
        <w:rPr>
          <w:noProof/>
        </w:rPr>
        <w:t xml:space="preserve">Programmu COSME īsteno Komisija, EASME un EIF. Tas apgrūtina programmas efektīvu koordinēšanu un pārvaldību. Tomēr ir jāuzlabo datu pārvaldība saistībā ar nefinanšu darbībām, lai būtu pilnīgs datu kopums par programmas darbībām, tiešajiem rezultātiem un labuma guvējiem. </w:t>
      </w:r>
    </w:p>
    <w:p>
      <w:pPr>
        <w:spacing w:line="240" w:lineRule="auto"/>
        <w:jc w:val="both"/>
        <w:rPr>
          <w:noProof/>
        </w:rPr>
      </w:pPr>
      <w:r>
        <w:rPr>
          <w:noProof/>
        </w:rPr>
        <w:t>Nav būtiskas pārklāšanās ar citām ES, valsts vai reģionālām programmām, taču labāka koordinācija ar valsts un reģionālām darbībām vēl vairāk uzlabotu saskaņotību. Labāka datu pārvaldība un vieglāka piekļuve uzraudzības datiem valsts/reģionālā līmenī ļaus dalībvalstīm ziņot par pārklāšanos un palielināt sinerģijas.</w:t>
      </w:r>
    </w:p>
    <w:p>
      <w:pPr>
        <w:spacing w:line="240" w:lineRule="auto"/>
        <w:jc w:val="both"/>
        <w:rPr>
          <w:noProof/>
        </w:rPr>
      </w:pPr>
      <w:r>
        <w:rPr>
          <w:noProof/>
        </w:rPr>
        <w:t>Programmai COSME ir laba Eiropas pievienotā vērtība. Eiropas aspekts ir COSME darbību plānošanas pamats. Vairākos gadījumos COSME darbības ir ne tikai papildinājušas valsts, reģionālā un vietējā līmeņa pasākumus, bet arī palīdzējušas tos uzlabot.</w:t>
      </w:r>
    </w:p>
    <w:p>
      <w:pPr>
        <w:spacing w:line="240" w:lineRule="auto"/>
        <w:jc w:val="both"/>
        <w:rPr>
          <w:noProof/>
        </w:rPr>
      </w:pPr>
      <w:r>
        <w:rPr>
          <w:noProof/>
        </w:rPr>
        <w:t>Visbeidzot, bet ne mazāk svarīgi ir tas, ka šis starpposma izvērtējums bruģēs ceļu COSME galīgajam novērtējumam, kas arī palīdzēs sīki izstrādāt pirmās darba programmas periodam pēc 2020. gada. Starpposma izvērtējuma sākotnējie konstatējumi ir izmantoti, lai sagatavotu nākamās daudzgadu finanšu shēmas 2021.–2027. gadam ietekmes novērtējumu attiecībā uz ietekmi uz vienotā tirgus un Invest EU programmām.</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701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Regula (ES) Nr. 1287/2013.</w:t>
      </w:r>
    </w:p>
  </w:footnote>
  <w:footnote w:id="3">
    <w:p>
      <w:pPr>
        <w:pStyle w:val="FootnoteText"/>
        <w:rPr>
          <w:color w:val="FF0000"/>
        </w:rPr>
      </w:pPr>
      <w:r>
        <w:rPr>
          <w:rStyle w:val="FootnoteReference"/>
        </w:rPr>
        <w:footnoteRef/>
      </w:r>
      <w:r>
        <w:t xml:space="preserve"> Eiropas Parlamenta un Padomes 2006. gada 24. oktobra Lēmums </w:t>
      </w:r>
      <w:hyperlink r:id="rId1" w:history="1">
        <w:r>
          <w:rPr>
            <w:rStyle w:val="Hyperlink"/>
          </w:rPr>
          <w:t>Nr. 1639/2006/EK</w:t>
        </w:r>
      </w:hyperlink>
      <w:r>
        <w:t>, ar ko izveido konkurētspējas un inovāciju pamatprogrammu (2007. līdz 2013. gads).</w:t>
      </w:r>
    </w:p>
  </w:footnote>
  <w:footnote w:id="4">
    <w:p>
      <w:pPr>
        <w:pStyle w:val="FootnoteText"/>
      </w:pPr>
      <w:r>
        <w:rPr>
          <w:vertAlign w:val="superscript"/>
        </w:rPr>
        <w:footnoteRef/>
      </w:r>
      <w:r>
        <w:t xml:space="preserve"> COM(2005) 121.</w:t>
      </w:r>
    </w:p>
  </w:footnote>
  <w:footnote w:id="5">
    <w:p>
      <w:pPr>
        <w:pStyle w:val="FootnoteText"/>
      </w:pPr>
      <w:r>
        <w:rPr>
          <w:vertAlign w:val="superscript"/>
        </w:rPr>
        <w:footnoteRef/>
      </w:r>
      <w:r>
        <w:t xml:space="preserve"> Sīkāku </w:t>
      </w:r>
      <w:r>
        <w:rPr>
          <w:i/>
        </w:rPr>
        <w:t>CIP</w:t>
      </w:r>
      <w:r>
        <w:t xml:space="preserve"> un </w:t>
      </w:r>
      <w:r>
        <w:rPr>
          <w:i/>
        </w:rPr>
        <w:t>COSME</w:t>
      </w:r>
      <w:r>
        <w:t xml:space="preserve"> salīdzinājumu skatīt: Fanny Lajarthe (2012). “Differences and Similarities Between CIP And COSME: Briefing Note” (“CIP un COSME atšķirības un līdzības. Informatīvs paziņojums”). IP/A/ITRE/2012-14.</w:t>
      </w:r>
    </w:p>
  </w:footnote>
  <w:footnote w:id="6">
    <w:p>
      <w:pPr>
        <w:pStyle w:val="FootnoteText"/>
      </w:pPr>
      <w:r>
        <w:rPr>
          <w:vertAlign w:val="superscript"/>
        </w:rPr>
        <w:footnoteRef/>
      </w:r>
      <w:r>
        <w:t xml:space="preserve"> COM(2011)834.</w:t>
      </w:r>
    </w:p>
  </w:footnote>
  <w:footnote w:id="7">
    <w:p>
      <w:pPr>
        <w:pStyle w:val="FootnoteText"/>
      </w:pPr>
      <w:r>
        <w:rPr>
          <w:vertAlign w:val="superscript"/>
        </w:rPr>
        <w:footnoteRef/>
      </w:r>
      <w:r>
        <w:t xml:space="preserve"> SEC(2011) 1452 galīgā redakcija.</w:t>
      </w:r>
    </w:p>
  </w:footnote>
  <w:footnote w:id="8">
    <w:p>
      <w:pPr>
        <w:rPr>
          <w:rStyle w:val="FootnoteReference"/>
          <w:vertAlign w:val="baseline"/>
        </w:rPr>
      </w:pPr>
      <w:r>
        <w:rPr>
          <w:rStyle w:val="FootnoteReference"/>
        </w:rPr>
        <w:footnoteRef/>
      </w:r>
      <w:r>
        <w:t xml:space="preserve"> </w:t>
      </w:r>
      <w:hyperlink r:id="rId2" w:history="1">
        <w:r>
          <w:rPr>
            <w:rStyle w:val="FootnoteReference"/>
            <w:sz w:val="20"/>
            <w:szCs w:val="20"/>
            <w:vertAlign w:val="baseline"/>
          </w:rPr>
          <w:t>https://ec.europa.eu/docsroom/documents/34263</w:t>
        </w:r>
      </w:hyperlink>
    </w:p>
    <w:p>
      <w:pPr>
        <w:pStyle w:val="FootnoteText"/>
      </w:pPr>
    </w:p>
  </w:footnote>
  <w:footnote w:id="9">
    <w:p>
      <w:pPr>
        <w:pStyle w:val="FootnoteText"/>
      </w:pPr>
      <w:r>
        <w:rPr>
          <w:rStyle w:val="FootnoteReference"/>
        </w:rPr>
        <w:footnoteRef/>
      </w:r>
      <w:r>
        <w:t xml:space="preserve"> Visu finansēšanas avotu budžeta pozīcijas 02.02.01 un 02.02.02., ietverot trešo valstu ieguldījumus un atmaksājumus no </w:t>
      </w:r>
      <w:r>
        <w:rPr>
          <w:i/>
          <w:iCs/>
        </w:rPr>
        <w:t>CIP</w:t>
      </w:r>
      <w:r>
        <w:t xml:space="preserve"> finanšu instrumentiem, bet neietverot </w:t>
      </w:r>
      <w:r>
        <w:rPr>
          <w:i/>
          <w:iCs/>
        </w:rPr>
        <w:t>COSME</w:t>
      </w:r>
      <w:r>
        <w:t xml:space="preserve"> administratīvā budžeta pozīcijas.</w:t>
      </w:r>
    </w:p>
  </w:footnote>
  <w:footnote w:id="10">
    <w:p>
      <w:pPr>
        <w:pStyle w:val="FootnoteText"/>
        <w:rPr>
          <w:rStyle w:val="FootnoteReference"/>
          <w:vertAlign w:val="baseline"/>
        </w:rPr>
      </w:pPr>
      <w:r>
        <w:rPr>
          <w:rStyle w:val="FootnoteReference"/>
        </w:rPr>
        <w:footnoteRef/>
      </w:r>
      <w:r>
        <w:rPr>
          <w:rStyle w:val="FootnoteReference"/>
        </w:rPr>
        <w:t xml:space="preserve"> </w:t>
      </w:r>
      <w:r>
        <w:rPr>
          <w:rStyle w:val="FootnoteReference"/>
          <w:vertAlign w:val="baseline"/>
        </w:rPr>
        <w:t>Tā dēvētais COSME LGF paplašinājums.</w:t>
      </w:r>
    </w:p>
  </w:footnote>
  <w:footnote w:id="11">
    <w:p>
      <w:pPr>
        <w:pStyle w:val="FootnoteText"/>
        <w:rPr>
          <w:rFonts w:ascii="Times New Roman" w:eastAsia="Times New Roman" w:hAnsi="Times New Roman" w:cs="Times New Roman"/>
        </w:rPr>
      </w:pPr>
      <w:r>
        <w:rPr>
          <w:rStyle w:val="FootnoteReference"/>
        </w:rPr>
        <w:footnoteRef/>
      </w:r>
      <w:r>
        <w:rPr>
          <w:rStyle w:val="FootnoteReference"/>
          <w:vertAlign w:val="baseline"/>
        </w:rPr>
        <w:t xml:space="preserve"> Skatīt COSME LGF īstenošanas statusu 2016. gada 31. Martā vietnē </w:t>
      </w:r>
      <w:hyperlink r:id="rId3" w:history="1">
        <w:r>
          <w:rPr>
            <w:rStyle w:val="FootnoteReference"/>
            <w:vertAlign w:val="baseline"/>
          </w:rPr>
          <w:t>http://www.eif.org/what_we_do/guarantees/single_eu_debt_instrument/cosme-loan-facility-growth/index.htm</w:t>
        </w:r>
      </w:hyperlink>
    </w:p>
  </w:footnote>
  <w:footnote w:id="12">
    <w:p>
      <w:pPr>
        <w:pStyle w:val="FootnoteText"/>
      </w:pPr>
      <w:r>
        <w:rPr>
          <w:rStyle w:val="FootnoteReference"/>
        </w:rPr>
        <w:footnoteRef/>
      </w:r>
      <w:r>
        <w:t xml:space="preserve"> Islandē, Melnkalnē, Ziemeļmaķedonijā, Turcijā, Albānijā, Serbijā, Moldovā, Armēnijā</w:t>
      </w:r>
    </w:p>
  </w:footnote>
  <w:footnote w:id="13">
    <w:p>
      <w:pPr>
        <w:pStyle w:val="FootnoteText"/>
      </w:pPr>
      <w:r>
        <w:rPr>
          <w:rStyle w:val="FootnoteReference"/>
        </w:rPr>
        <w:footnoteRef/>
      </w:r>
      <w:r>
        <w:t xml:space="preserve"> https://ec.europa.eu/easme/sites/easme-site/files/documents/erasmus-for-young-entrepreneurs-call-for-proposals-2014.pdf</w:t>
      </w:r>
    </w:p>
  </w:footnote>
  <w:footnote w:id="14">
    <w:p>
      <w:pPr>
        <w:pStyle w:val="FootnoteText"/>
      </w:pPr>
      <w:r>
        <w:rPr>
          <w:rStyle w:val="FootnoteReference"/>
        </w:rPr>
        <w:footnoteRef/>
      </w:r>
      <w:r>
        <w:t xml:space="preserve"> http://ec.europa.eu/DocsRoom/documents/28084</w:t>
      </w:r>
    </w:p>
  </w:footnote>
  <w:footnote w:id="15">
    <w:p>
      <w:pPr>
        <w:pStyle w:val="FootnoteText"/>
      </w:pPr>
      <w:r>
        <w:rPr>
          <w:rStyle w:val="FootnoteReference"/>
        </w:rPr>
        <w:footnoteRef/>
      </w:r>
      <w:r>
        <w:t xml:space="preserve"> </w:t>
      </w:r>
      <w:hyperlink r:id="rId4" w:history="1">
        <w:r>
          <w:rPr>
            <w:rStyle w:val="Hyperlink"/>
          </w:rPr>
          <w:t>https://ec.europa.eu/info/law/law-making-process/planning-and-proposing-law/better-regulation-why-and-how/better-regulation-guidelines-and-toolbox_lv</w:t>
        </w:r>
      </w:hyperlink>
      <w:r>
        <w:t xml:space="preserve"> </w:t>
      </w:r>
    </w:p>
  </w:footnote>
  <w:footnote w:id="16">
    <w:p>
      <w:pPr>
        <w:pStyle w:val="FootnoteText"/>
      </w:pPr>
      <w:r>
        <w:rPr>
          <w:rStyle w:val="FootnoteReference"/>
        </w:rPr>
        <w:footnoteRef/>
      </w:r>
      <w:r>
        <w:t xml:space="preserve"> Inovācijas atbalsts maziem uzņēmumiem, https://ec.europa.eu/easme/en/innosup</w:t>
      </w:r>
    </w:p>
  </w:footnote>
  <w:footnote w:id="17">
    <w:p>
      <w:pPr>
        <w:pStyle w:val="FootnoteText"/>
      </w:pPr>
      <w:r>
        <w:rPr>
          <w:rStyle w:val="FootnoteReference"/>
        </w:rPr>
        <w:footnoteRef/>
      </w:r>
      <w:r>
        <w:t xml:space="preserve"> https://ec.europa.eu/growth/smes/promoting-entrepreneurship/action-plan_en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62B"/>
    <w:multiLevelType w:val="hybridMultilevel"/>
    <w:tmpl w:val="9B38311C"/>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F9746F3"/>
    <w:multiLevelType w:val="multilevel"/>
    <w:tmpl w:val="1BC6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C7B47"/>
    <w:multiLevelType w:val="hybridMultilevel"/>
    <w:tmpl w:val="8350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486C"/>
    <w:multiLevelType w:val="hybridMultilevel"/>
    <w:tmpl w:val="A4C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987"/>
    <w:multiLevelType w:val="hybridMultilevel"/>
    <w:tmpl w:val="70362018"/>
    <w:lvl w:ilvl="0" w:tplc="08090015">
      <w:start w:val="2"/>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FC80949"/>
    <w:multiLevelType w:val="hybridMultilevel"/>
    <w:tmpl w:val="B7666F6E"/>
    <w:lvl w:ilvl="0" w:tplc="6548F1F4">
      <w:start w:val="1"/>
      <w:numFmt w:val="upp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C18C50-C004-4ECD-9C32-F57CF4926179"/>
    <w:docVar w:name="LW_COVERPAGE_TYPE" w:val="1"/>
    <w:docVar w:name="LW_CROSSREFERENCE" w:val="{SWD(2019) 374 final}"/>
    <w:docVar w:name="LW_DocType" w:val="NORMAL"/>
    <w:docVar w:name="LW_EMISSION" w:val="14.10.2019"/>
    <w:docVar w:name="LW_EMISSION_ISODATE" w:val="2019-10-14"/>
    <w:docVar w:name="LW_EMISSION_LOCATION" w:val="BRX"/>
    <w:docVar w:name="LW_EMISSION_PREFIX" w:val="Briselē, "/>
    <w:docVar w:name="LW_EMISSION_SUFFIX" w:val="."/>
    <w:docVar w:name="LW_ID_DOCTYPE_NONLW" w:val="CP-005"/>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4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ar Uz\u326?\u275?mumu konkur\u275?tsp\u275?jas un mazo un vid\u275?jo uz\u326?\u275?mumu  programmas starpposma izv\u275?rt\u275?jumu"/>
    <w:docVar w:name="LW_TYPE.DOC.CP" w:val="KOMISIJAS ZI\u325?OJUMS PADOMEI UN EIROPAS PARLAMENTAM"/>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odyGROW">
    <w:name w:val="Body GROW"/>
    <w:basedOn w:val="Normal"/>
    <w:link w:val="BodyGROWChar"/>
    <w:qFormat/>
    <w:pPr>
      <w:spacing w:after="240"/>
    </w:pPr>
    <w:rPr>
      <w:rFonts w:ascii="Verdana" w:hAnsi="Verdana"/>
      <w:sz w:val="20"/>
      <w:szCs w:val="20"/>
    </w:rPr>
  </w:style>
  <w:style w:type="character" w:customStyle="1" w:styleId="BodyGROWChar">
    <w:name w:val="Body GROW Char"/>
    <w:basedOn w:val="DefaultParagraphFont"/>
    <w:link w:val="BodyGROW"/>
    <w:rPr>
      <w:rFonts w:ascii="Verdana" w:hAnsi="Verdana"/>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f.org/what_we_do/guarantees/single_eu_debt_instrument/cosme-loan-facility-growth/index.htm" TargetMode="External"/><Relationship Id="rId2" Type="http://schemas.openxmlformats.org/officeDocument/2006/relationships/hyperlink" Target="https://ec.europa.eu/docsroom/documents/34263" TargetMode="External"/><Relationship Id="rId1" Type="http://schemas.openxmlformats.org/officeDocument/2006/relationships/hyperlink" Target="https://eur-lex.europa.eu/legal-content/LV/TXT/?uri=celex:32006D1639" TargetMode="External"/><Relationship Id="rId4" Type="http://schemas.openxmlformats.org/officeDocument/2006/relationships/hyperlink" Target="https://ec.europa.eu/info/law/law-making-process/planning-and-proposing-law/better-regulation-why-and-how/better-regulation-guidelines-and-toolbox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567AB1-99A0-48F8-9842-A60CD2F4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5142</Words>
  <Characters>34301</Characters>
  <Application>Microsoft Office Word</Application>
  <DocSecurity>0</DocSecurity>
  <Lines>504</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2019-08-19T12:56:00Z</dcterms:created>
  <dcterms:modified xsi:type="dcterms:W3CDTF">2019-10-04T14:16:00Z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CP-005</vt:lpwstr>
  </property>
</Properties>
</file>