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2EE66A1-B1BD-4ED6-AB3F-34CBA1F8E184" style="width:451.25pt;height:352.4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Nos termos do artigo 12.º do Regulamento (UE) 2018/1727 do Parlamento Europeu e do Conselho, de 14 de novembro de 2018, que cria a Agência da União Europeia para a Cooperação Judiciária Penal (Eurojust), e que substitui e revoga a Decisão 2002/187/JAI do Conselho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(a seguir designado «Regulamento Eurojust»), até 12 de dezembro de 2019, o Conselho, deliberando sob proposta da Comissão, deve estabelecer, por meio de atos de execução, um mecanismo de compensação do Estado-Membro cujo membro nacional seja eleito presidente da Eurojust. Nos termos do artigo 11.º, n.º 7, um Estado</w:t>
      </w:r>
      <w:r>
        <w:rPr>
          <w:noProof/>
        </w:rPr>
        <w:noBreakHyphen/>
        <w:t>Membro pode, quando o respetivo membro nacional seja eleito presidente, destacar outra pessoa devidamente qualificada para reforçar o gabinete nacional durante o mandato do primeiro como presidente.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Razões e objetivos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Regulamento Eurojust foi adotado em 14 de novembro de 2018. Nos termos do artigo 12.º, n.</w:t>
      </w:r>
      <w:r>
        <w:rPr>
          <w:noProof/>
          <w:vertAlign w:val="superscript"/>
        </w:rPr>
        <w:t>os</w:t>
      </w:r>
      <w:r>
        <w:rPr>
          <w:noProof/>
        </w:rPr>
        <w:t> 1 e 2, a Comissão deve propor a criação de um mecanismo de compensação em benefício do Estado-Membro cujo membro nacional seja eleito presidente da Eurojust. De acordo com o regulamento, o Estado-Membro interessado deve solicitar a compensação ao Colégio da Eurojust e justificar a necessidade de reforçar o seu gabinete nacional em virtude do aumento do volume de trabalho.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O objetivo do mecanismo de compensação é apoiar o Estado-Membro interessado, caso o seu membro nacional seja eleito presidente e o respetivo gabinete nacional precise de ser reforçado para poder desempenhar as suas funções.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Coerência com as disposições existentes da mesma política setorial</w:t>
      </w:r>
    </w:p>
    <w:p>
      <w:pPr>
        <w:pStyle w:val="Text1"/>
        <w:ind w:left="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 xml:space="preserve">O artigo 85.º do Tratado sobre o Funcionamento da União Europeia (TFUE) estipula que a Eurojust se rege por um regulamento adotado de acordo com o processo legislativo ordinário. Um dos objetivos do Regulamento Eurojust é reforçar as funções operacionais da Eurojust, reduzindo a carga de trabalho administrativa dos membros nacionais. O exercício da presidência implica o desempenho de mais tarefas administrativas e de gestão, o que impede o membro que a exerce de se concentrar completamente nas questões operacionais. Por esse motivo, foi introduzida a possibilidade de o Estado-Membro em causa destacar para a Eurojust outra pessoa devidamente qualificada e de receber a compensação correspondente de acordo com as normas aplicáveis. </w:t>
      </w:r>
    </w:p>
    <w:p>
      <w:pPr>
        <w:pStyle w:val="Text1"/>
        <w:ind w:left="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Com a presente proposta, a Comissão cumpre a obrigação legal que lhe incumbe por força do artigo 12.º, n.º 1, do Regulamento Eurojust. Por conseguinte, a proposta é coerente com as disposições em vigor neste domínio.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Coerência com outras políticas da União</w:t>
      </w:r>
    </w:p>
    <w:p>
      <w:pPr>
        <w:pStyle w:val="Text1"/>
        <w:ind w:left="0"/>
        <w:rPr>
          <w:noProof/>
        </w:rPr>
      </w:pPr>
      <w:r>
        <w:rPr>
          <w:noProof/>
        </w:rPr>
        <w:t>A proposta é coerente com as políticas e os esforços legislativos da União para criar um espaço de liberdade, segurança e justiça, como previsto no título V do TFUE, incluindo o princípio do reconhecimento mútuo. Este último é o princípio fundamental no domínio da cooperação judiciária em matéria penal.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Base jurídica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proposta tem por base o artigo 12.º do Regulamento Eurojust.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Subsidiariedade (no caso de competência não exclusiva) </w:t>
      </w:r>
    </w:p>
    <w:p>
      <w:pPr>
        <w:pStyle w:val="Text1"/>
        <w:ind w:left="0"/>
        <w:rPr>
          <w:noProof/>
        </w:rPr>
      </w:pPr>
      <w:r>
        <w:rPr>
          <w:noProof/>
        </w:rPr>
        <w:t>Nos termos do artigo 12.º do Regulamento Eurojust, a Comissão tem a obrigação legal de apresentar uma proposta para determinar o mecanismo de compensação. A presente proposta é fundamental para garantir que o Estado-Membro cujo membro nacional seja eleito presidente possa solicitar uma compensação nos casos previstos no Regulamento Eurojust.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Proporcionalidade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A presente proposta não excede o necessário para atingir o objetivo proposto, respeitando, por conseguinte, o princípio da proporcionalidade. A presente proposta está diretamente relacionada com a aplicação do Regulamento Eurojust.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iCs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presente proposta diz respeito a uma obrigação que incumbe à Comissão por força do artigo 12.º do Regulamento Eurojust. Atendendo ao seu objeto, a Comissão não considerou necessário proceder a qualquer avaliação </w:t>
      </w:r>
      <w:r>
        <w:rPr>
          <w:i/>
          <w:iCs/>
          <w:noProof/>
        </w:rPr>
        <w:t>ex post</w:t>
      </w:r>
      <w:r>
        <w:rPr>
          <w:noProof/>
        </w:rPr>
        <w:t xml:space="preserve">, consulta das partes interessadas ou avaliação de impacto.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Nos termos do artigo 12.º, n.º 4, do Regulamento Eurojust, os custos do mecanismo de compensação ficam a cargo do orçamento da Eurojust.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Planos de execução e acompanhamento, avaliação e prestação de informações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Dada a natureza da medida em causa, não é necessário qualquer plano de execução.</w:t>
      </w:r>
    </w:p>
    <w:p>
      <w:pPr>
        <w:pStyle w:val="ManualHeading2"/>
        <w:rPr>
          <w:rFonts w:eastAsia="Arial Unicode MS"/>
          <w:noProof/>
          <w:highlight w:val="cyan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Explicação pormenorizada das disposições específicas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artigo 1.º estabelece o enquadramento geral do mecanismo de compensação, regula o pedido de compensação e fixa o prazo para a transmissão do pedido à Eurojust.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artigo 2.º fornece mais pormenores sobre o processo de tomada de decisão do Colégio.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artigo 3.º estabelece o método de cálculo do montante da compensação que pode ser reembolsado.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artigo 4.º regula a entrada em vigor da decisão de execução do Conselho.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2019/0224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DE EXECUÇÃO DO CONSELHO</w:t>
      </w:r>
    </w:p>
    <w:p>
      <w:pPr>
        <w:pStyle w:val="Titreobjet"/>
        <w:rPr>
          <w:noProof/>
        </w:rPr>
      </w:pPr>
      <w:r>
        <w:rPr>
          <w:noProof/>
        </w:rPr>
        <w:t>relativa a um mecanismo de compensação do Estado-Membro cujo membro nacional seja eleito presidente da Eurojust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 xml:space="preserve">Tendo em conta o Tratado sobre o Funcionamento da União Europeia, </w:t>
      </w:r>
    </w:p>
    <w:p>
      <w:pPr>
        <w:rPr>
          <w:noProof/>
        </w:rPr>
      </w:pPr>
      <w:r>
        <w:rPr>
          <w:noProof/>
        </w:rPr>
        <w:t>Tendo em conta o Regulamento (UE) 2018/1727 do Parlamento Europeu e do Conselho, de 14 de novembro de 2018, que cria a Agência da União Europeia para a Cooperação Judiciária Penal (Eurojust), e que substitui e revoga a Decisão 2002/187/JAI do Conselho</w:t>
      </w:r>
      <w:r>
        <w:rPr>
          <w:rStyle w:val="FootnoteReference"/>
          <w:noProof/>
        </w:rPr>
        <w:footnoteReference w:id="3"/>
      </w:r>
      <w:r>
        <w:rPr>
          <w:noProof/>
        </w:rPr>
        <w:t>, nomeadamente o artigo 12.º,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O membro nacional que for eleito presidente da Eurojust deverá exercer funções adicionais inerentes à presidência, em conformidade com o Regulamento (UE) 2018/1727 e com o regulamento interno da Eurojust.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O exercício das funções de presidente terá repercussões sobre a carga de trabalho do adjunto e do assistente do Estado-Membro cujo membro tenha sido eleito presidente, podendo esse Estado-Membro destacar outra pessoa devidamente qualificada para reforçar o respetivo gabinete nacional durante o mandato do presidente.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O artigo 11.º, n.º 7, do Regulamento (UE) 2018/1727 prevê que, se for destacada uma pessoa adicional, o Estado-Membro em causa tem direito a pedir uma compensação.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 mecanismo de compensação deve assegurar a igualdade de tratamento, quanto ao reembolso efetivo das despesas de subsistência e outras despesas associadas, entre um membro nacional que seja eleito presidente e uma pessoa adicional destacada pelo Estado-Membro em causa,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O Estado-Membro cujo membro nacional seja eleito presidente da Eurojust e que, por esse motivo, decida destacar outra pessoa para o respetivo gabinete nacional tem direito, nos termos do artigo 11.º, n.º 7, do Regulamento (UE) 2018/1727, a pedir uma compensação ao Colégio da Eurojust, devendo, para o efeito, incluir no pedido as seguintes informações: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A decisão do Estado-Membro em causa relativa ao destacamento dessa pessoa;</w:t>
      </w:r>
    </w:p>
    <w:p>
      <w:pPr>
        <w:pStyle w:val="Point1"/>
        <w:rPr>
          <w:noProof/>
        </w:rPr>
      </w:pPr>
      <w:r>
        <w:lastRenderedPageBreak/>
        <w:t>(b)</w:t>
      </w:r>
      <w:r>
        <w:tab/>
      </w:r>
      <w:r>
        <w:rPr>
          <w:noProof/>
        </w:rPr>
        <w:t>A justificação da necessidade de reforçar o gabinete nacional em virtude do aumento do volume de trabalho;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Informações pormenorizadas sobre o salário bruto mensal nacional da pessoa destacada;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Informações pormenorizadas sobre as despesas de subsistência e outras despesas associadas concedidas à pessoa destacada nos termos da legislação nacional;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Os dados da conta bancária para a qual a compensação deve ser transferida.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O Estado-Membro em causa deve enviar o pedido de compensação ao Colégio da Eurojust no prazo de seis meses a contar do destacamento da pessoa.</w:t>
      </w:r>
    </w:p>
    <w:p>
      <w:pPr>
        <w:jc w:val="center"/>
        <w:rPr>
          <w:i/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Artigo 2.º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O Colégio da Eurojust deve decidir sobre a concessão da compensação dentro de um prazo razoável.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O Estado-Membro em causa tem direito à compensação enquanto o respetivo membro nacional exercer a presidência e durante todo o período de destacamento da pessoa em causa. 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Nos termos do artigo 12.º, n.º 3, do Regulamento (UE) 2018/1727, a Eurojust deve reembolsar o Estado-Membro em causa do seguinte modo: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50 % do salário bruto mensal nacional da pessoa destacada; e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Despesas de subsistência e outras despesas associadas efetivamente incorridas pelo Estado-Membro em causa com a pessoa destacada.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As despesas referidas no n.º 1, alínea b), só poderão ser reembolsadas se a pessoa destacada tiver direito, ao abrigo da legislação nacional, a qualquer tipo de subsídios ou pagamentos correspondentes a despesas, que sejam comparáveis, pela sua natureza, aos previstos no anexo VII do Estatuto dos Funcionários da União Europeia («Estatuto dos Funcionários»)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designadamente: abono de família, subsídio de expatriação, reembolso das despesas de entrada em funções, incluindo o subsídio de instalação, o subsídio de reinstalação, as despesas de deslocação, as despesas de mudança de residência e as ajudas de custo diárias.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A Eurojust deve reembolsar o Estado-Membro em causa segundo as condições e os limites financeiros aplicáveis nesse Estado-Membro. Esses montantes não podem, em caso algum, exceder os montantes máximos dos subsídios ou pagamentos correspondentes às despesas, previstos no anexo VII do Estatuto.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Artigo 4.º</w:t>
      </w:r>
    </w:p>
    <w:p>
      <w:pPr>
        <w:keepNext/>
        <w:keepLines/>
        <w:rPr>
          <w:noProof/>
        </w:rPr>
      </w:pPr>
      <w:r>
        <w:rPr>
          <w:noProof/>
        </w:rPr>
        <w:t>A presente decisão entra em vigor na data da sua adoção.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295 de 21.11.2018, p. 138.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JO L 295 de 21.11.2018, p. 138.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Estabelecido pelo Regulamento (CEE, Euratom) n.º 259/68 do Conselho, de 29 de fevereiro de 1968 (JO L 56 de 4.3.1968).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1A01F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39078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43279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0E8BA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A8807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840F7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FAE21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004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4 16:51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2EE66A1-B1BD-4ED6-AB3F-34CBA1F8E184"/>
    <w:docVar w:name="LW_COVERPAGE_TYPE" w:val="1"/>
    <w:docVar w:name="LW_CROSSREFERENCE" w:val="&lt;UNUSED&gt;"/>
    <w:docVar w:name="LW_DocType" w:val="COM"/>
    <w:docVar w:name="LW_EMISSION" w:val="14.10.2019"/>
    <w:docVar w:name="LW_EMISSION_ISODATE" w:val="2019-10-14"/>
    <w:docVar w:name="LW_EMISSION_LOCATION" w:val="BRX"/>
    <w:docVar w:name="LW_EMISSION_PREFIX" w:val="Bruxelas, "/>
    <w:docVar w:name="LW_EMISSION_SUFFIX" w:val=" "/>
    <w:docVar w:name="LW_ID_DOCMODEL" w:val="SJ-021"/>
    <w:docVar w:name="LW_ID_DOCSIGNATURE" w:val="SJ-021"/>
    <w:docVar w:name="LW_ID_DOCSTRUCTURE" w:val="COM/PL/ORG"/>
    <w:docVar w:name="LW_ID_DOCTYPE" w:val="SJ-021"/>
    <w:docVar w:name="LW_ID_EXP.MOTIFS.NEW" w:val="EM_PL_"/>
    <w:docVar w:name="LW_ID_STATUT" w:val="SJ-021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24"/>
    <w:docVar w:name="LW_REF.II.NEW.CP_YEAR" w:val="2019"/>
    <w:docVar w:name="LW_REF.INST.NEW" w:val="COM"/>
    <w:docVar w:name="LW_REF.INST.NEW_ADOPTED" w:val="final"/>
    <w:docVar w:name="LW_REF.INST.NEW_TEXT" w:val="(2019) 4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a um mecanismo de compensação do Estado-Membro cujo membro nacional seja eleito presidente da Eurojust"/>
    <w:docVar w:name="LW_TYPE.DOC.CP" w:val="DECISÃO DE EXECUÇ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02D65A-8308-40C1-A33C-D240B320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1428</Words>
  <Characters>7842</Characters>
  <Application>Microsoft Office Word</Application>
  <DocSecurity>0</DocSecurity>
  <Lines>150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2019-09-13T10:13:00Z</cp:lastPrinted>
  <dcterms:created xsi:type="dcterms:W3CDTF">2019-09-23T12:46:00Z</dcterms:created>
  <dcterms:modified xsi:type="dcterms:W3CDTF">2019-10-04T14:51:00Z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SJ-021</vt:lpwstr>
  </property>
  <property fmtid="{D5CDD505-2E9C-101B-9397-08002B2CF9AE}" pid="10" name="DQCStatus">
    <vt:lpwstr>Green (DQC version 03)</vt:lpwstr>
  </property>
</Properties>
</file>