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7DA0EB40-9765-40D5-9115-A283ABA0A9EC" style="width:450.75pt;height:422.2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PASKAIDROJUMA RAKSTS</w:t>
      </w:r>
    </w:p>
    <w:p>
      <w:pPr>
        <w:pStyle w:val="ManualHeading1"/>
        <w:rPr>
          <w:rFonts w:eastAsia="Arial Unicode MS"/>
          <w:noProof/>
        </w:rPr>
      </w:pPr>
      <w:r>
        <w:t>1.</w:t>
      </w:r>
      <w:r>
        <w:tab/>
      </w:r>
      <w:r>
        <w:rPr>
          <w:noProof/>
        </w:rPr>
        <w:t>Priekšlikuma priekšmets</w:t>
      </w:r>
    </w:p>
    <w:p>
      <w:pPr>
        <w:rPr>
          <w:rFonts w:eastAsia="Arial Unicode MS"/>
          <w:noProof/>
        </w:rPr>
      </w:pPr>
      <w:r>
        <w:rPr>
          <w:noProof/>
        </w:rPr>
        <w:t>Šis priekšlikums attiecas uz lēmumu, ar kuru nosaka nostāju, kas Savienības vārdā jāieņem pirms Eirokontroles paplašinātās komisijas 2019. gada 28. novembra sanāksmes, kurā paredzēts pieņemt maršruta maksājumu sistēmas piemērošanas nosacījumu (“piemērošanas nosacījumi”) un maršruta maksājumu izmaksu bāzes noteikšanas un vienības likmju aprēķināšanas principu (“principi”) atjauninājumus (abi kopā turpmāk tekstā — “paredzētie akti”).</w:t>
      </w:r>
    </w:p>
    <w:p>
      <w:pPr>
        <w:pStyle w:val="ManualHeading1"/>
        <w:rPr>
          <w:noProof/>
        </w:rPr>
      </w:pPr>
      <w:r>
        <w:t>2.</w:t>
      </w:r>
      <w:r>
        <w:tab/>
      </w:r>
      <w:r>
        <w:rPr>
          <w:noProof/>
        </w:rPr>
        <w:t>Priekšlikuma konteksts</w:t>
      </w:r>
    </w:p>
    <w:p>
      <w:pPr>
        <w:pStyle w:val="ManualHeading2"/>
        <w:rPr>
          <w:noProof/>
        </w:rPr>
      </w:pPr>
      <w:r>
        <w:t>2.1.</w:t>
      </w:r>
      <w:r>
        <w:tab/>
      </w:r>
      <w:r>
        <w:rPr>
          <w:noProof/>
        </w:rPr>
        <w:t>Daudzpusējais nolīgums par maršruta maksājumiem</w:t>
      </w:r>
    </w:p>
    <w:p>
      <w:pPr>
        <w:rPr>
          <w:noProof/>
          <w:szCs w:val="24"/>
        </w:rPr>
      </w:pPr>
      <w:r>
        <w:rPr>
          <w:noProof/>
        </w:rPr>
        <w:t>Daudzpusējā nolīguma par maršruta maksājumiem (“nolīguma”)</w:t>
      </w:r>
      <w:r>
        <w:rPr>
          <w:rStyle w:val="FootnoteReference"/>
          <w:noProof/>
        </w:rPr>
        <w:footnoteReference w:id="1"/>
      </w:r>
      <w:r>
        <w:rPr>
          <w:noProof/>
        </w:rPr>
        <w:t xml:space="preserve"> mērķis ir izveidot kopīgu maršruta maksājumu sistēmu. Saskaņā ar nolīguma 1. pantu līgumslēdzējas valstis vienojās pieņemt kopēju politiku attiecībā uz maksājumiem par aeronavigācijas iekārtām un pakalpojumiem maršrutā (turpmāk — “maršruta maksājumi”) lidojumu informācijas reģionu gaisa telpā, kura ietilpst to kompetencē. Tās attiecīgi vienojās izveidot kopīgu sistēmu maršruta maksājumu noteikšanai un iekasēšanai un šim nolūkam izmantot Eirokontroles pakalpojumus. Saskaņā ar nolīguma 3. pantu Eirokontroles paplašinātā komisija ir apņēmusies izveidot kopīgu maršruta maksājumu sistēmu.</w:t>
      </w:r>
    </w:p>
    <w:p>
      <w:pPr>
        <w:rPr>
          <w:rFonts w:eastAsia="Arial Unicode MS"/>
          <w:noProof/>
        </w:rPr>
      </w:pPr>
      <w:r>
        <w:rPr>
          <w:noProof/>
        </w:rPr>
        <w:t>Nolīgums stājās spēkā 1986. gadā.</w:t>
      </w:r>
    </w:p>
    <w:p>
      <w:pPr>
        <w:rPr>
          <w:rFonts w:eastAsia="Arial Unicode MS"/>
          <w:noProof/>
        </w:rPr>
      </w:pPr>
      <w:r>
        <w:rPr>
          <w:noProof/>
        </w:rPr>
        <w:t>Visas dalībvalstis ir nolīguma puses</w:t>
      </w:r>
      <w:r>
        <w:rPr>
          <w:rStyle w:val="FootnoteReference"/>
          <w:noProof/>
        </w:rPr>
        <w:footnoteReference w:id="2"/>
      </w:r>
      <w:r>
        <w:rPr>
          <w:noProof/>
        </w:rPr>
        <w:t>.</w:t>
      </w:r>
    </w:p>
    <w:p>
      <w:pPr>
        <w:pStyle w:val="ManualHeading2"/>
        <w:rPr>
          <w:noProof/>
        </w:rPr>
      </w:pPr>
      <w:r>
        <w:t>2.2.</w:t>
      </w:r>
      <w:r>
        <w:tab/>
      </w:r>
      <w:r>
        <w:rPr>
          <w:noProof/>
        </w:rPr>
        <w:t>Eirokontroles paplašinātā komisija</w:t>
      </w:r>
    </w:p>
    <w:p>
      <w:pPr>
        <w:rPr>
          <w:noProof/>
        </w:rPr>
      </w:pPr>
      <w:r>
        <w:rPr>
          <w:noProof/>
        </w:rPr>
        <w:t xml:space="preserve">Saskaņā ar nolīguma 3. panta 2. punktu Eirokontroles paplašinātā komisija: </w:t>
      </w:r>
    </w:p>
    <w:p>
      <w:pPr>
        <w:pStyle w:val="Point0"/>
        <w:rPr>
          <w:noProof/>
        </w:rPr>
      </w:pPr>
      <w:r>
        <w:t>(1)</w:t>
      </w:r>
      <w:r>
        <w:tab/>
      </w:r>
      <w:r>
        <w:rPr>
          <w:noProof/>
        </w:rPr>
        <w:t xml:space="preserve">nosaka principus, kas reglamentē izmaksu novērtējumu maršruta maksājumu aprēķināšanas vajadzībām; </w:t>
      </w:r>
    </w:p>
    <w:p>
      <w:pPr>
        <w:pStyle w:val="Point0"/>
        <w:rPr>
          <w:noProof/>
        </w:rPr>
      </w:pPr>
      <w:r>
        <w:t>(2)</w:t>
      </w:r>
      <w:r>
        <w:tab/>
      </w:r>
      <w:r>
        <w:rPr>
          <w:noProof/>
        </w:rPr>
        <w:t xml:space="preserve">nosaka maršruta maksājumu aprēķināšanas formulu; </w:t>
      </w:r>
    </w:p>
    <w:p>
      <w:pPr>
        <w:pStyle w:val="Point0"/>
        <w:rPr>
          <w:noProof/>
        </w:rPr>
      </w:pPr>
      <w:r>
        <w:t>(3)</w:t>
      </w:r>
      <w:r>
        <w:tab/>
      </w:r>
      <w:r>
        <w:rPr>
          <w:noProof/>
        </w:rPr>
        <w:t xml:space="preserve">katram tarifikācijas periodam apstiprina likmi, kādā izmaksas ir jāatgūst; </w:t>
      </w:r>
    </w:p>
    <w:p>
      <w:pPr>
        <w:pStyle w:val="Point0"/>
        <w:rPr>
          <w:noProof/>
        </w:rPr>
      </w:pPr>
      <w:r>
        <w:t>(4)</w:t>
      </w:r>
      <w:r>
        <w:tab/>
      </w:r>
      <w:r>
        <w:rPr>
          <w:noProof/>
        </w:rPr>
        <w:t xml:space="preserve">nosaka norēķinu vienību, kurā tiek izteikti maršruta maksājumi; </w:t>
      </w:r>
    </w:p>
    <w:p>
      <w:pPr>
        <w:pStyle w:val="Point0"/>
        <w:rPr>
          <w:noProof/>
        </w:rPr>
      </w:pPr>
      <w:r>
        <w:t>(5)</w:t>
      </w:r>
      <w:r>
        <w:tab/>
      </w:r>
      <w:r>
        <w:rPr>
          <w:noProof/>
        </w:rPr>
        <w:t xml:space="preserve">nosaka sistēmas piemērošanas nosacījumus, tostarp apmaksas nosacījumus, kā arī vienības likmes un tarifus un to piemērošanas laikposmu; </w:t>
      </w:r>
    </w:p>
    <w:p>
      <w:pPr>
        <w:pStyle w:val="Point0"/>
        <w:rPr>
          <w:noProof/>
        </w:rPr>
      </w:pPr>
      <w:r>
        <w:t>(6)</w:t>
      </w:r>
      <w:r>
        <w:tab/>
      </w:r>
      <w:r>
        <w:rPr>
          <w:noProof/>
        </w:rPr>
        <w:t xml:space="preserve">nosaka principus, kas reglamentē atbrīvojumu no maršruta maksājumiem. </w:t>
      </w:r>
    </w:p>
    <w:p>
      <w:pPr>
        <w:rPr>
          <w:noProof/>
        </w:rPr>
      </w:pPr>
      <w:r>
        <w:rPr>
          <w:noProof/>
        </w:rPr>
        <w:t xml:space="preserve">Katrai Eirokontroles dalībvalstij un līgumslēdzējai valstij, kas nav Eirokontroles dalībvalsts, ir viena balss. Saskaņā ar nolīguma 6. panta 1. punkta a) apakšpunktu paplašinātā komisija pieņemt vienprātīgu lēmumu par jautājumiem, kas attiecas uz izmaksu novērtējumu maršruta maksājumu aprēķināšanas vajadzībām (nolīguma 3. panta 2. punkta a) apakšpunkts) un piemērošanas nosacījumiem (nolīguma 3. panta 2. punkta e) apakšpunkts), un šie lēmumi ir saistoši visām līgumslēdzējām valstīm. Ja neizdodas pieņemt vienprātīgu lēmumu, paplašinātā komisija pieņem lēmumu ar divu trešdaļu nodoto balsu vairākumu; jebkura līgumslēdzēja </w:t>
      </w:r>
      <w:r>
        <w:rPr>
          <w:noProof/>
        </w:rPr>
        <w:lastRenderedPageBreak/>
        <w:t xml:space="preserve">valsts, kas prevalējošu valsts apsvērumu dēļ nevar piemērot minēto lēmumu, iesniedz paplašinātajai komisijai paskaidrojumu par attiecīgajiem iemesliem (nolīguma 6. panta 1. punkta a) apakšpunkts). </w:t>
      </w:r>
    </w:p>
    <w:p>
      <w:pPr>
        <w:pStyle w:val="ManualHeading2"/>
        <w:rPr>
          <w:noProof/>
        </w:rPr>
      </w:pPr>
      <w:r>
        <w:t>2.3.</w:t>
      </w:r>
      <w:r>
        <w:tab/>
      </w:r>
      <w:r>
        <w:rPr>
          <w:noProof/>
        </w:rPr>
        <w:t>Paredzētie paplašinātās komisijas akti</w:t>
      </w:r>
    </w:p>
    <w:p>
      <w:pPr>
        <w:rPr>
          <w:rFonts w:eastAsia="Arial Unicode MS"/>
          <w:noProof/>
        </w:rPr>
      </w:pPr>
      <w:r>
        <w:rPr>
          <w:noProof/>
        </w:rPr>
        <w:t>Izmantojot rakstisku procedūru, bet ne vēlāk kā 113. sanāksmē, kas norisināsies 2019. gada 20. un 21. novembrī, paplašinātajai komisijai ir jāpieņem lēmumi par paredzētajiem aktiem.</w:t>
      </w:r>
    </w:p>
    <w:p>
      <w:pPr>
        <w:rPr>
          <w:rFonts w:eastAsia="Arial Unicode MS"/>
          <w:noProof/>
        </w:rPr>
      </w:pPr>
      <w:r>
        <w:rPr>
          <w:noProof/>
        </w:rPr>
        <w:t>Paredzēto aktu mērķis ir nodrošināt nepārtrauktu atbilstību ES noteikumiem par Eiropas vienotās gaisa telpas darbības uzlabošanas sistēmu un tarifikācijas sistēmu, jo īpaši 2019. gada 11. februāra Regulai (ES) 2019/317</w:t>
      </w:r>
      <w:r>
        <w:rPr>
          <w:rStyle w:val="FootnoteReference"/>
          <w:noProof/>
        </w:rPr>
        <w:footnoteReference w:id="3"/>
      </w:r>
      <w:r>
        <w:rPr>
          <w:noProof/>
        </w:rPr>
        <w:t xml:space="preserve">, ko piemēros no trešā pārskata perioda (2020.–2024. gads), sākot no 2020. gada 1. janvāra. </w:t>
      </w:r>
    </w:p>
    <w:p>
      <w:pPr>
        <w:rPr>
          <w:noProof/>
        </w:rPr>
      </w:pPr>
      <w:r>
        <w:rPr>
          <w:noProof/>
        </w:rPr>
        <w:t xml:space="preserve">Principu projektā joprojām paredzētas divas iespējamās metodes izmaksu un vienības likmju aprēķināšanai, proti, izmaksu pilnīgas atgūšanas metode vai aprēķināto izmaksu metode. Ierosinātie grozījumi ietver šādu paziņojumu: “Uzskata, ka līgumslēdzējas valstis, kuras piemēro Eiropas Savienības pieņemtos noteikumus par Eiropas vienotās gaisa telpas darbības uzlabošanas sistēmu un tarifikācijas sistēmu, atbilst Eirokontroles pieņemtajiem noteikumiem par šiem jautājumiem.” Paredzētajos aktos nav izskatīti turpmāk norādītie jautājumi, kuru sīks izklāsts ir sniegts ES tiesību aktos: </w:t>
      </w:r>
    </w:p>
    <w:p>
      <w:pPr>
        <w:pStyle w:val="Point0"/>
        <w:rPr>
          <w:noProof/>
        </w:rPr>
      </w:pPr>
      <w:r>
        <w:t>(1)</w:t>
      </w:r>
      <w:r>
        <w:tab/>
      </w:r>
      <w:r>
        <w:rPr>
          <w:noProof/>
        </w:rPr>
        <w:t xml:space="preserve">nosacījumi, saskaņā ar kuriem aprēķinātās izmaksas un pakalpojuma vienības var pārskatīt, ņemot vērā darbības uzlabošanas plāna iespējamo pārskatīšanu; </w:t>
      </w:r>
    </w:p>
    <w:p>
      <w:pPr>
        <w:pStyle w:val="Point0"/>
        <w:rPr>
          <w:noProof/>
        </w:rPr>
      </w:pPr>
      <w:r>
        <w:t>(2)</w:t>
      </w:r>
      <w:r>
        <w:tab/>
      </w:r>
      <w:r>
        <w:rPr>
          <w:noProof/>
        </w:rPr>
        <w:t xml:space="preserve">pienākums no aprēķinātajām izmaksām atskaitīt aeronavigācijas pakalpojumu sniedzēju saņemto publisko finansējumu (šāda prasība noteikta Savienības tiesību aktos, bet nav ierastā Eirokontroles politika); </w:t>
      </w:r>
    </w:p>
    <w:p>
      <w:pPr>
        <w:pStyle w:val="Point0"/>
        <w:rPr>
          <w:noProof/>
        </w:rPr>
      </w:pPr>
      <w:r>
        <w:t>(3)</w:t>
      </w:r>
      <w:r>
        <w:tab/>
      </w:r>
      <w:r>
        <w:rPr>
          <w:noProof/>
        </w:rPr>
        <w:t xml:space="preserve">no maršruta maksājumiem gūto ieņēmumu izmantošana kopīgu projektu finansēšanai; </w:t>
      </w:r>
    </w:p>
    <w:p>
      <w:pPr>
        <w:pStyle w:val="Point0"/>
        <w:rPr>
          <w:noProof/>
        </w:rPr>
      </w:pPr>
      <w:r>
        <w:t>(4)</w:t>
      </w:r>
      <w:r>
        <w:tab/>
      </w:r>
      <w:r>
        <w:rPr>
          <w:noProof/>
        </w:rPr>
        <w:t xml:space="preserve">satiksmes riska dalīšanas mehānisma parametri un vērtības; </w:t>
      </w:r>
    </w:p>
    <w:p>
      <w:pPr>
        <w:pStyle w:val="Point0"/>
        <w:rPr>
          <w:noProof/>
        </w:rPr>
      </w:pPr>
      <w:r>
        <w:t>(5)</w:t>
      </w:r>
      <w:r>
        <w:tab/>
      </w:r>
      <w:r>
        <w:rPr>
          <w:noProof/>
        </w:rPr>
        <w:t xml:space="preserve">dažu pārnesumu laiks un kārtība, piemēram, attiecībā uz satiksmes riska dalīšanas mehānisma un izmaksu riska mehānisma korekcijām; </w:t>
      </w:r>
    </w:p>
    <w:p>
      <w:pPr>
        <w:pStyle w:val="Point0"/>
        <w:rPr>
          <w:noProof/>
        </w:rPr>
      </w:pPr>
      <w:r>
        <w:t>(6)</w:t>
      </w:r>
      <w:r>
        <w:tab/>
      </w:r>
      <w:r>
        <w:rPr>
          <w:noProof/>
        </w:rPr>
        <w:t xml:space="preserve">detalizēta informācija par aeronavigācijas pakalpojumu sniedzējiem paredzētajiem stimuliem; </w:t>
      </w:r>
    </w:p>
    <w:p>
      <w:pPr>
        <w:pStyle w:val="Point0"/>
        <w:rPr>
          <w:noProof/>
        </w:rPr>
      </w:pPr>
      <w:r>
        <w:t>(7)</w:t>
      </w:r>
      <w:r>
        <w:tab/>
      </w:r>
      <w:r>
        <w:rPr>
          <w:noProof/>
        </w:rPr>
        <w:t xml:space="preserve">ar darbības uzlabošanu saistītu nosacījumu kopums, kas vajadzīgs, lai izveidotu un piemērotu vienkāršotu tarifikācijas sistēmu. </w:t>
      </w:r>
    </w:p>
    <w:p>
      <w:pPr>
        <w:rPr>
          <w:noProof/>
        </w:rPr>
      </w:pPr>
      <w:r>
        <w:rPr>
          <w:noProof/>
        </w:rPr>
        <w:t xml:space="preserve">Principu projekts atbilst Regulas (ES) 2019/317 22. panta 4. punktam, kurā paredzēts, ka tad, ja aeronavigācijas pakalpojumu sniedzējiem rodas izmaksas saistībā ar pamatlīdzekļu izpirkumnomu, šīs izmaksas neiekļauj kapitāla izmaksu aprēķinā. </w:t>
      </w:r>
    </w:p>
    <w:p>
      <w:pPr>
        <w:rPr>
          <w:noProof/>
        </w:rPr>
      </w:pPr>
      <w:r>
        <w:rPr>
          <w:noProof/>
        </w:rPr>
        <w:t xml:space="preserve">Ierosinātie piemērošanas nosacījumu grozījumi attiecas uz piemērošanas nosacījumu projekta 5. pantu (attāluma koeficients), 6. pantu (svara koeficients) un 8. pantu (atbrīvojumi), jo sevišķi uz maksimālās pacelšanās masas aprēķināšanu katram gaisa kuģim. Šis ierosinātais priekšlikums, stājoties spēkā no 2020. gada 1. janvāra, aizstātu pašreizējo aprēķinu metodi, kuras pamatā ir vidējā maksimālā pacelšanās masa katra gaisa telpas lietotāja katram gaisa kuģa veidam.  </w:t>
      </w:r>
    </w:p>
    <w:p>
      <w:pPr>
        <w:rPr>
          <w:noProof/>
        </w:rPr>
      </w:pPr>
      <w:r>
        <w:rPr>
          <w:noProof/>
        </w:rPr>
        <w:lastRenderedPageBreak/>
        <w:t>Turklāt Eirokontroles Centrālais maršruta maksājumu birojs (</w:t>
      </w:r>
      <w:r>
        <w:rPr>
          <w:i/>
          <w:iCs/>
          <w:noProof/>
        </w:rPr>
        <w:t>CRCO</w:t>
      </w:r>
      <w:r>
        <w:rPr>
          <w:noProof/>
        </w:rPr>
        <w:t xml:space="preserve">) ierosina vēl divus piemērošanas nosacījumu grozījumus. Ar pirmo grozījumu tiek ieviesta jauna klauzula, kas attiecas uz maksājumiem par banku pakalpojumiem saistībā ar rēķinu apmaksu, ko veic gaisa telpas izmantotāji. Otrais grozījums attiecas uz rēķinu apmaksas secību gadījumā, kad gaisa telpas izmantotāji nav devuši nekādus norādījumus </w:t>
      </w:r>
      <w:r>
        <w:rPr>
          <w:i/>
          <w:iCs/>
          <w:noProof/>
        </w:rPr>
        <w:t>CRCO</w:t>
      </w:r>
      <w:r>
        <w:rPr>
          <w:noProof/>
        </w:rPr>
        <w:t xml:space="preserve">. </w:t>
      </w:r>
    </w:p>
    <w:p>
      <w:pPr>
        <w:rPr>
          <w:noProof/>
        </w:rPr>
      </w:pPr>
      <w:r>
        <w:rPr>
          <w:noProof/>
        </w:rPr>
        <w:t xml:space="preserve">Piemērošanas nosacījumu 1. pielikumā ietvertajā maršruta tarifikācijas zonu sarakstā veikti šādi atjauninājumi: redakcionāli grozījumi Bulgārijas un Rumānijas tarifikācijas zonu aprakstos, Ziemeļmaķedonijas jaunais nosaukums un jauns Ukrainas tarifikācijas zonas apraksts. </w:t>
      </w:r>
    </w:p>
    <w:p>
      <w:pPr>
        <w:rPr>
          <w:noProof/>
        </w:rPr>
      </w:pPr>
      <w:r>
        <w:rPr>
          <w:noProof/>
        </w:rPr>
        <w:t xml:space="preserve">Minētie grozījumi pastiprina principa “lietotājs maksā” piemērošanu, kas ir daļa no Savienības transporta infrastruktūras tarifikācijas politikas. </w:t>
      </w:r>
    </w:p>
    <w:p>
      <w:pPr>
        <w:pStyle w:val="ManualHeading1"/>
        <w:rPr>
          <w:rFonts w:eastAsia="Arial Unicode MS"/>
          <w:noProof/>
        </w:rPr>
      </w:pPr>
      <w:r>
        <w:t>3.</w:t>
      </w:r>
      <w:r>
        <w:tab/>
      </w:r>
      <w:r>
        <w:rPr>
          <w:noProof/>
        </w:rPr>
        <w:t>Savienības vārdā ieņemamā nostāja</w:t>
      </w:r>
    </w:p>
    <w:p>
      <w:pPr>
        <w:rPr>
          <w:noProof/>
        </w:rPr>
      </w:pPr>
      <w:r>
        <w:rPr>
          <w:noProof/>
        </w:rPr>
        <w:t xml:space="preserve">Paredzētie akti nodrošina nepārtrauktu atbilstību ES noteikumiem par Eiropas vienotās gaisa telpas darbības uzlabošanas sistēmu un tarifikācijas sistēmu, un Savienībai tie būtu jāatbalsta. Tiek ierosināts dalībvalstīm, rīkojoties kopīgi Savienības vārdā, piekrist ierosinātajiem paredzēto aktu grozījumiem. </w:t>
      </w:r>
    </w:p>
    <w:p>
      <w:pPr>
        <w:rPr>
          <w:noProof/>
        </w:rPr>
      </w:pPr>
      <w:r>
        <w:rPr>
          <w:noProof/>
        </w:rPr>
        <w:t>Paredzētie akti līgumslēdzējām valstīm kļūs saistoši saskaņā ar nolīguma 6. panta 1. punkta a) apakšpunktu, kurā noteikts, ka: “lai pieņemtu lēmumus par 3. panta 2. punkta a) līdz f) apakšpunktā un h) apakšpunktā minētajiem jautājumiem, ir vajadzīgs visu līgumslēdzēju valstu vienprātīgs balsojums, un tie ir saistoši visām līgumslēdzējām valstīm; ja neizdodas pieņemt vienprātīgu lēmumu, paplašinātā komisija pieņem lēmumu ar divu trešdaļu nodoto balsu vairākumu; jebkura līgumslēdzēja valsts, kas prevalējošu valsts apsvērumu dēļ nevar piemērot minēto lēmumu, iesniedz paplašinātajai komisijai paskaidrojumu par attiecīgajiem iemesliem”.</w:t>
      </w:r>
    </w:p>
    <w:p>
      <w:pPr>
        <w:rPr>
          <w:noProof/>
        </w:rPr>
      </w:pPr>
      <w:r>
        <w:rPr>
          <w:noProof/>
        </w:rPr>
        <w:t xml:space="preserve">Uz paredzēto aktu priekšmetu lielā mērā attiecas Savienības tiesību akti, jo īpaši Regula (ES) 2019/317. Tāpēc minētie akti var ietekmēt kopīgos noteikumus vai mainīt to darbības jomu. Tādējādi saskaņā ar LESD 3. panta 2. punkta pēdējo daļu Savienībai ir ekskluzīva ārējā kompetence. </w:t>
      </w:r>
    </w:p>
    <w:p>
      <w:pPr>
        <w:pStyle w:val="ManualHeading1"/>
        <w:rPr>
          <w:noProof/>
        </w:rPr>
      </w:pPr>
      <w:r>
        <w:t>4.</w:t>
      </w:r>
      <w:r>
        <w:tab/>
      </w:r>
      <w:r>
        <w:rPr>
          <w:noProof/>
        </w:rPr>
        <w:t>Juridiskais pamats</w:t>
      </w:r>
    </w:p>
    <w:p>
      <w:pPr>
        <w:pStyle w:val="ManualHeading2"/>
        <w:rPr>
          <w:noProof/>
        </w:rPr>
      </w:pPr>
      <w:r>
        <w:t>4.1.</w:t>
      </w:r>
      <w:r>
        <w:tab/>
      </w:r>
      <w:r>
        <w:rPr>
          <w:noProof/>
        </w:rPr>
        <w:t>Procesuālais juridiskais pamats</w:t>
      </w:r>
    </w:p>
    <w:p>
      <w:pPr>
        <w:pStyle w:val="ManualHeading3"/>
        <w:rPr>
          <w:noProof/>
        </w:rPr>
      </w:pPr>
      <w:r>
        <w:t>4.1.1.</w:t>
      </w:r>
      <w:r>
        <w:tab/>
      </w:r>
      <w:r>
        <w:rPr>
          <w:noProof/>
        </w:rPr>
        <w:t>Principi</w:t>
      </w:r>
    </w:p>
    <w:p>
      <w:pPr>
        <w:rPr>
          <w:noProof/>
        </w:rPr>
      </w:pPr>
      <w:r>
        <w:rPr>
          <w:noProof/>
        </w:rPr>
        <w:t>LESD 218. panta 9. punktā paredzēti lēmumi, ar kuriem nosaka “nostāju, kas Savienības vārdā jāapstiprina kādā ar nolīgumu izveidotā struktūrā, ja šāda struktūra ir tiesīga pieņemt lēmumus ar juridiskām sekām, izņemot lēmumus, kas papildina vai groza attiecīgajā nolīgumā noteikto iestāžu sistēmu”.</w:t>
      </w:r>
    </w:p>
    <w:p>
      <w:pPr>
        <w:rPr>
          <w:noProof/>
        </w:rPr>
      </w:pPr>
      <w:r>
        <w:rPr>
          <w:noProof/>
        </w:rPr>
        <w:t>LESD 218. panta 9. punktu piemēro neatkarīgi no tā, vai Savienība ir attiecīgās struktūras dalībniece vai nolīguma puse</w:t>
      </w:r>
      <w:r>
        <w:rPr>
          <w:rStyle w:val="FootnoteReference"/>
          <w:noProof/>
        </w:rPr>
        <w:footnoteReference w:id="4"/>
      </w:r>
      <w:r>
        <w:rPr>
          <w:noProof/>
        </w:rPr>
        <w:t>.</w:t>
      </w:r>
    </w:p>
    <w:p>
      <w:pPr>
        <w:rPr>
          <w:noProof/>
        </w:rPr>
      </w:pPr>
      <w:r>
        <w:rPr>
          <w:noProof/>
        </w:rPr>
        <w:t xml:space="preserve">Jēdziens “lēmumi ar juridiskām sekām” ietver aktus, kam ir juridiskas sekas saskaņā ar starptautisko tiesību normām, kuras reglamentē attiecīgo struktūru. Tas ietver arī </w:t>
      </w:r>
      <w:r>
        <w:rPr>
          <w:noProof/>
        </w:rPr>
        <w:lastRenderedPageBreak/>
        <w:t>instrumentus, kam nav saistoša spēka saskaņā ar starptautiskajām tiesībām, bet kas “var būtiski ietekmēt Savienības likumdevēja pieņemtā tiesiskā regulējuma saturu”</w:t>
      </w:r>
      <w:r>
        <w:rPr>
          <w:rStyle w:val="FootnoteReference"/>
          <w:noProof/>
        </w:rPr>
        <w:footnoteReference w:id="5"/>
      </w:r>
      <w:r>
        <w:rPr>
          <w:noProof/>
        </w:rPr>
        <w:t>.</w:t>
      </w:r>
    </w:p>
    <w:p>
      <w:pPr>
        <w:pStyle w:val="ManualHeading3"/>
        <w:rPr>
          <w:noProof/>
        </w:rPr>
      </w:pPr>
      <w:r>
        <w:t>4.1.2.</w:t>
      </w:r>
      <w:r>
        <w:tab/>
      </w:r>
      <w:r>
        <w:rPr>
          <w:noProof/>
        </w:rPr>
        <w:t>Piemērošana konkrētajā gadījumā</w:t>
      </w:r>
    </w:p>
    <w:p>
      <w:r>
        <w:rPr>
          <w:noProof/>
        </w:rPr>
        <w:t>Paplašinātā komisija ir struktūra, kas izveidota ar nolīgumu, un akti, ko paplašinātā komisija tiek aicināta pieņemt, ir akti ar juridiskām sekām. Paredzētie akti atbilstoši nolīguma 6. panta 1. punkta a) apakšpunktam būs saistoši līgumslēdzējām valstīm saskaņā ar starptautiskajām tiesībām.</w:t>
      </w:r>
      <w:r>
        <w:t xml:space="preserve"> </w:t>
      </w:r>
    </w:p>
    <w:p>
      <w:pPr>
        <w:rPr>
          <w:noProof/>
        </w:rPr>
      </w:pPr>
      <w:r>
        <w:rPr>
          <w:noProof/>
        </w:rPr>
        <w:t>Paredzētie akti nepapildina un negroza nolīgumā noteikto iestāžu sistēmu.</w:t>
      </w:r>
    </w:p>
    <w:p>
      <w:pPr>
        <w:rPr>
          <w:noProof/>
        </w:rPr>
      </w:pPr>
      <w:r>
        <w:rPr>
          <w:noProof/>
        </w:rPr>
        <w:t>Tāpēc ierosinātā lēmuma procesuālais juridiskais pamats ir LESD 218. panta 9. punkts.</w:t>
      </w:r>
    </w:p>
    <w:p>
      <w:pPr>
        <w:pStyle w:val="ManualHeading2"/>
        <w:rPr>
          <w:noProof/>
        </w:rPr>
      </w:pPr>
      <w:r>
        <w:t>4.2.</w:t>
      </w:r>
      <w:r>
        <w:tab/>
      </w:r>
      <w:r>
        <w:rPr>
          <w:noProof/>
        </w:rPr>
        <w:t>Materiālais juridiskais pamats</w:t>
      </w:r>
    </w:p>
    <w:p>
      <w:pPr>
        <w:pStyle w:val="ManualHeading3"/>
        <w:rPr>
          <w:noProof/>
        </w:rPr>
      </w:pPr>
      <w:r>
        <w:t>4.2.1.</w:t>
      </w:r>
      <w:r>
        <w:tab/>
      </w:r>
      <w:r>
        <w:rPr>
          <w:noProof/>
        </w:rPr>
        <w:t>Principi</w:t>
      </w:r>
    </w:p>
    <w:p>
      <w:pPr>
        <w:rPr>
          <w:noProof/>
        </w:rPr>
      </w:pPr>
      <w:r>
        <w:rPr>
          <w:noProof/>
        </w:rPr>
        <w:t>Lēmumam, ko pieņem saskaņā ar LESD 218. panta 9. punktu, materiālais juridiskais pamats galvenokārt ir atkarīgs no tā, kāds mērķis un saturs ir paredzētajam aktam, attiecībā uz kuru Savienības vārdā tiek ieņemta nostāja. Ja paredzētajam aktam ir divi mērķi vai divi komponenti un viens no tiem ir atzīstams par galveno, bet otram ir pakārtota nozīme, tad lēmums, ko pieņem saskaņā ar LESD 218. panta 9. punktu, jābalsta uz viena materiālā juridiskā pamata, proti, tā, ko prasa galvenais jeb dominējošais mērķis vai komponents.</w:t>
      </w:r>
    </w:p>
    <w:p>
      <w:pPr>
        <w:pStyle w:val="ManualHeading3"/>
        <w:rPr>
          <w:noProof/>
        </w:rPr>
      </w:pPr>
      <w:r>
        <w:t>4.2.2.</w:t>
      </w:r>
      <w:r>
        <w:tab/>
      </w:r>
      <w:r>
        <w:rPr>
          <w:noProof/>
        </w:rPr>
        <w:t>Piemērošana konkrētajā gadījumā</w:t>
      </w:r>
    </w:p>
    <w:p>
      <w:pPr>
        <w:rPr>
          <w:noProof/>
        </w:rPr>
      </w:pPr>
      <w:r>
        <w:rPr>
          <w:noProof/>
        </w:rPr>
        <w:t>Paredzēto aktu galvenais mērķis un saturs attiecas uz transportu (LESD VI sadaļa).</w:t>
      </w:r>
    </w:p>
    <w:p>
      <w:pPr>
        <w:rPr>
          <w:i/>
          <w:noProof/>
        </w:rPr>
      </w:pPr>
      <w:r>
        <w:rPr>
          <w:noProof/>
        </w:rPr>
        <w:t>Tāpēc ierosinātā lēmuma materiālais juridiskais pamats ir LESD 100. panta 2. punkts.</w:t>
      </w:r>
    </w:p>
    <w:p>
      <w:pPr>
        <w:pStyle w:val="ManualHeading2"/>
        <w:rPr>
          <w:noProof/>
        </w:rPr>
      </w:pPr>
      <w:r>
        <w:t>4.3.</w:t>
      </w:r>
      <w:r>
        <w:tab/>
      </w:r>
      <w:r>
        <w:rPr>
          <w:noProof/>
        </w:rPr>
        <w:t>Secinājums</w:t>
      </w:r>
    </w:p>
    <w:p>
      <w:pPr>
        <w:rPr>
          <w:noProof/>
        </w:rPr>
      </w:pPr>
      <w:r>
        <w:rPr>
          <w:noProof/>
        </w:rPr>
        <w:t>Ierosinātā lēmuma juridiskajam pamatam vajadzētu būt LESD 100. panta 2. punktam saistībā ar 218. panta 9. punktu.</w:t>
      </w:r>
    </w:p>
    <w:p>
      <w:pPr>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2019/0233 (NLE)</w:t>
      </w:r>
    </w:p>
    <w:p>
      <w:pPr>
        <w:pStyle w:val="Statut"/>
        <w:rPr>
          <w:noProof/>
        </w:rPr>
      </w:pPr>
      <w:r>
        <w:rPr>
          <w:noProof/>
        </w:rPr>
        <w:t>Priekšlikums</w:t>
      </w:r>
    </w:p>
    <w:p>
      <w:pPr>
        <w:pStyle w:val="Typedudocument"/>
        <w:rPr>
          <w:noProof/>
        </w:rPr>
      </w:pPr>
      <w:r>
        <w:rPr>
          <w:noProof/>
        </w:rPr>
        <w:t>PADOMES LĒMUMS</w:t>
      </w:r>
    </w:p>
    <w:p>
      <w:pPr>
        <w:pStyle w:val="Titreobjet"/>
        <w:rPr>
          <w:noProof/>
        </w:rPr>
      </w:pPr>
      <w:r>
        <w:rPr>
          <w:noProof/>
        </w:rPr>
        <w:t>par nostāju, kas Eiropas Savienības vārdā jāieņem Eirokontroles paplašinātajā komisijā attiecībā uz maršruta maksājumu izmaksu bāzes noteikšanas un vienības likmju aprēķināšanas principiem, kā arī maršruta maksājumu sistēmas piemērošanas nosacījumiem un apmaksas nosacījumiem</w:t>
      </w:r>
    </w:p>
    <w:p>
      <w:pPr>
        <w:pStyle w:val="IntrtEEE"/>
        <w:rPr>
          <w:noProof/>
        </w:rPr>
      </w:pPr>
      <w:r>
        <w:rPr>
          <w:noProof/>
        </w:rPr>
        <w:t>(Dokuments attiecas uz EEZ)</w:t>
      </w:r>
    </w:p>
    <w:p>
      <w:pPr>
        <w:pStyle w:val="Institutionquiagit"/>
        <w:rPr>
          <w:b/>
          <w:noProof/>
        </w:rPr>
      </w:pPr>
      <w:r>
        <w:rPr>
          <w:b/>
          <w:noProof/>
        </w:rPr>
        <w:t>EIROPAS SAVIENĪBAS PADOME,</w:t>
      </w:r>
    </w:p>
    <w:p>
      <w:pPr>
        <w:rPr>
          <w:noProof/>
        </w:rPr>
      </w:pPr>
      <w:r>
        <w:rPr>
          <w:noProof/>
        </w:rPr>
        <w:t>ņemot vērā Līgumu par Eiropas Savienības darbību un jo īpaši tā 100. panta 2. punktu saistībā ar 218. panta 9. punktu</w:t>
      </w:r>
      <w:r>
        <w:t>,</w:t>
      </w:r>
    </w:p>
    <w:p>
      <w:pPr>
        <w:rPr>
          <w:noProof/>
        </w:rPr>
      </w:pPr>
      <w:r>
        <w:rPr>
          <w:noProof/>
        </w:rPr>
        <w:t>ņemot vērā Eiropas Komisijas priekšlikumu,</w:t>
      </w:r>
    </w:p>
    <w:p>
      <w:pPr>
        <w:rPr>
          <w:noProof/>
        </w:rPr>
      </w:pPr>
      <w:r>
        <w:rPr>
          <w:noProof/>
        </w:rPr>
        <w:t>tā kā:</w:t>
      </w:r>
    </w:p>
    <w:p>
      <w:pPr>
        <w:pStyle w:val="ManualConsidrant"/>
        <w:rPr>
          <w:noProof/>
        </w:rPr>
      </w:pPr>
      <w:r>
        <w:t>(1)</w:t>
      </w:r>
      <w:r>
        <w:tab/>
      </w:r>
      <w:r>
        <w:rPr>
          <w:noProof/>
        </w:rPr>
        <w:t>Daudzpusējais nolīgums par maršruta maksājumiem (“nolīgums”)</w:t>
      </w:r>
      <w:r>
        <w:rPr>
          <w:rStyle w:val="FootnoteReference"/>
          <w:noProof/>
        </w:rPr>
        <w:footnoteReference w:id="6"/>
      </w:r>
      <w:r>
        <w:rPr>
          <w:noProof/>
        </w:rPr>
        <w:t xml:space="preserve"> stājās spēkā 1986. gada 1. janvārī. </w:t>
      </w:r>
    </w:p>
    <w:p>
      <w:pPr>
        <w:pStyle w:val="ManualConsidrant"/>
        <w:rPr>
          <w:noProof/>
        </w:rPr>
      </w:pPr>
      <w:r>
        <w:t>(2)</w:t>
      </w:r>
      <w:r>
        <w:tab/>
      </w:r>
      <w:r>
        <w:rPr>
          <w:noProof/>
        </w:rPr>
        <w:t>Saskaņā ar nolīguma 3. panta 2. punktu paplašinātā komisija pieņem principus, kas reglamentē izmaksu novērtējumu aeronavigācijas maksājumu aprēķināšanas vajadzībām un šo maksājumu piemērošanas un apmaksas nosacījumus.</w:t>
      </w:r>
    </w:p>
    <w:p>
      <w:pPr>
        <w:pStyle w:val="ManualConsidrant"/>
        <w:rPr>
          <w:noProof/>
        </w:rPr>
      </w:pPr>
      <w:r>
        <w:t>(3)</w:t>
      </w:r>
      <w:r>
        <w:tab/>
      </w:r>
      <w:r>
        <w:rPr>
          <w:noProof/>
        </w:rPr>
        <w:t>Paplašinātajai komisijai līdz 113. sanāksmei, kas norisināsies 2019. gada 20. un 21. novembrī, vai šīs sanāksmes laikā, izmantojot rakstisku procedūru, jāpieņem lēmumi par maršruta maksājumu izmaksu bāzes noteikšanas un vienības likmju aprēķināšanas principu atjauninājumiem un maršruta maksājumu sistēmas piemērošanas nosacījumu un apmaksas nosacījumu atjauninājumiem (“lēmumi”).</w:t>
      </w:r>
    </w:p>
    <w:p>
      <w:pPr>
        <w:pStyle w:val="ManualConsidrant"/>
        <w:rPr>
          <w:noProof/>
        </w:rPr>
      </w:pPr>
      <w:r>
        <w:t>(4)</w:t>
      </w:r>
      <w:r>
        <w:tab/>
      </w:r>
      <w:r>
        <w:rPr>
          <w:noProof/>
        </w:rPr>
        <w:t>Ir lietderīgi noteikt nostāju, kas Savienības vārdā jāieņem Eirokontroles paplašinātajā komisijā, jo uz minēto lēmumu priekšmetu lielā mērā attiecas Savienības tiesību akti, proti, Komisijas Īstenošanas regula (ES) 2019/317</w:t>
      </w:r>
      <w:r>
        <w:rPr>
          <w:rStyle w:val="FootnoteReference"/>
          <w:noProof/>
        </w:rPr>
        <w:footnoteReference w:id="7"/>
      </w:r>
      <w:r>
        <w:rPr>
          <w:noProof/>
        </w:rPr>
        <w:t>. Tāpēc minētie akti var ietekmēt kopīgos noteikumus vai mainīt to darbības jomu, un Savienībai ir ekskluzīva ārējā kompetence saskaņā ar Līguma par Eiropas Savienības darbību 3. panta 2. punktu.</w:t>
      </w:r>
    </w:p>
    <w:p>
      <w:pPr>
        <w:pStyle w:val="ManualConsidrant"/>
        <w:rPr>
          <w:noProof/>
        </w:rPr>
      </w:pPr>
      <w:r>
        <w:t>(5)</w:t>
      </w:r>
      <w:r>
        <w:tab/>
      </w:r>
      <w:r>
        <w:rPr>
          <w:noProof/>
        </w:rPr>
        <w:t>Lēmumu mērķis ir nodrošināt nepārtrauktu atbilstību Savienības noteikumiem transporta jomā, jo īpaši Eiropas Parlamenta un Padomes Regulai (EK) Nr. 549/2004</w:t>
      </w:r>
      <w:r>
        <w:rPr>
          <w:rStyle w:val="FootnoteReference"/>
          <w:noProof/>
        </w:rPr>
        <w:footnoteReference w:id="8"/>
      </w:r>
      <w:r>
        <w:rPr>
          <w:noProof/>
        </w:rPr>
        <w:t xml:space="preserve"> un Īstenošanas regulai (ES) 2019/317. Tādēļ ir lietderīgi atbalstīt minēto lēmumu pieņemšanu.</w:t>
      </w:r>
    </w:p>
    <w:p>
      <w:pPr>
        <w:pStyle w:val="ManualConsidrant"/>
        <w:rPr>
          <w:noProof/>
        </w:rPr>
      </w:pPr>
      <w:r>
        <w:lastRenderedPageBreak/>
        <w:t>(6)</w:t>
      </w:r>
      <w:r>
        <w:tab/>
      </w:r>
      <w:r>
        <w:rPr>
          <w:noProof/>
        </w:rPr>
        <w:t>Savienības nostāja jāpauž Savienības dalībvalstīm, kuras ir Eirokontroles paplašinātās komisijas locekles, rīkojoties kopīgi,</w:t>
      </w:r>
    </w:p>
    <w:p>
      <w:pPr>
        <w:pStyle w:val="Formuledadoption"/>
        <w:rPr>
          <w:noProof/>
        </w:rPr>
      </w:pPr>
      <w:r>
        <w:rPr>
          <w:noProof/>
        </w:rPr>
        <w:t>IR PIEŅĒMUSI ŠO LĒMUMU.</w:t>
      </w:r>
    </w:p>
    <w:p>
      <w:pPr>
        <w:pStyle w:val="Titrearticle"/>
        <w:rPr>
          <w:noProof/>
        </w:rPr>
      </w:pPr>
      <w:r>
        <w:rPr>
          <w:noProof/>
        </w:rPr>
        <w:t>1. pants</w:t>
      </w:r>
    </w:p>
    <w:p>
      <w:pPr>
        <w:rPr>
          <w:noProof/>
        </w:rPr>
      </w:pPr>
      <w:r>
        <w:rPr>
          <w:noProof/>
        </w:rPr>
        <w:t>Nostāja, kas Savienības vārdā jāieņem rakstiskajā procedūrā pirms Eirokontroles paplašinātās komisijas 2019. gada 28. novembra sanāksmes vai tās laikā, ir šāda:</w:t>
      </w:r>
    </w:p>
    <w:p>
      <w:r>
        <w:rPr>
          <w:noProof/>
        </w:rPr>
        <w:t>a) atbalstīt atjauninātos maršruta maksājumu izmaksu bāzes noteikšanas principus</w:t>
      </w:r>
      <w:r>
        <w:rPr>
          <w:rStyle w:val="FootnoteReference"/>
          <w:noProof/>
        </w:rPr>
        <w:footnoteReference w:id="9"/>
      </w:r>
      <w:r>
        <w:rPr>
          <w:noProof/>
        </w:rPr>
        <w:t>;</w:t>
      </w:r>
    </w:p>
    <w:p>
      <w:pPr>
        <w:rPr>
          <w:noProof/>
        </w:rPr>
      </w:pPr>
      <w:r>
        <w:rPr>
          <w:noProof/>
        </w:rPr>
        <w:t>b) atbalstīt atjauninātos maršruta maksājumu sistēmas piemērošanas nosacījumus un apmaksas nosacījumus</w:t>
      </w:r>
      <w:r>
        <w:rPr>
          <w:rStyle w:val="FootnoteReference"/>
          <w:noProof/>
        </w:rPr>
        <w:footnoteReference w:id="10"/>
      </w:r>
      <w:r>
        <w:rPr>
          <w:noProof/>
        </w:rPr>
        <w:t>.</w:t>
      </w:r>
    </w:p>
    <w:p>
      <w:pPr>
        <w:jc w:val="left"/>
        <w:rPr>
          <w:i/>
          <w:noProof/>
        </w:rPr>
      </w:pPr>
    </w:p>
    <w:p>
      <w:pPr>
        <w:pStyle w:val="Titrearticle"/>
        <w:rPr>
          <w:noProof/>
        </w:rPr>
      </w:pPr>
      <w:r>
        <w:rPr>
          <w:noProof/>
        </w:rPr>
        <w:t>2. pants</w:t>
      </w:r>
    </w:p>
    <w:p>
      <w:pPr>
        <w:rPr>
          <w:noProof/>
        </w:rPr>
      </w:pPr>
      <w:r>
        <w:rPr>
          <w:noProof/>
        </w:rPr>
        <w:t>Šā lēmuma 1. pantā minēto nostāju pauž Savienības dalībvalstis, kuras ir Eirokontroles paplašinātās komisijas locekles, rīkojoties kopīgi.</w:t>
      </w:r>
    </w:p>
    <w:p>
      <w:pPr>
        <w:pStyle w:val="Titrearticle"/>
        <w:rPr>
          <w:noProof/>
        </w:rPr>
      </w:pPr>
      <w:r>
        <w:rPr>
          <w:noProof/>
        </w:rPr>
        <w:t>3. pants</w:t>
      </w:r>
    </w:p>
    <w:p>
      <w:pPr>
        <w:rPr>
          <w:noProof/>
        </w:rPr>
      </w:pPr>
      <w:r>
        <w:rPr>
          <w:noProof/>
        </w:rPr>
        <w:t>Šis lēmums ir adresēts dalībvalstīm.</w:t>
      </w:r>
    </w:p>
    <w:p>
      <w:pPr>
        <w:pStyle w:val="Fait"/>
        <w:rPr>
          <w:noProof/>
        </w:rPr>
      </w:pPr>
      <w:r>
        <w:t>Briselē,</w:t>
      </w:r>
    </w:p>
    <w:p>
      <w:pPr>
        <w:pStyle w:val="Institutionquisigne"/>
        <w:rPr>
          <w:noProof/>
        </w:rPr>
      </w:pPr>
      <w:r>
        <w:rPr>
          <w:noProof/>
        </w:rPr>
        <w:tab/>
        <w:t>Padomes vārdā –</w:t>
      </w:r>
    </w:p>
    <w:p>
      <w:pPr>
        <w:pStyle w:val="Personnequisigne"/>
        <w:rPr>
          <w:noProof/>
        </w:rPr>
      </w:pPr>
      <w:r>
        <w:rPr>
          <w:noProof/>
        </w:rPr>
        <w:tab/>
        <w:t>priekšsēdētājs</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LV</w:t>
    </w:r>
    <w:r>
      <w:rPr>
        <w:rFonts w:ascii="Arial" w:hAnsi="Arial" w:cs="Arial"/>
        <w:b/>
        <w:sz w:val="48"/>
      </w:rPr>
      <w:tab/>
    </w:r>
    <w:r>
      <w:rPr>
        <w:rFonts w:ascii="Arial" w:hAnsi="Arial" w:cs="Arial"/>
        <w:b/>
        <w:sz w:val="48"/>
      </w:rPr>
      <w:tab/>
    </w:r>
    <w:r>
      <w:tab/>
    </w:r>
    <w:r>
      <w:rPr>
        <w:rFonts w:ascii="Arial" w:hAnsi="Arial" w:cs="Arial"/>
        <w:b/>
        <w:sz w:val="48"/>
      </w:rPr>
      <w:t>LV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LV</w:t>
    </w:r>
    <w:r>
      <w:rPr>
        <w:rFonts w:ascii="Arial" w:hAnsi="Arial" w:cs="Arial"/>
        <w:b/>
        <w:sz w:val="48"/>
      </w:rPr>
      <w:tab/>
    </w:r>
    <w:r>
      <w:fldChar w:fldCharType="begin"/>
    </w:r>
    <w:r>
      <w:instrText xml:space="preserve"> PAGE  \* MERGEFORMAT </w:instrText>
    </w:r>
    <w:r>
      <w:fldChar w:fldCharType="separate"/>
    </w:r>
    <w:r>
      <w:rPr>
        <w:noProof/>
      </w:rPr>
      <w:t>6</w:t>
    </w:r>
    <w:r>
      <w:fldChar w:fldCharType="end"/>
    </w:r>
    <w:r>
      <w:tab/>
    </w:r>
    <w:r>
      <w:tab/>
    </w:r>
    <w:r>
      <w:rPr>
        <w:rFonts w:ascii="Arial" w:hAnsi="Arial" w:cs="Arial"/>
        <w:b/>
        <w:sz w:val="48"/>
      </w:rPr>
      <w:t>LV</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r>
      <w:hyperlink r:id="rId1" w:history="1">
        <w:r>
          <w:rPr>
            <w:rStyle w:val="Hyperlink"/>
          </w:rPr>
          <w:t>https://www.eurocontrol.int/sites/default/files/article/attachments/multilateral-agreement-relating-to-route-charges.pdf</w:t>
        </w:r>
      </w:hyperlink>
      <w:r>
        <w:t xml:space="preserve"> </w:t>
      </w:r>
    </w:p>
  </w:footnote>
  <w:footnote w:id="2">
    <w:p>
      <w:pPr>
        <w:pStyle w:val="FootnoteText"/>
      </w:pPr>
      <w:r>
        <w:rPr>
          <w:rStyle w:val="FootnoteReference"/>
        </w:rPr>
        <w:footnoteRef/>
      </w:r>
      <w:r>
        <w:tab/>
        <w:t>Papildus ES dalībvalstīm Albānija, Armēnija, Bosnija un Hercegovina, Gruzija, Melnkalne, Moldovas Republika, Monako, Norvēģija, Šveice, Turcija, Ukraina un Ziemeļmaķedonija ir nolīguma puses un ir to ratificējušas.</w:t>
      </w:r>
    </w:p>
  </w:footnote>
  <w:footnote w:id="3">
    <w:p>
      <w:pPr>
        <w:pStyle w:val="FootnoteText"/>
      </w:pPr>
      <w:r>
        <w:rPr>
          <w:rStyle w:val="FootnoteReference"/>
        </w:rPr>
        <w:footnoteRef/>
      </w:r>
      <w:r>
        <w:tab/>
        <w:t>Komisijas 2019. gada 11. februāra Īstenošanas regula (ES) 2019/317, ar ko nosaka darbības uzlabošanas sistēmu un tarifikācijas sistēmu Eiropas vienotajā gaisa telpā un atceļ Īstenošanas regulas (ES) Nr. 390/2013 un (ES) Nr. 391/2013 (OV L 56, 25.2.2019., 1. lpp.).</w:t>
      </w:r>
    </w:p>
  </w:footnote>
  <w:footnote w:id="4">
    <w:p>
      <w:pPr>
        <w:pStyle w:val="FootnoteText"/>
      </w:pPr>
      <w:r>
        <w:rPr>
          <w:rStyle w:val="FootnoteReference"/>
        </w:rPr>
        <w:footnoteRef/>
      </w:r>
      <w:r>
        <w:tab/>
        <w:t xml:space="preserve">Tiesas spriedums, 2014. gada 7. oktobris, Vācija/Padome, C-399/12, ECLI:EU:C:2014:2258, 64. punkts. </w:t>
      </w:r>
    </w:p>
  </w:footnote>
  <w:footnote w:id="5">
    <w:p>
      <w:pPr>
        <w:pStyle w:val="FootnoteText"/>
      </w:pPr>
      <w:r>
        <w:rPr>
          <w:rStyle w:val="FootnoteReference"/>
        </w:rPr>
        <w:footnoteRef/>
      </w:r>
      <w:r>
        <w:tab/>
        <w:t xml:space="preserve">Tiesas spriedums, 2014. gada 7. oktobris, Vācija/Padome, C-399/12, ECLI:EU:C:2014:2258, 61.–64. punkts. </w:t>
      </w:r>
    </w:p>
  </w:footnote>
  <w:footnote w:id="6">
    <w:p>
      <w:pPr>
        <w:pStyle w:val="FootnoteText"/>
      </w:pPr>
      <w:r>
        <w:rPr>
          <w:rStyle w:val="FootnoteReference"/>
        </w:rPr>
        <w:footnoteRef/>
      </w:r>
      <w:r>
        <w:tab/>
      </w:r>
      <w:hyperlink r:id="rId2" w:history="1">
        <w:r>
          <w:rPr>
            <w:rStyle w:val="Hyperlink"/>
          </w:rPr>
          <w:t>https://www.eurocontrol.int/sites/default/files/article/attachments/multilateral-agreement-relating-to-route-charges.pdf</w:t>
        </w:r>
      </w:hyperlink>
      <w:r>
        <w:t xml:space="preserve"> </w:t>
      </w:r>
    </w:p>
  </w:footnote>
  <w:footnote w:id="7">
    <w:p>
      <w:pPr>
        <w:pStyle w:val="FootnoteText"/>
      </w:pPr>
      <w:r>
        <w:rPr>
          <w:rStyle w:val="FootnoteReference"/>
        </w:rPr>
        <w:footnoteRef/>
      </w:r>
      <w:r>
        <w:tab/>
        <w:t>Komisijas 2019. gada 11. februāra Īstenošanas regula (ES) 2019/317, ar ko nosaka darbības uzlabošanas sistēmu un tarifikācijas sistēmu Eiropas vienotajā gaisa telpā un atceļ Īstenošanas regulas (ES) Nr. 390/2013 un (ES) Nr. 391/2013 (OV L 56, 25.2.2019., 1. lpp.).</w:t>
      </w:r>
    </w:p>
  </w:footnote>
  <w:footnote w:id="8">
    <w:p>
      <w:pPr>
        <w:pStyle w:val="FootnoteText"/>
      </w:pPr>
      <w:r>
        <w:rPr>
          <w:rStyle w:val="FootnoteReference"/>
        </w:rPr>
        <w:footnoteRef/>
      </w:r>
      <w:r>
        <w:tab/>
        <w:t>Eiropas Parlamenta un Padomes 2004. gada 10. marta Regula (EK) Nr. 549/2004, ar ko nosaka pamatu Eiropas vienotās gaisa telpas izveidošanai (pamatregula) (OV L 96, 31.3.2004., 1. lpp.).</w:t>
      </w:r>
    </w:p>
  </w:footnote>
  <w:footnote w:id="9">
    <w:p>
      <w:pPr>
        <w:pStyle w:val="FootnoteText"/>
      </w:pPr>
      <w:r>
        <w:rPr>
          <w:rStyle w:val="FootnoteReference"/>
        </w:rPr>
        <w:footnoteRef/>
      </w:r>
      <w:r>
        <w:tab/>
      </w:r>
      <w:hyperlink r:id="rId3" w:history="1">
        <w:r>
          <w:rPr>
            <w:rStyle w:val="Hyperlink"/>
          </w:rPr>
          <w:t>https://ext.eurocontrol.int/ftp/?t=93085cefad506a898b74bf51ae9f2ec6</w:t>
        </w:r>
      </w:hyperlink>
      <w:r>
        <w:rPr>
          <w:color w:val="1F497D"/>
        </w:rPr>
        <w:t xml:space="preserve"> </w:t>
      </w:r>
      <w:r>
        <w:t>Eirokontroles dokuments Nr. 19.60.01</w:t>
      </w:r>
      <w:r>
        <w:rPr>
          <w:color w:val="1F497D"/>
        </w:rPr>
        <w:t xml:space="preserve"> </w:t>
      </w:r>
    </w:p>
  </w:footnote>
  <w:footnote w:id="10">
    <w:p>
      <w:pPr>
        <w:pStyle w:val="FootnoteText"/>
      </w:pPr>
      <w:r>
        <w:rPr>
          <w:rStyle w:val="FootnoteReference"/>
        </w:rPr>
        <w:footnoteRef/>
      </w:r>
      <w:r>
        <w:tab/>
      </w:r>
      <w:hyperlink r:id="rId4" w:history="1">
        <w:r>
          <w:rPr>
            <w:rStyle w:val="Hyperlink"/>
          </w:rPr>
          <w:t>https://ext.eurocontrol.int/ftp/?t=5db7f9ad4dda0c0a7803388ca46b101e</w:t>
        </w:r>
      </w:hyperlink>
      <w:r>
        <w:t xml:space="preserve"> Eirokontroles dokuments Nr. 19.60.02-1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7EFE3D68"/>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B6580042"/>
    <w:lvl w:ilvl="0">
      <w:start w:val="1"/>
      <w:numFmt w:val="decimal"/>
      <w:pStyle w:val="ListNumber3"/>
      <w:lvlText w:val="%1."/>
      <w:lvlJc w:val="left"/>
      <w:pPr>
        <w:tabs>
          <w:tab w:val="num" w:pos="926"/>
        </w:tabs>
        <w:ind w:left="926" w:hanging="360"/>
      </w:pPr>
    </w:lvl>
  </w:abstractNum>
  <w:abstractNum w:abstractNumId="2">
    <w:nsid w:val="FFFFFF7F"/>
    <w:multiLevelType w:val="singleLevel"/>
    <w:tmpl w:val="D0E6AC2C"/>
    <w:lvl w:ilvl="0">
      <w:start w:val="1"/>
      <w:numFmt w:val="decimal"/>
      <w:pStyle w:val="ListNumber2"/>
      <w:lvlText w:val="%1."/>
      <w:lvlJc w:val="left"/>
      <w:pPr>
        <w:tabs>
          <w:tab w:val="num" w:pos="643"/>
        </w:tabs>
        <w:ind w:left="643" w:hanging="360"/>
      </w:pPr>
    </w:lvl>
  </w:abstractNum>
  <w:abstractNum w:abstractNumId="3">
    <w:nsid w:val="FFFFFF81"/>
    <w:multiLevelType w:val="singleLevel"/>
    <w:tmpl w:val="AC5612F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3CB40FE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6122EF94"/>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85EEA632"/>
    <w:lvl w:ilvl="0">
      <w:start w:val="1"/>
      <w:numFmt w:val="decimal"/>
      <w:pStyle w:val="ListNumber"/>
      <w:lvlText w:val="%1."/>
      <w:lvlJc w:val="left"/>
      <w:pPr>
        <w:tabs>
          <w:tab w:val="num" w:pos="360"/>
        </w:tabs>
        <w:ind w:left="360" w:hanging="360"/>
      </w:pPr>
    </w:lvl>
  </w:abstractNum>
  <w:abstractNum w:abstractNumId="7">
    <w:nsid w:val="FFFFFF89"/>
    <w:multiLevelType w:val="singleLevel"/>
    <w:tmpl w:val="CB6C7D24"/>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2"/>
  </w:num>
  <w:num w:numId="10">
    <w:abstractNumId w:val="1"/>
  </w:num>
  <w:num w:numId="11">
    <w:abstractNumId w:val="0"/>
  </w:num>
  <w:num w:numId="12">
    <w:abstractNumId w:val="21"/>
    <w:lvlOverride w:ilvl="0">
      <w:startOverride w:val="1"/>
    </w:lvlOverride>
  </w:num>
  <w:num w:numId="13">
    <w:abstractNumId w:val="18"/>
  </w:num>
  <w:num w:numId="14">
    <w:abstractNumId w:val="12"/>
  </w:num>
  <w:num w:numId="15">
    <w:abstractNumId w:val="20"/>
  </w:num>
  <w:num w:numId="16">
    <w:abstractNumId w:val="11"/>
  </w:num>
  <w:num w:numId="17">
    <w:abstractNumId w:val="13"/>
  </w:num>
  <w:num w:numId="18">
    <w:abstractNumId w:val="9"/>
  </w:num>
  <w:num w:numId="19">
    <w:abstractNumId w:val="19"/>
  </w:num>
  <w:num w:numId="20">
    <w:abstractNumId w:val="8"/>
  </w:num>
  <w:num w:numId="21">
    <w:abstractNumId w:val="14"/>
  </w:num>
  <w:num w:numId="22">
    <w:abstractNumId w:val="16"/>
  </w:num>
  <w:num w:numId="23">
    <w:abstractNumId w:val="17"/>
  </w:num>
  <w:num w:numId="24">
    <w:abstractNumId w:val="10"/>
  </w:num>
  <w:num w:numId="25">
    <w:abstractNumId w:val="15"/>
  </w:num>
  <w:num w:numId="26">
    <w:abstractNumId w:val="2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attachedTemplate r:id="rId1"/>
  <w:revisionView w:markup="0"/>
  <w:defaultTabStop w:val="720"/>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10-09 16:07:54"/>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2"/>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7DA0EB40-9765-40D5-9115-A283ABA0A9EC"/>
    <w:docVar w:name="LW_COVERPAGE_TYPE" w:val="1"/>
    <w:docVar w:name="LW_CROSSREFERENCE" w:val="&lt;UNUSED&gt;"/>
    <w:docVar w:name="LW_DocType" w:val="COM"/>
    <w:docVar w:name="LW_EMISSION" w:val="15.10.2019"/>
    <w:docVar w:name="LW_EMISSION_ISODATE" w:val="2019-10-15"/>
    <w:docVar w:name="LW_EMISSION_LOCATION" w:val="BRX"/>
    <w:docVar w:name="LW_EMISSION_PREFIX" w:val="Briselē, "/>
    <w:docVar w:name="LW_EMISSION_SUFFIX" w:val="."/>
    <w:docVar w:name="LW_ID_DOCMODEL" w:val="SJ-043"/>
    <w:docVar w:name="LW_ID_DOCSIGNATURE" w:val="SJ-019"/>
    <w:docVar w:name="LW_ID_DOCSTRUCTURE" w:val="COM/PL/ORG"/>
    <w:docVar w:name="LW_ID_DOCTYPE" w:val="SJ-043"/>
    <w:docVar w:name="LW_ID_EXP.MOTIFS.NEW" w:val="EM_PL2_"/>
    <w:docVar w:name="LW_ID_STATUT" w:val="SJ-019"/>
    <w:docVar w:name="LW_INTERETEEE.CP" w:val="(Dokuments attiecas uz EEZ)"/>
    <w:docVar w:name="LW_LANGUE" w:val="LV"/>
    <w:docVar w:name="LW_LEVEL_OF_SENSITIVITY" w:val="Standard treatment"/>
    <w:docVar w:name="LW_NOM.INST" w:val="EIROPAS KOMISIJA"/>
    <w:docVar w:name="LW_NOM.INST_JOINTDOC" w:val="&lt;EMPTY&gt;"/>
    <w:docVar w:name="LW_PART_NBR" w:val="1"/>
    <w:docVar w:name="LW_PART_NBR_TOTAL" w:val="1"/>
    <w:docVar w:name="LW_REF.II.NEW.CP" w:val="NLE"/>
    <w:docVar w:name="LW_REF.II.NEW.CP_NUMBER" w:val="0233"/>
    <w:docVar w:name="LW_REF.II.NEW.CP_YEAR" w:val="2019"/>
    <w:docVar w:name="LW_REF.INST.NEW" w:val="COM"/>
    <w:docVar w:name="LW_REF.INST.NEW_ADOPTED" w:val="final"/>
    <w:docVar w:name="LW_REF.INST.NEW_TEXT" w:val="(2019) 46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Priek\u353?likums"/>
    <w:docVar w:name="LW_SUPERTITRE" w:val="&lt;UNUSED&gt;"/>
    <w:docVar w:name="LW_TITRE.OBJ.CP" w:val="par nost\u257?ju, kas Eiropas Savien\u299?bas v\u257?rd\u257? j\u257?ie\u326?em Eirokontroles papla\u353?in\u257?taj\u257? komisij\u257? attiec\u299?b\u257? uz mar\u353?ruta maks\u257?jumu izmaksu b\u257?zes noteik\u353?anas un vien\u299?bas likmju apr\u275?\u311?in\u257?\u353?anas principiem, k\u257? ar\u299? mar\u353?ruta maks\u257?jumu sist\u275?mas piem\u275?ro\u353?anas nosac\u299?jumiem un apmaksas nosac\u299?jumiem"/>
    <w:docVar w:name="LW_TYPE.DOC.CP" w:val="PADOMES L\u274?MUMS"/>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lv-LV"/>
    </w:rPr>
  </w:style>
  <w:style w:type="paragraph" w:styleId="Heading1">
    <w:name w:val="heading 1"/>
    <w:basedOn w:val="Normal"/>
    <w:next w:val="Text1"/>
    <w:link w:val="Heading1Char"/>
    <w:uiPriority w:val="9"/>
    <w:qFormat/>
    <w:pPr>
      <w:keepNext/>
      <w:numPr>
        <w:numId w:val="1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customStyle="1" w:styleId="Hyperlink1">
    <w:name w:val="Hyperlink1"/>
    <w:basedOn w:val="DefaultParagraphFont"/>
    <w:uiPriority w:val="99"/>
    <w:unhideWhenUsed/>
    <w:rPr>
      <w:color w:val="0563C1"/>
      <w:u w:val="single"/>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lv-LV"/>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8"/>
      </w:numPr>
      <w:contextualSpacing/>
    </w:pPr>
  </w:style>
  <w:style w:type="paragraph" w:styleId="ListNumber2">
    <w:name w:val="List Number 2"/>
    <w:basedOn w:val="Normal"/>
    <w:uiPriority w:val="99"/>
    <w:semiHidden/>
    <w:unhideWhenUsed/>
    <w:pPr>
      <w:numPr>
        <w:numId w:val="9"/>
      </w:numPr>
      <w:contextualSpacing/>
    </w:pPr>
  </w:style>
  <w:style w:type="paragraph" w:styleId="ListNumber3">
    <w:name w:val="List Number 3"/>
    <w:basedOn w:val="Normal"/>
    <w:uiPriority w:val="99"/>
    <w:semiHidden/>
    <w:unhideWhenUsed/>
    <w:pPr>
      <w:numPr>
        <w:numId w:val="10"/>
      </w:numPr>
      <w:contextualSpacing/>
    </w:pPr>
  </w:style>
  <w:style w:type="paragraph" w:styleId="ListNumber4">
    <w:name w:val="List Number 4"/>
    <w:basedOn w:val="Normal"/>
    <w:uiPriority w:val="99"/>
    <w:semiHidden/>
    <w:unhideWhenUsed/>
    <w:pPr>
      <w:numPr>
        <w:numId w:val="11"/>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lv-LV"/>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v-LV"/>
    </w:rPr>
  </w:style>
  <w:style w:type="character" w:styleId="FollowedHyperlink">
    <w:name w:val="FollowedHyperlink"/>
    <w:basedOn w:val="DefaultParagraphFont"/>
    <w:uiPriority w:val="99"/>
    <w:semiHidden/>
    <w:unhideWhenUsed/>
    <w:rPr>
      <w:color w:val="800080" w:themeColor="followed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lv-LV"/>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lv-LV"/>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3"/>
      </w:numPr>
    </w:pPr>
  </w:style>
  <w:style w:type="paragraph" w:customStyle="1" w:styleId="Tiret1">
    <w:name w:val="Tiret 1"/>
    <w:basedOn w:val="Point1"/>
    <w:pPr>
      <w:numPr>
        <w:numId w:val="14"/>
      </w:numPr>
    </w:pPr>
  </w:style>
  <w:style w:type="paragraph" w:customStyle="1" w:styleId="Tiret2">
    <w:name w:val="Tiret 2"/>
    <w:basedOn w:val="Point2"/>
    <w:pPr>
      <w:numPr>
        <w:numId w:val="15"/>
      </w:numPr>
    </w:pPr>
  </w:style>
  <w:style w:type="paragraph" w:customStyle="1" w:styleId="Tiret3">
    <w:name w:val="Tiret 3"/>
    <w:basedOn w:val="Point3"/>
    <w:pPr>
      <w:numPr>
        <w:numId w:val="16"/>
      </w:numPr>
    </w:pPr>
  </w:style>
  <w:style w:type="paragraph" w:customStyle="1" w:styleId="Tiret4">
    <w:name w:val="Tiret 4"/>
    <w:basedOn w:val="Point4"/>
    <w:pPr>
      <w:numPr>
        <w:numId w:val="1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8"/>
      </w:numPr>
    </w:pPr>
  </w:style>
  <w:style w:type="paragraph" w:customStyle="1" w:styleId="NumPar2">
    <w:name w:val="NumPar 2"/>
    <w:basedOn w:val="Normal"/>
    <w:next w:val="Text1"/>
    <w:pPr>
      <w:numPr>
        <w:ilvl w:val="1"/>
        <w:numId w:val="18"/>
      </w:numPr>
    </w:pPr>
  </w:style>
  <w:style w:type="paragraph" w:customStyle="1" w:styleId="NumPar3">
    <w:name w:val="NumPar 3"/>
    <w:basedOn w:val="Normal"/>
    <w:next w:val="Text1"/>
    <w:pPr>
      <w:numPr>
        <w:ilvl w:val="2"/>
        <w:numId w:val="18"/>
      </w:numPr>
    </w:pPr>
  </w:style>
  <w:style w:type="paragraph" w:customStyle="1" w:styleId="NumPar4">
    <w:name w:val="NumPar 4"/>
    <w:basedOn w:val="Normal"/>
    <w:next w:val="Text1"/>
    <w:pPr>
      <w:numPr>
        <w:ilvl w:val="3"/>
        <w:numId w:val="1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0"/>
      </w:numPr>
    </w:pPr>
  </w:style>
  <w:style w:type="paragraph" w:customStyle="1" w:styleId="Point1number">
    <w:name w:val="Point 1 (number)"/>
    <w:basedOn w:val="Normal"/>
    <w:pPr>
      <w:numPr>
        <w:ilvl w:val="2"/>
        <w:numId w:val="20"/>
      </w:numPr>
    </w:pPr>
  </w:style>
  <w:style w:type="paragraph" w:customStyle="1" w:styleId="Point2number">
    <w:name w:val="Point 2 (number)"/>
    <w:basedOn w:val="Normal"/>
    <w:pPr>
      <w:numPr>
        <w:ilvl w:val="4"/>
        <w:numId w:val="20"/>
      </w:numPr>
    </w:pPr>
  </w:style>
  <w:style w:type="paragraph" w:customStyle="1" w:styleId="Point3number">
    <w:name w:val="Point 3 (number)"/>
    <w:basedOn w:val="Normal"/>
    <w:pPr>
      <w:numPr>
        <w:ilvl w:val="6"/>
        <w:numId w:val="20"/>
      </w:numPr>
    </w:pPr>
  </w:style>
  <w:style w:type="paragraph" w:customStyle="1" w:styleId="Point0letter">
    <w:name w:val="Point 0 (letter)"/>
    <w:basedOn w:val="Normal"/>
    <w:pPr>
      <w:numPr>
        <w:ilvl w:val="1"/>
        <w:numId w:val="20"/>
      </w:numPr>
    </w:pPr>
  </w:style>
  <w:style w:type="paragraph" w:customStyle="1" w:styleId="Point1letter">
    <w:name w:val="Point 1 (letter)"/>
    <w:basedOn w:val="Normal"/>
    <w:pPr>
      <w:numPr>
        <w:ilvl w:val="3"/>
        <w:numId w:val="20"/>
      </w:numPr>
    </w:pPr>
  </w:style>
  <w:style w:type="paragraph" w:customStyle="1" w:styleId="Point2letter">
    <w:name w:val="Point 2 (letter)"/>
    <w:basedOn w:val="Normal"/>
    <w:pPr>
      <w:numPr>
        <w:ilvl w:val="5"/>
        <w:numId w:val="20"/>
      </w:numPr>
    </w:pPr>
  </w:style>
  <w:style w:type="paragraph" w:customStyle="1" w:styleId="Point3letter">
    <w:name w:val="Point 3 (letter)"/>
    <w:basedOn w:val="Normal"/>
    <w:pPr>
      <w:numPr>
        <w:ilvl w:val="7"/>
        <w:numId w:val="20"/>
      </w:numPr>
    </w:pPr>
  </w:style>
  <w:style w:type="paragraph" w:customStyle="1" w:styleId="Point4letter">
    <w:name w:val="Point 4 (letter)"/>
    <w:basedOn w:val="Normal"/>
    <w:pPr>
      <w:numPr>
        <w:ilvl w:val="8"/>
        <w:numId w:val="20"/>
      </w:numPr>
    </w:pPr>
  </w:style>
  <w:style w:type="paragraph" w:customStyle="1" w:styleId="Bullet0">
    <w:name w:val="Bullet 0"/>
    <w:basedOn w:val="Normal"/>
    <w:pPr>
      <w:numPr>
        <w:numId w:val="21"/>
      </w:numPr>
    </w:pPr>
  </w:style>
  <w:style w:type="paragraph" w:customStyle="1" w:styleId="Bullet1">
    <w:name w:val="Bullet 1"/>
    <w:basedOn w:val="Normal"/>
    <w:pPr>
      <w:numPr>
        <w:numId w:val="22"/>
      </w:numPr>
    </w:pPr>
  </w:style>
  <w:style w:type="paragraph" w:customStyle="1" w:styleId="Bullet2">
    <w:name w:val="Bullet 2"/>
    <w:basedOn w:val="Normal"/>
    <w:pPr>
      <w:numPr>
        <w:numId w:val="23"/>
      </w:numPr>
    </w:pPr>
  </w:style>
  <w:style w:type="paragraph" w:customStyle="1" w:styleId="Bullet3">
    <w:name w:val="Bullet 3"/>
    <w:basedOn w:val="Normal"/>
    <w:pPr>
      <w:numPr>
        <w:numId w:val="24"/>
      </w:numPr>
    </w:pPr>
  </w:style>
  <w:style w:type="paragraph" w:customStyle="1" w:styleId="Bullet4">
    <w:name w:val="Bullet 4"/>
    <w:basedOn w:val="Normal"/>
    <w:pPr>
      <w:numPr>
        <w:numId w:val="2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lv-LV"/>
    </w:rPr>
  </w:style>
  <w:style w:type="paragraph" w:styleId="Heading1">
    <w:name w:val="heading 1"/>
    <w:basedOn w:val="Normal"/>
    <w:next w:val="Text1"/>
    <w:link w:val="Heading1Char"/>
    <w:uiPriority w:val="9"/>
    <w:qFormat/>
    <w:pPr>
      <w:keepNext/>
      <w:numPr>
        <w:numId w:val="1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customStyle="1" w:styleId="Hyperlink1">
    <w:name w:val="Hyperlink1"/>
    <w:basedOn w:val="DefaultParagraphFont"/>
    <w:uiPriority w:val="99"/>
    <w:unhideWhenUsed/>
    <w:rPr>
      <w:color w:val="0563C1"/>
      <w:u w:val="single"/>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lv-LV"/>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8"/>
      </w:numPr>
      <w:contextualSpacing/>
    </w:pPr>
  </w:style>
  <w:style w:type="paragraph" w:styleId="ListNumber2">
    <w:name w:val="List Number 2"/>
    <w:basedOn w:val="Normal"/>
    <w:uiPriority w:val="99"/>
    <w:semiHidden/>
    <w:unhideWhenUsed/>
    <w:pPr>
      <w:numPr>
        <w:numId w:val="9"/>
      </w:numPr>
      <w:contextualSpacing/>
    </w:pPr>
  </w:style>
  <w:style w:type="paragraph" w:styleId="ListNumber3">
    <w:name w:val="List Number 3"/>
    <w:basedOn w:val="Normal"/>
    <w:uiPriority w:val="99"/>
    <w:semiHidden/>
    <w:unhideWhenUsed/>
    <w:pPr>
      <w:numPr>
        <w:numId w:val="10"/>
      </w:numPr>
      <w:contextualSpacing/>
    </w:pPr>
  </w:style>
  <w:style w:type="paragraph" w:styleId="ListNumber4">
    <w:name w:val="List Number 4"/>
    <w:basedOn w:val="Normal"/>
    <w:uiPriority w:val="99"/>
    <w:semiHidden/>
    <w:unhideWhenUsed/>
    <w:pPr>
      <w:numPr>
        <w:numId w:val="11"/>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lv-LV"/>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v-LV"/>
    </w:rPr>
  </w:style>
  <w:style w:type="character" w:styleId="FollowedHyperlink">
    <w:name w:val="FollowedHyperlink"/>
    <w:basedOn w:val="DefaultParagraphFont"/>
    <w:uiPriority w:val="99"/>
    <w:semiHidden/>
    <w:unhideWhenUsed/>
    <w:rPr>
      <w:color w:val="800080" w:themeColor="followed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lv-LV"/>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lv-LV"/>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3"/>
      </w:numPr>
    </w:pPr>
  </w:style>
  <w:style w:type="paragraph" w:customStyle="1" w:styleId="Tiret1">
    <w:name w:val="Tiret 1"/>
    <w:basedOn w:val="Point1"/>
    <w:pPr>
      <w:numPr>
        <w:numId w:val="14"/>
      </w:numPr>
    </w:pPr>
  </w:style>
  <w:style w:type="paragraph" w:customStyle="1" w:styleId="Tiret2">
    <w:name w:val="Tiret 2"/>
    <w:basedOn w:val="Point2"/>
    <w:pPr>
      <w:numPr>
        <w:numId w:val="15"/>
      </w:numPr>
    </w:pPr>
  </w:style>
  <w:style w:type="paragraph" w:customStyle="1" w:styleId="Tiret3">
    <w:name w:val="Tiret 3"/>
    <w:basedOn w:val="Point3"/>
    <w:pPr>
      <w:numPr>
        <w:numId w:val="16"/>
      </w:numPr>
    </w:pPr>
  </w:style>
  <w:style w:type="paragraph" w:customStyle="1" w:styleId="Tiret4">
    <w:name w:val="Tiret 4"/>
    <w:basedOn w:val="Point4"/>
    <w:pPr>
      <w:numPr>
        <w:numId w:val="1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8"/>
      </w:numPr>
    </w:pPr>
  </w:style>
  <w:style w:type="paragraph" w:customStyle="1" w:styleId="NumPar2">
    <w:name w:val="NumPar 2"/>
    <w:basedOn w:val="Normal"/>
    <w:next w:val="Text1"/>
    <w:pPr>
      <w:numPr>
        <w:ilvl w:val="1"/>
        <w:numId w:val="18"/>
      </w:numPr>
    </w:pPr>
  </w:style>
  <w:style w:type="paragraph" w:customStyle="1" w:styleId="NumPar3">
    <w:name w:val="NumPar 3"/>
    <w:basedOn w:val="Normal"/>
    <w:next w:val="Text1"/>
    <w:pPr>
      <w:numPr>
        <w:ilvl w:val="2"/>
        <w:numId w:val="18"/>
      </w:numPr>
    </w:pPr>
  </w:style>
  <w:style w:type="paragraph" w:customStyle="1" w:styleId="NumPar4">
    <w:name w:val="NumPar 4"/>
    <w:basedOn w:val="Normal"/>
    <w:next w:val="Text1"/>
    <w:pPr>
      <w:numPr>
        <w:ilvl w:val="3"/>
        <w:numId w:val="1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0"/>
      </w:numPr>
    </w:pPr>
  </w:style>
  <w:style w:type="paragraph" w:customStyle="1" w:styleId="Point1number">
    <w:name w:val="Point 1 (number)"/>
    <w:basedOn w:val="Normal"/>
    <w:pPr>
      <w:numPr>
        <w:ilvl w:val="2"/>
        <w:numId w:val="20"/>
      </w:numPr>
    </w:pPr>
  </w:style>
  <w:style w:type="paragraph" w:customStyle="1" w:styleId="Point2number">
    <w:name w:val="Point 2 (number)"/>
    <w:basedOn w:val="Normal"/>
    <w:pPr>
      <w:numPr>
        <w:ilvl w:val="4"/>
        <w:numId w:val="20"/>
      </w:numPr>
    </w:pPr>
  </w:style>
  <w:style w:type="paragraph" w:customStyle="1" w:styleId="Point3number">
    <w:name w:val="Point 3 (number)"/>
    <w:basedOn w:val="Normal"/>
    <w:pPr>
      <w:numPr>
        <w:ilvl w:val="6"/>
        <w:numId w:val="20"/>
      </w:numPr>
    </w:pPr>
  </w:style>
  <w:style w:type="paragraph" w:customStyle="1" w:styleId="Point0letter">
    <w:name w:val="Point 0 (letter)"/>
    <w:basedOn w:val="Normal"/>
    <w:pPr>
      <w:numPr>
        <w:ilvl w:val="1"/>
        <w:numId w:val="20"/>
      </w:numPr>
    </w:pPr>
  </w:style>
  <w:style w:type="paragraph" w:customStyle="1" w:styleId="Point1letter">
    <w:name w:val="Point 1 (letter)"/>
    <w:basedOn w:val="Normal"/>
    <w:pPr>
      <w:numPr>
        <w:ilvl w:val="3"/>
        <w:numId w:val="20"/>
      </w:numPr>
    </w:pPr>
  </w:style>
  <w:style w:type="paragraph" w:customStyle="1" w:styleId="Point2letter">
    <w:name w:val="Point 2 (letter)"/>
    <w:basedOn w:val="Normal"/>
    <w:pPr>
      <w:numPr>
        <w:ilvl w:val="5"/>
        <w:numId w:val="20"/>
      </w:numPr>
    </w:pPr>
  </w:style>
  <w:style w:type="paragraph" w:customStyle="1" w:styleId="Point3letter">
    <w:name w:val="Point 3 (letter)"/>
    <w:basedOn w:val="Normal"/>
    <w:pPr>
      <w:numPr>
        <w:ilvl w:val="7"/>
        <w:numId w:val="20"/>
      </w:numPr>
    </w:pPr>
  </w:style>
  <w:style w:type="paragraph" w:customStyle="1" w:styleId="Point4letter">
    <w:name w:val="Point 4 (letter)"/>
    <w:basedOn w:val="Normal"/>
    <w:pPr>
      <w:numPr>
        <w:ilvl w:val="8"/>
        <w:numId w:val="20"/>
      </w:numPr>
    </w:pPr>
  </w:style>
  <w:style w:type="paragraph" w:customStyle="1" w:styleId="Bullet0">
    <w:name w:val="Bullet 0"/>
    <w:basedOn w:val="Normal"/>
    <w:pPr>
      <w:numPr>
        <w:numId w:val="21"/>
      </w:numPr>
    </w:pPr>
  </w:style>
  <w:style w:type="paragraph" w:customStyle="1" w:styleId="Bullet1">
    <w:name w:val="Bullet 1"/>
    <w:basedOn w:val="Normal"/>
    <w:pPr>
      <w:numPr>
        <w:numId w:val="22"/>
      </w:numPr>
    </w:pPr>
  </w:style>
  <w:style w:type="paragraph" w:customStyle="1" w:styleId="Bullet2">
    <w:name w:val="Bullet 2"/>
    <w:basedOn w:val="Normal"/>
    <w:pPr>
      <w:numPr>
        <w:numId w:val="23"/>
      </w:numPr>
    </w:pPr>
  </w:style>
  <w:style w:type="paragraph" w:customStyle="1" w:styleId="Bullet3">
    <w:name w:val="Bullet 3"/>
    <w:basedOn w:val="Normal"/>
    <w:pPr>
      <w:numPr>
        <w:numId w:val="24"/>
      </w:numPr>
    </w:pPr>
  </w:style>
  <w:style w:type="paragraph" w:customStyle="1" w:styleId="Bullet4">
    <w:name w:val="Bullet 4"/>
    <w:basedOn w:val="Normal"/>
    <w:pPr>
      <w:numPr>
        <w:numId w:val="2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s://ext.eurocontrol.int/ftp/?t=93085cefad506a898b74bf51ae9f2ec6" TargetMode="External"/><Relationship Id="rId2" Type="http://schemas.openxmlformats.org/officeDocument/2006/relationships/hyperlink" Target="https://www.eurocontrol.int/sites/default/files/article/attachments/multilateral-agreement-relating-to-route-charges.pdf" TargetMode="External"/><Relationship Id="rId1" Type="http://schemas.openxmlformats.org/officeDocument/2006/relationships/hyperlink" Target="https://www.eurocontrol.int/sites/default/files/article/attachments/multilateral-agreement-relating-to-route-charges.pdf" TargetMode="External"/><Relationship Id="rId4" Type="http://schemas.openxmlformats.org/officeDocument/2006/relationships/hyperlink" Target="https://urldefense.proofpoint.com/v2/url?u=https-3A__ext.eurocontrol.int_ftp_-3Ft-3D5db7f9ad4dda0c0a7803388ca46b101e&amp;d=DwMFAw&amp;c=8NwulVB6ucrjuSGiwL_ckQ&amp;r=MYeHXu--4zxMDx5EBHXoepvDdJ09V-hxpabKKHYvIdQ&amp;m=i-5p6bcWGmNWDWDfwTPKVS-SkyjmITp3Egj9-z0HeEc&amp;s=LSXf9-gyEy1Gy-G12_ZOnqk32S1GC4BFHpMVDRyz9A8&amp;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DF9138-53AB-43BC-AFE1-D5C9F2381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7</Pages>
  <Words>1594</Words>
  <Characters>10903</Characters>
  <Application>Microsoft Office Word</Application>
  <DocSecurity>0</DocSecurity>
  <Lines>194</Lines>
  <Paragraphs>93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19</cp:revision>
  <cp:lastPrinted>2019-09-25T14:41:00Z</cp:lastPrinted>
  <dcterms:created xsi:type="dcterms:W3CDTF">2019-10-01T09:03:00Z</dcterms:created>
  <dcterms:modified xsi:type="dcterms:W3CDTF">2019-10-09T14:07:00Z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7.0, Build 20190717</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SJ-043</vt:lpwstr>
  </property>
  <property fmtid="{D5CDD505-2E9C-101B-9397-08002B2CF9AE}" pid="10" name="DQCStatus">
    <vt:lpwstr>Green (DQC version 03)</vt:lpwstr>
  </property>
</Properties>
</file>