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6FAC845-E7E6-4DC8-A802-5D54DC78A85E" style="width:450.25pt;height:365.05pt">
            <v:imagedata r:id="rId9" o:title=""/>
          </v:shape>
        </w:pict>
      </w:r>
    </w:p>
    <w:p>
      <w:pPr>
        <w:pStyle w:val="Pagedecouverture"/>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 xml:space="preserve"> 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u w:color="000000"/>
          <w:bdr w:val="nil"/>
        </w:rPr>
        <w:t>•</w:t>
      </w:r>
      <w:r>
        <w:rPr>
          <w:noProof/>
          <w:u w:color="000000"/>
          <w:bdr w:val="nil"/>
        </w:rPr>
        <w:tab/>
        <w:t>Motivering en doel van het voorstel</w:t>
      </w:r>
    </w:p>
    <w:p>
      <w:pPr>
        <w:pBdr>
          <w:top w:val="nil"/>
          <w:left w:val="nil"/>
          <w:bottom w:val="nil"/>
          <w:right w:val="nil"/>
          <w:between w:val="nil"/>
          <w:bar w:val="nil"/>
        </w:pBdr>
        <w:spacing w:before="0" w:after="240"/>
        <w:rPr>
          <w:rFonts w:eastAsia="Arial Unicode MS"/>
          <w:noProof/>
        </w:rPr>
      </w:pPr>
      <w:r>
        <w:rPr>
          <w:noProof/>
        </w:rPr>
        <w:t>Op basis van de desbetreffende onderhandelingsrichtsnoeren</w:t>
      </w:r>
      <w:r>
        <w:rPr>
          <w:rStyle w:val="FootnoteReference"/>
          <w:noProof/>
        </w:rPr>
        <w:footnoteReference w:id="1"/>
      </w:r>
      <w:r>
        <w:rPr>
          <w:noProof/>
        </w:rPr>
        <w:t xml:space="preserve"> heeft de Commissie met de regering van de Republiek Senegal (hierna “Senegal” genoemd) onderhandelingen gevoerd met het oog op het sluiten van een nieuw protocol bij de bestaande visserijovereenkomst. Na afloop van deze onderhandelingen is op 19 juli 2019 een nieuw protocol geparafeerd. Het protocol bestrijkt een periode van vijf jaar die ingaat op de datum van voorlopige toepassing, d.w.z. vanaf de datum van de ondertekening ervan, zoals bepaald in artikel 16 van het protocol.</w:t>
      </w:r>
    </w:p>
    <w:p>
      <w:pPr>
        <w:pBdr>
          <w:top w:val="nil"/>
          <w:left w:val="nil"/>
          <w:bottom w:val="nil"/>
          <w:right w:val="nil"/>
          <w:between w:val="nil"/>
          <w:bar w:val="nil"/>
        </w:pBdr>
        <w:spacing w:before="0"/>
        <w:rPr>
          <w:noProof/>
        </w:rPr>
      </w:pPr>
      <w:r>
        <w:rPr>
          <w:noProof/>
        </w:rPr>
        <w:t>Het protocol voorziet in de volgende vangstmogelijkheden voor vaartuigen van de Unie:</w:t>
      </w:r>
    </w:p>
    <w:p>
      <w:pPr>
        <w:pStyle w:val="Tiret0"/>
        <w:numPr>
          <w:ilvl w:val="0"/>
          <w:numId w:val="2"/>
        </w:numPr>
        <w:rPr>
          <w:noProof/>
        </w:rPr>
      </w:pPr>
      <w:r>
        <w:rPr>
          <w:noProof/>
        </w:rPr>
        <w:t>28 vriesvaartuigen voor de tonijnvisserij met de zegen,</w:t>
      </w:r>
    </w:p>
    <w:p>
      <w:pPr>
        <w:pStyle w:val="Tiret0"/>
        <w:numPr>
          <w:ilvl w:val="0"/>
          <w:numId w:val="2"/>
        </w:numPr>
        <w:rPr>
          <w:noProof/>
        </w:rPr>
      </w:pPr>
      <w:r>
        <w:rPr>
          <w:noProof/>
        </w:rPr>
        <w:t xml:space="preserve">10 vaartuigen voor de hengelvisserij, </w:t>
      </w:r>
    </w:p>
    <w:p>
      <w:pPr>
        <w:pStyle w:val="Tiret0"/>
        <w:rPr>
          <w:noProof/>
        </w:rPr>
      </w:pPr>
      <w:r>
        <w:rPr>
          <w:noProof/>
        </w:rPr>
        <w:t xml:space="preserve">5 vaartuigen voor de beugvisserij, </w:t>
      </w:r>
    </w:p>
    <w:p>
      <w:pPr>
        <w:pStyle w:val="Tiret0"/>
        <w:rPr>
          <w:noProof/>
        </w:rPr>
      </w:pPr>
      <w:r>
        <w:rPr>
          <w:noProof/>
        </w:rPr>
        <w:t>2 trawlers.</w:t>
      </w:r>
    </w:p>
    <w:p>
      <w:pPr>
        <w:pBdr>
          <w:top w:val="nil"/>
          <w:left w:val="nil"/>
          <w:bottom w:val="nil"/>
          <w:right w:val="nil"/>
          <w:between w:val="nil"/>
          <w:bar w:val="nil"/>
        </w:pBdr>
        <w:spacing w:before="0" w:after="240"/>
        <w:rPr>
          <w:noProof/>
        </w:rPr>
      </w:pPr>
      <w:r>
        <w:rPr>
          <w:noProof/>
        </w:rPr>
        <w:t>Er dient te worden bepaald hoe deze vangstmogelijkheden over de lidstaten moeten worden verdeeld.</w:t>
      </w:r>
    </w:p>
    <w:p>
      <w:pPr>
        <w:pStyle w:val="ManualHeading2"/>
        <w:rPr>
          <w:rFonts w:eastAsia="Arial Unicode MS"/>
          <w:noProof/>
          <w:color w:val="000000"/>
          <w:u w:color="000000"/>
          <w:bdr w:val="nil"/>
        </w:rPr>
      </w:pPr>
      <w:r>
        <w:rPr>
          <w:noProof/>
          <w:u w:color="000000"/>
          <w:bdr w:val="nil"/>
        </w:rPr>
        <w:t>•</w:t>
      </w:r>
      <w:r>
        <w:rPr>
          <w:noProof/>
          <w:u w:color="000000"/>
          <w:bdr w:val="nil"/>
        </w:rPr>
        <w:tab/>
        <w:t>Verenigbaarheid met bestaande bepalingen op het beleidsterrein</w:t>
      </w:r>
    </w:p>
    <w:p>
      <w:pPr>
        <w:pBdr>
          <w:top w:val="nil"/>
          <w:left w:val="nil"/>
          <w:bottom w:val="nil"/>
          <w:right w:val="nil"/>
          <w:between w:val="nil"/>
          <w:bar w:val="nil"/>
        </w:pBdr>
        <w:spacing w:before="0"/>
        <w:rPr>
          <w:noProof/>
        </w:rPr>
      </w:pPr>
      <w:r>
        <w:rPr>
          <w:noProof/>
        </w:rPr>
        <w:t>In overeenstemming met de prioriteiten van de hervorming van het visserijbeleid</w:t>
      </w:r>
      <w:r>
        <w:rPr>
          <w:rStyle w:val="FootnoteReference"/>
          <w:noProof/>
        </w:rPr>
        <w:footnoteReference w:id="2"/>
      </w:r>
      <w:r>
        <w:rPr>
          <w:noProof/>
        </w:rPr>
        <w:t xml:space="preserve"> biedt het nieuwe protocol vaartuigen van de Unie vangstmogelijkheden in de Senegalese wateren op basis van de beste beschikbare wetenschappelijke adviezen en met inachtneming van de aanbevelingen van de Internationale Commissie voor de instandhouding van Atlantische tonijnen (Iccat). Dit nieuwe protocol houdt rekening met de resultaten van een evaluatie van het meest recente protocol (2014-2019) en van een verkennende evaluatie waarin is nagegaan of het wenselijk is een nieuw protocol te sluiten. Beide evaluaties werden uitgevoerd door externe deskundigen. Voorts zal het protocol het voor de Europese Unie en Senegal mogelijk maken om nauwer samen te werken met het oog op de bevordering van een verantwoorde exploitatie van de visbestanden in de Senegalese wateren, en zal het de inspanningen van Senegal voor de ontwikkeling van zijn visserijsector ondersteunen, dit alles in het belang van beide partijen. </w:t>
      </w:r>
    </w:p>
    <w:p>
      <w:pPr>
        <w:pStyle w:val="ManualHeading2"/>
        <w:rPr>
          <w:rFonts w:eastAsia="Arial Unicode MS"/>
          <w:noProof/>
        </w:rPr>
      </w:pPr>
      <w:r>
        <w:rPr>
          <w:noProof/>
          <w:u w:color="000000"/>
          <w:bdr w:val="nil"/>
        </w:rPr>
        <w:t>•</w:t>
      </w:r>
      <w:r>
        <w:rPr>
          <w:noProof/>
          <w:u w:color="000000"/>
          <w:bdr w:val="nil"/>
        </w:rPr>
        <w:tab/>
        <w:t>Verenigbaarheid met andere beleidsterreinen van de Unie</w:t>
      </w:r>
    </w:p>
    <w:p>
      <w:pPr>
        <w:pBdr>
          <w:top w:val="nil"/>
          <w:left w:val="nil"/>
          <w:bottom w:val="nil"/>
          <w:right w:val="nil"/>
          <w:between w:val="nil"/>
          <w:bar w:val="nil"/>
        </w:pBdr>
        <w:spacing w:before="0" w:after="240"/>
        <w:rPr>
          <w:noProof/>
        </w:rPr>
      </w:pPr>
      <w:r>
        <w:rPr>
          <w:noProof/>
        </w:rPr>
        <w:t>De onderhandelingen over een nieuw protocol bij de partnerschapsovereenkomst inzake visserij met Senegal passen in het kader van het externe optreden van de Unie ten aanzien van de landen in Afrika, het Caribisch gebied en de Stille Oceaan (ACS-landen) en houden met name rekening met de doelstellingen van de Unie op het gebied van de eerbiediging van de democratische beginselen en de mensenrechten.</w:t>
      </w:r>
    </w:p>
    <w:p>
      <w:pPr>
        <w:pBdr>
          <w:top w:val="nil"/>
          <w:left w:val="nil"/>
          <w:bottom w:val="nil"/>
          <w:right w:val="nil"/>
          <w:between w:val="nil"/>
          <w:bar w:val="nil"/>
        </w:pBdr>
        <w:spacing w:before="0" w:after="240"/>
        <w:rPr>
          <w:noProof/>
        </w:rPr>
      </w:pPr>
      <w:r>
        <w:rPr>
          <w:noProof/>
        </w:rPr>
        <w:t>De economische activiteiten die in de visserijsector in Senegal zouden worden gegenereerd, zouden bijdragen tot de bestrijding van de onderliggende oorzaken van irreguliere migratie, zij het op lokale schaal.</w:t>
      </w:r>
    </w:p>
    <w:p>
      <w:pPr>
        <w:pStyle w:val="ManualHeading1"/>
        <w:rPr>
          <w:noProof/>
        </w:rPr>
      </w:pPr>
      <w:r>
        <w:lastRenderedPageBreak/>
        <w:t>1.</w:t>
      </w:r>
      <w:r>
        <w:tab/>
      </w:r>
      <w:r>
        <w:rPr>
          <w:noProof/>
        </w:rPr>
        <w:t>RECHTSGRONDSLAG, SUBSIDIARITEIT EN EVENREDIGHEID</w:t>
      </w:r>
    </w:p>
    <w:p>
      <w:pPr>
        <w:pStyle w:val="ManualHeading2"/>
        <w:rPr>
          <w:rFonts w:eastAsia="Arial Unicode MS"/>
          <w:noProof/>
          <w:u w:color="000000"/>
          <w:bdr w:val="nil"/>
        </w:rPr>
      </w:pPr>
      <w:r>
        <w:rPr>
          <w:noProof/>
          <w:u w:color="000000"/>
          <w:bdr w:val="nil"/>
        </w:rPr>
        <w:t>•</w:t>
      </w:r>
      <w:r>
        <w:rPr>
          <w:noProof/>
          <w:u w:color="000000"/>
          <w:bdr w:val="nil"/>
        </w:rPr>
        <w:tab/>
        <w:t>Rechtsgrondslag</w:t>
      </w:r>
    </w:p>
    <w:p>
      <w:pPr>
        <w:spacing w:before="0" w:after="240"/>
        <w:rPr>
          <w:noProof/>
        </w:rPr>
      </w:pPr>
      <w:r>
        <w:rPr>
          <w:noProof/>
        </w:rPr>
        <w:t xml:space="preserve">De gekozen rechtsgrondslag is het Verdrag betreffende de werking van de Europese Unie, waar in artikel 43, lid 3, is bepaald dat de Raad op voorstel van de Commissie de verdeling van de vangstmogelijkheden vaststelt. </w:t>
      </w:r>
    </w:p>
    <w:p>
      <w:pPr>
        <w:pStyle w:val="ManualHeading2"/>
        <w:rPr>
          <w:rFonts w:eastAsia="Arial Unicode MS"/>
          <w:noProof/>
          <w:u w:color="000000"/>
          <w:bdr w:val="nil"/>
        </w:rPr>
      </w:pPr>
      <w:r>
        <w:rPr>
          <w:noProof/>
          <w:u w:color="000000"/>
          <w:bdr w:val="nil"/>
        </w:rPr>
        <w:t>•</w:t>
      </w:r>
      <w:r>
        <w:rPr>
          <w:noProof/>
          <w:u w:color="000000"/>
          <w:bdr w:val="nil"/>
        </w:rPr>
        <w:tab/>
        <w:t>Subsidiariteit (bij niet-exclusieve bevoegdheid)</w:t>
      </w:r>
    </w:p>
    <w:p>
      <w:pPr>
        <w:spacing w:before="0" w:after="240"/>
        <w:rPr>
          <w:noProof/>
        </w:rPr>
      </w:pPr>
      <w:r>
        <w:rPr>
          <w:noProof/>
        </w:rPr>
        <w:t xml:space="preserve">Het beleidsterrein is een exclusieve bevoegdheid van de Unie. </w:t>
      </w:r>
    </w:p>
    <w:p>
      <w:pPr>
        <w:pStyle w:val="ManualHeading1"/>
        <w:rPr>
          <w:noProof/>
        </w:rPr>
      </w:pPr>
      <w:r>
        <w:t>2.</w:t>
      </w:r>
      <w:r>
        <w:tab/>
      </w:r>
      <w:r>
        <w:rPr>
          <w:noProof/>
        </w:rPr>
        <w:t>EVALUATIE, RAADPLEGING VAN BELANGHEBBENDEN EN EFFECTBEOORDELING</w:t>
      </w:r>
    </w:p>
    <w:p>
      <w:pPr>
        <w:pStyle w:val="ManualHeading2"/>
        <w:rPr>
          <w:rFonts w:eastAsia="Arial Unicode MS"/>
          <w:noProof/>
          <w:u w:color="000000"/>
          <w:bdr w:val="nil"/>
        </w:rPr>
      </w:pPr>
      <w:r>
        <w:rPr>
          <w:noProof/>
          <w:u w:color="000000"/>
          <w:bdr w:val="nil"/>
        </w:rPr>
        <w:t>•</w:t>
      </w:r>
      <w:r>
        <w:rPr>
          <w:noProof/>
          <w:u w:color="000000"/>
          <w:bdr w:val="nil"/>
        </w:rPr>
        <w:tab/>
        <w:t>Evaluatie van bestaande wetgeving en controle van de resultaatgerichtheid ervan</w:t>
      </w:r>
    </w:p>
    <w:p>
      <w:pPr>
        <w:pBdr>
          <w:top w:val="nil"/>
          <w:left w:val="nil"/>
          <w:bottom w:val="nil"/>
          <w:right w:val="nil"/>
          <w:between w:val="nil"/>
          <w:bar w:val="nil"/>
        </w:pBdr>
        <w:spacing w:before="0" w:after="240"/>
        <w:rPr>
          <w:noProof/>
        </w:rPr>
      </w:pPr>
      <w:r>
        <w:rPr>
          <w:noProof/>
        </w:rPr>
        <w:t>De belanghebbenden zijn geraadpleegd in het kader van de ex-postevaluatie en de ex-ante-evaluatie betreffende een mogelijk nieuw protocol tussen de Unie en Senegal. Ook zijn in het kader van technische vergaderingen deskundigen uit de lidstaten en de sector geraadpleegd. Uit dit overleg is naar voren gekomen dat het voor de Unie en Senegal gunstig zou zijn een nieuw protocol bij de partnerschapsovereenkomst inzake visserij te sluiten.</w:t>
      </w:r>
    </w:p>
    <w:p>
      <w:pPr>
        <w:pStyle w:val="ManualHeading2"/>
        <w:rPr>
          <w:rFonts w:eastAsia="Arial Unicode MS"/>
          <w:noProof/>
          <w:u w:color="000000"/>
          <w:bdr w:val="nil"/>
        </w:rPr>
      </w:pPr>
      <w:r>
        <w:rPr>
          <w:noProof/>
          <w:u w:color="000000"/>
          <w:bdr w:val="nil"/>
        </w:rPr>
        <w:t>•</w:t>
      </w:r>
      <w:r>
        <w:rPr>
          <w:noProof/>
          <w:u w:color="000000"/>
          <w:bdr w:val="nil"/>
        </w:rPr>
        <w:tab/>
        <w:t>Raadpleging van belanghebbenden</w:t>
      </w:r>
    </w:p>
    <w:p>
      <w:pPr>
        <w:pBdr>
          <w:top w:val="nil"/>
          <w:left w:val="nil"/>
          <w:bottom w:val="nil"/>
          <w:right w:val="nil"/>
          <w:between w:val="nil"/>
          <w:bar w:val="nil"/>
        </w:pBdr>
        <w:spacing w:before="0" w:after="240"/>
        <w:rPr>
          <w:rFonts w:eastAsia="Arial Unicode MS"/>
          <w:noProof/>
        </w:rPr>
      </w:pPr>
      <w:r>
        <w:rPr>
          <w:noProof/>
        </w:rPr>
        <w:t>In het kader van de evaluatie is overlegd met de lidstaten, vertegenwoordigers van de sector en internationale middenveldorganisaties, alsook met de visserijautoriteiten in Senegal. Daarnaast heeft ook overleg plaatsgevonden in het kader van de adviesraad voor de volle zee.</w:t>
      </w:r>
    </w:p>
    <w:p>
      <w:pPr>
        <w:pStyle w:val="ManualHeading2"/>
        <w:rPr>
          <w:rFonts w:eastAsia="Arial Unicode MS"/>
          <w:noProof/>
          <w:u w:color="000000"/>
          <w:bdr w:val="nil"/>
        </w:rPr>
      </w:pPr>
      <w:r>
        <w:rPr>
          <w:noProof/>
          <w:u w:color="000000"/>
          <w:bdr w:val="nil"/>
        </w:rPr>
        <w:t>•</w:t>
      </w:r>
      <w:r>
        <w:rPr>
          <w:noProof/>
          <w:u w:color="000000"/>
          <w:bdr w:val="nil"/>
        </w:rPr>
        <w:tab/>
        <w:t>Bijeenbrengen en gebruik van expertise</w:t>
      </w:r>
    </w:p>
    <w:p>
      <w:pPr>
        <w:spacing w:before="0" w:after="240"/>
        <w:rPr>
          <w:noProof/>
        </w:rPr>
      </w:pPr>
      <w:r>
        <w:rPr>
          <w:noProof/>
        </w:rPr>
        <w:t xml:space="preserve">De Commissie heeft voor de evaluatie vooraf en achteraf een beroep gedaan op een onafhankelijke consultant, overeenkomstig artikel 31, lid 10, van de verordening inzake het gemeenschappelijk visserijbeleid. </w:t>
      </w:r>
    </w:p>
    <w:p>
      <w:pPr>
        <w:pStyle w:val="ManualHeading1"/>
        <w:rPr>
          <w:noProof/>
        </w:rPr>
      </w:pPr>
      <w:r>
        <w:t>3.</w:t>
      </w:r>
      <w:r>
        <w:tab/>
      </w:r>
      <w:r>
        <w:rPr>
          <w:noProof/>
        </w:rPr>
        <w:t>GEVOLGEN VOOR DE BEGROTING</w:t>
      </w:r>
    </w:p>
    <w:p>
      <w:pPr>
        <w:spacing w:before="0" w:after="240"/>
        <w:rPr>
          <w:noProof/>
        </w:rPr>
      </w:pPr>
      <w:r>
        <w:rPr>
          <w:noProof/>
        </w:rPr>
        <w:t>De ontwerpverordening heeft geen gevolgen voor de begroting van de Unie.</w:t>
      </w:r>
    </w:p>
    <w:p>
      <w:pPr>
        <w:pStyle w:val="ManualHeading1"/>
        <w:rPr>
          <w:noProof/>
        </w:rPr>
      </w:pPr>
      <w:r>
        <w:t>4.</w:t>
      </w:r>
      <w:r>
        <w:tab/>
      </w:r>
      <w:r>
        <w:rPr>
          <w:noProof/>
        </w:rPr>
        <w:t>OVERIGE ELEMENTEN</w:t>
      </w:r>
    </w:p>
    <w:p>
      <w:pPr>
        <w:pStyle w:val="ManualHeading2"/>
        <w:rPr>
          <w:rFonts w:eastAsia="Arial Unicode MS"/>
          <w:noProof/>
          <w:u w:color="000000"/>
          <w:bdr w:val="nil"/>
        </w:rPr>
      </w:pPr>
      <w:r>
        <w:rPr>
          <w:noProof/>
          <w:u w:color="000000"/>
          <w:bdr w:val="nil"/>
        </w:rPr>
        <w:t>•</w:t>
      </w:r>
      <w:r>
        <w:rPr>
          <w:noProof/>
          <w:u w:color="000000"/>
          <w:bdr w:val="nil"/>
        </w:rPr>
        <w:tab/>
        <w:t>Uitvoeringsplannen en regelingen voor monitoring, evaluatie en rapportage</w:t>
      </w:r>
    </w:p>
    <w:p>
      <w:pPr>
        <w:spacing w:before="0" w:after="240"/>
        <w:rPr>
          <w:noProof/>
        </w:rPr>
      </w:pPr>
      <w:r>
        <w:rPr>
          <w:noProof/>
        </w:rPr>
        <w:t xml:space="preserve">De onderhavige procedure loopt parallel aan de procedure met betrekking tot het besluit van de Raad betreffende de ondertekening, namens de Unie, van het protocol bij de partnerschapsovereenkomst inzake visserij tussen de Republiek Senegal en de Unie, en aan de procedure met betrekking tot het besluit van de Raad betreffende de sluiting van dat protocol. De onderhavige verordening moet van toepassing worden zodra de visserijactiviteiten krachtens de overeenkomst zijn toegestaan, dat wil zeggen op de datum van voorlopige toepassing van het protocol.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2019/0227 (NLE)</w:t>
      </w:r>
    </w:p>
    <w:p>
      <w:pPr>
        <w:pStyle w:val="Statut"/>
        <w:rPr>
          <w:noProof/>
        </w:rPr>
      </w:pPr>
      <w:r>
        <w:rPr>
          <w:noProof/>
        </w:rPr>
        <w:t>Voorstel voor een</w:t>
      </w:r>
    </w:p>
    <w:p>
      <w:pPr>
        <w:pStyle w:val="Typedudocument"/>
        <w:rPr>
          <w:noProof/>
        </w:rPr>
      </w:pPr>
      <w:r>
        <w:rPr>
          <w:noProof/>
        </w:rPr>
        <w:t>VERORDENING VAN DE RAAD</w:t>
      </w:r>
    </w:p>
    <w:p>
      <w:pPr>
        <w:pStyle w:val="Titreobjet"/>
        <w:rPr>
          <w:noProof/>
        </w:rPr>
      </w:pPr>
      <w:r>
        <w:rPr>
          <w:noProof/>
        </w:rPr>
        <w:t>betreffende de verdeling van de vangstmogelijkheden in het kader van het protocol tot uitvoering van de partnerschapsovereenkomst inzake visserij tussen de Republiek Senegal en de Europese Unie</w:t>
      </w:r>
    </w:p>
    <w:p>
      <w:pPr>
        <w:pStyle w:val="Institutionquiagit"/>
        <w:rPr>
          <w:noProof/>
        </w:rPr>
      </w:pPr>
      <w:r>
        <w:rPr>
          <w:noProof/>
        </w:rPr>
        <w:t>DE RAAD VAN DE EUROPESE UNIE,</w:t>
      </w:r>
    </w:p>
    <w:p>
      <w:pPr>
        <w:rPr>
          <w:noProof/>
        </w:rPr>
      </w:pPr>
      <w:r>
        <w:rPr>
          <w:noProof/>
        </w:rPr>
        <w:t>Gezien het Verdrag betreffende de werking van de Europese Unie, en met name artikel 43, lid 3,</w:t>
      </w:r>
    </w:p>
    <w:p>
      <w:pPr>
        <w:rPr>
          <w:noProof/>
        </w:rPr>
      </w:pPr>
      <w:r>
        <w:rPr>
          <w:noProof/>
        </w:rPr>
        <w:t>Gezien het voorstel van de Europese Commissie,</w:t>
      </w:r>
    </w:p>
    <w:p>
      <w:pPr>
        <w:rPr>
          <w:noProof/>
        </w:rPr>
      </w:pPr>
      <w:r>
        <w:rPr>
          <w:noProof/>
        </w:rPr>
        <w:t>Overwegende hetgeen volgt:</w:t>
      </w:r>
    </w:p>
    <w:p>
      <w:pPr>
        <w:pStyle w:val="ManualConsidrant"/>
        <w:rPr>
          <w:noProof/>
        </w:rPr>
      </w:pPr>
      <w:r>
        <w:t>(1)</w:t>
      </w:r>
      <w:r>
        <w:tab/>
      </w:r>
      <w:r>
        <w:rPr>
          <w:noProof/>
        </w:rPr>
        <w:t>Op 2 maart 2015 heeft de Raad Besluit (EU) 2015/384 betreffende de sluiting van de partnerschapsovereenkomst inzake duurzame visserij tussen de Europese Unie en de Republiek Senegal, en van het protocol voor de tenuitvoerlegging daarvan</w:t>
      </w:r>
      <w:r>
        <w:rPr>
          <w:rStyle w:val="FootnoteReference"/>
          <w:noProof/>
        </w:rPr>
        <w:footnoteReference w:id="3"/>
      </w:r>
      <w:r>
        <w:rPr>
          <w:noProof/>
        </w:rPr>
        <w:t xml:space="preserve"> (hierna “de overeenkomst”)</w:t>
      </w:r>
      <w:r>
        <w:rPr>
          <w:rStyle w:val="FootnoteReference"/>
          <w:noProof/>
        </w:rPr>
        <w:footnoteReference w:id="4"/>
      </w:r>
      <w:r>
        <w:rPr>
          <w:noProof/>
        </w:rPr>
        <w:t xml:space="preserve"> vastgesteld. Deze overeenkomst is op 20 november 2014 in werking getreden en is nog steeds van kracht.</w:t>
      </w:r>
    </w:p>
    <w:p>
      <w:pPr>
        <w:pStyle w:val="ManualConsidrant"/>
        <w:rPr>
          <w:noProof/>
        </w:rPr>
      </w:pPr>
      <w:r>
        <w:t>(2)</w:t>
      </w:r>
      <w:r>
        <w:tab/>
      </w:r>
      <w:r>
        <w:rPr>
          <w:noProof/>
        </w:rPr>
        <w:t>Het huidige protocol tot uitvoering van de overeenkomst loopt af op 19 november 2019.</w:t>
      </w:r>
    </w:p>
    <w:p>
      <w:pPr>
        <w:pStyle w:val="ManualConsidrant"/>
        <w:rPr>
          <w:noProof/>
        </w:rPr>
      </w:pPr>
      <w:r>
        <w:t>(3)</w:t>
      </w:r>
      <w:r>
        <w:tab/>
      </w:r>
      <w:r>
        <w:rPr>
          <w:noProof/>
        </w:rPr>
        <w:t>Overeenkomstig Besluit (EU) 2019/... van de Raad</w:t>
      </w:r>
      <w:r>
        <w:rPr>
          <w:rStyle w:val="FootnoteReference"/>
          <w:noProof/>
        </w:rPr>
        <w:footnoteReference w:id="5"/>
      </w:r>
      <w:r>
        <w:rPr>
          <w:noProof/>
        </w:rPr>
        <w:t xml:space="preserve"> is op 19 juli 2019 een nieuw protocol tot uitvoering van de overeenkomst (hierna “het protocol” genoemd) geparafeerd.</w:t>
      </w:r>
    </w:p>
    <w:p>
      <w:pPr>
        <w:pStyle w:val="ManualConsidrant"/>
        <w:rPr>
          <w:noProof/>
        </w:rPr>
      </w:pPr>
      <w:r>
        <w:t>(4)</w:t>
      </w:r>
      <w:r>
        <w:tab/>
      </w:r>
      <w:r>
        <w:rPr>
          <w:noProof/>
        </w:rPr>
        <w:t>De in het protocol vastgestelde vangstmogelijkheden moeten over de lidstaten worden verdeeld voor de volledige periode van toepassing van het protocol.</w:t>
      </w:r>
    </w:p>
    <w:p>
      <w:pPr>
        <w:pStyle w:val="ManualConsidrant"/>
        <w:rPr>
          <w:noProof/>
        </w:rPr>
      </w:pPr>
      <w:r>
        <w:t>(5)</w:t>
      </w:r>
      <w:r>
        <w:tab/>
      </w:r>
      <w:r>
        <w:rPr>
          <w:noProof/>
        </w:rPr>
        <w:t>Om ervoor te zorgen dat de vaartuigen van de Unie spoedig met hun visserijactiviteiten kunnen starten, is het protocol voorlopig van toepassing met ingang van de datum van de ondertekening ervan. Daarom moet deze verordening van toepassing worden met ingang van diezelfde datum,</w:t>
      </w:r>
    </w:p>
    <w:p>
      <w:pPr>
        <w:pStyle w:val="Formuledadoption"/>
        <w:rPr>
          <w:noProof/>
        </w:rPr>
      </w:pPr>
      <w:r>
        <w:rPr>
          <w:noProof/>
        </w:rPr>
        <w:t>HEEFT DE VOLGENDE VERORDENING VASTGESTELD:</w:t>
      </w:r>
    </w:p>
    <w:p>
      <w:pPr>
        <w:pStyle w:val="Titrearticle"/>
        <w:rPr>
          <w:noProof/>
        </w:rPr>
      </w:pPr>
      <w:r>
        <w:rPr>
          <w:noProof/>
        </w:rPr>
        <w:t>Artikel 1</w:t>
      </w:r>
    </w:p>
    <w:p>
      <w:pPr>
        <w:rPr>
          <w:noProof/>
        </w:rPr>
      </w:pPr>
      <w:r>
        <w:rPr>
          <w:noProof/>
        </w:rPr>
        <w:t>De vangstmogelijkheden die zijn vastgesteld op grond van het protocol tot uitvoering van de partnerschapsovereenkomst inzake visserij tussen de Republiek Senegal en de Europese Unie (hierna “het protocol” genoemd), worden als volgt over de lidstaten verdeeld:</w:t>
      </w:r>
    </w:p>
    <w:p>
      <w:pPr>
        <w:pStyle w:val="Point0"/>
        <w:rPr>
          <w:noProof/>
        </w:rPr>
      </w:pPr>
      <w:r>
        <w:lastRenderedPageBreak/>
        <w:t>(a)</w:t>
      </w:r>
      <w:r>
        <w:tab/>
      </w:r>
      <w:r>
        <w:rPr>
          <w:noProof/>
        </w:rPr>
        <w:t>vriesvaartuigen voor de tonijnvisserij met de zegen:</w:t>
      </w:r>
    </w:p>
    <w:p>
      <w:pPr>
        <w:ind w:left="130" w:firstLine="720"/>
        <w:rPr>
          <w:noProof/>
        </w:rPr>
      </w:pPr>
      <w:r>
        <w:rPr>
          <w:noProof/>
        </w:rPr>
        <w:t>Spanje:</w:t>
      </w:r>
      <w:r>
        <w:rPr>
          <w:noProof/>
        </w:rPr>
        <w:tab/>
      </w:r>
      <w:r>
        <w:rPr>
          <w:noProof/>
        </w:rPr>
        <w:tab/>
        <w:t>[16]</w:t>
      </w:r>
      <w:r>
        <w:rPr>
          <w:noProof/>
        </w:rPr>
        <w:tab/>
        <w:t>vaartuigen</w:t>
      </w:r>
    </w:p>
    <w:p>
      <w:pPr>
        <w:tabs>
          <w:tab w:val="left" w:pos="2160"/>
        </w:tabs>
        <w:rPr>
          <w:noProof/>
        </w:rPr>
      </w:pPr>
      <w:r>
        <w:rPr>
          <w:noProof/>
        </w:rPr>
        <w:t xml:space="preserve">              Frankrijk:</w:t>
      </w:r>
      <w:r>
        <w:rPr>
          <w:noProof/>
        </w:rPr>
        <w:tab/>
      </w:r>
      <w:r>
        <w:rPr>
          <w:noProof/>
        </w:rPr>
        <w:tab/>
        <w:t>[12]</w:t>
      </w:r>
      <w:r>
        <w:rPr>
          <w:noProof/>
        </w:rPr>
        <w:tab/>
        <w:t>vaartuigen</w:t>
      </w:r>
    </w:p>
    <w:p>
      <w:pPr>
        <w:pStyle w:val="Point0"/>
        <w:rPr>
          <w:noProof/>
        </w:rPr>
      </w:pPr>
      <w:r>
        <w:t>(b)</w:t>
      </w:r>
      <w:r>
        <w:tab/>
      </w:r>
      <w:r>
        <w:rPr>
          <w:noProof/>
        </w:rPr>
        <w:t xml:space="preserve">vaartuigen voor de hengelvisserij: </w:t>
      </w:r>
    </w:p>
    <w:p>
      <w:pPr>
        <w:ind w:left="130" w:firstLine="720"/>
        <w:rPr>
          <w:noProof/>
        </w:rPr>
      </w:pPr>
      <w:r>
        <w:rPr>
          <w:noProof/>
        </w:rPr>
        <w:t xml:space="preserve">Spanje: </w:t>
      </w:r>
      <w:r>
        <w:rPr>
          <w:noProof/>
        </w:rPr>
        <w:tab/>
      </w:r>
      <w:r>
        <w:rPr>
          <w:noProof/>
        </w:rPr>
        <w:tab/>
        <w:t>[8]</w:t>
      </w:r>
      <w:r>
        <w:rPr>
          <w:noProof/>
        </w:rPr>
        <w:tab/>
        <w:t>vaartuigen</w:t>
      </w:r>
    </w:p>
    <w:p>
      <w:pPr>
        <w:ind w:left="130" w:firstLine="720"/>
        <w:rPr>
          <w:noProof/>
        </w:rPr>
      </w:pPr>
      <w:r>
        <w:rPr>
          <w:noProof/>
        </w:rPr>
        <w:t xml:space="preserve">Frankrijk: </w:t>
      </w:r>
      <w:r>
        <w:rPr>
          <w:noProof/>
        </w:rPr>
        <w:tab/>
      </w:r>
      <w:r>
        <w:rPr>
          <w:noProof/>
        </w:rPr>
        <w:tab/>
        <w:t>[2]</w:t>
      </w:r>
      <w:r>
        <w:rPr>
          <w:noProof/>
        </w:rPr>
        <w:tab/>
        <w:t>vaartuigen</w:t>
      </w:r>
    </w:p>
    <w:p>
      <w:pPr>
        <w:pStyle w:val="Point0"/>
        <w:rPr>
          <w:noProof/>
        </w:rPr>
      </w:pPr>
      <w:r>
        <w:t>(c)</w:t>
      </w:r>
      <w:r>
        <w:tab/>
      </w:r>
      <w:r>
        <w:rPr>
          <w:noProof/>
        </w:rPr>
        <w:t>vaartuigen voor de visserij met de beug:</w:t>
      </w:r>
    </w:p>
    <w:p>
      <w:pPr>
        <w:ind w:left="130" w:firstLine="720"/>
        <w:rPr>
          <w:noProof/>
        </w:rPr>
      </w:pPr>
      <w:r>
        <w:rPr>
          <w:noProof/>
        </w:rPr>
        <w:t>Spanje:</w:t>
      </w:r>
      <w:r>
        <w:rPr>
          <w:noProof/>
        </w:rPr>
        <w:tab/>
      </w:r>
      <w:r>
        <w:rPr>
          <w:noProof/>
        </w:rPr>
        <w:tab/>
        <w:t>[3]</w:t>
      </w:r>
      <w:r>
        <w:rPr>
          <w:noProof/>
        </w:rPr>
        <w:tab/>
        <w:t>vaartuigen</w:t>
      </w:r>
    </w:p>
    <w:p>
      <w:pPr>
        <w:ind w:left="130" w:firstLine="720"/>
        <w:rPr>
          <w:noProof/>
        </w:rPr>
      </w:pPr>
      <w:r>
        <w:rPr>
          <w:noProof/>
        </w:rPr>
        <w:t>Portugal</w:t>
      </w:r>
      <w:r>
        <w:rPr>
          <w:noProof/>
        </w:rPr>
        <w:tab/>
      </w:r>
      <w:r>
        <w:rPr>
          <w:noProof/>
        </w:rPr>
        <w:tab/>
        <w:t>[2]</w:t>
      </w:r>
      <w:r>
        <w:rPr>
          <w:noProof/>
        </w:rPr>
        <w:tab/>
        <w:t>vaartuigen</w:t>
      </w:r>
    </w:p>
    <w:p>
      <w:pPr>
        <w:pStyle w:val="Point0"/>
        <w:rPr>
          <w:noProof/>
        </w:rPr>
      </w:pPr>
      <w:r>
        <w:t>(d)</w:t>
      </w:r>
      <w:r>
        <w:tab/>
      </w:r>
      <w:r>
        <w:rPr>
          <w:noProof/>
        </w:rPr>
        <w:t xml:space="preserve">trawlers: </w:t>
      </w:r>
    </w:p>
    <w:p>
      <w:pPr>
        <w:ind w:left="130" w:firstLine="720"/>
        <w:rPr>
          <w:noProof/>
        </w:rPr>
      </w:pPr>
      <w:r>
        <w:rPr>
          <w:noProof/>
        </w:rPr>
        <w:t xml:space="preserve">Spanje: </w:t>
      </w:r>
      <w:r>
        <w:rPr>
          <w:noProof/>
        </w:rPr>
        <w:tab/>
      </w:r>
      <w:r>
        <w:rPr>
          <w:noProof/>
        </w:rPr>
        <w:tab/>
        <w:t>[2]</w:t>
      </w:r>
      <w:r>
        <w:rPr>
          <w:noProof/>
        </w:rPr>
        <w:tab/>
        <w:t>vaartuigen</w:t>
      </w:r>
    </w:p>
    <w:p>
      <w:pPr>
        <w:ind w:left="130" w:firstLine="720"/>
        <w:rPr>
          <w:noProof/>
        </w:rPr>
      </w:pPr>
    </w:p>
    <w:p>
      <w:pPr>
        <w:jc w:val="center"/>
        <w:rPr>
          <w:i/>
          <w:noProof/>
        </w:rPr>
      </w:pPr>
      <w:r>
        <w:rPr>
          <w:i/>
          <w:noProof/>
        </w:rPr>
        <w:t>Artikel 2</w:t>
      </w:r>
    </w:p>
    <w:p>
      <w:pPr>
        <w:rPr>
          <w:noProof/>
        </w:rPr>
      </w:pPr>
      <w:r>
        <w:rPr>
          <w:noProof/>
        </w:rPr>
        <w:t xml:space="preserve">Deze verordening treedt in werking op de dag na die van de bekendmaking ervan in het </w:t>
      </w:r>
      <w:r>
        <w:rPr>
          <w:i/>
          <w:noProof/>
        </w:rPr>
        <w:t>Publicatieblad van de Europese Unie</w:t>
      </w:r>
      <w:r>
        <w:rPr>
          <w:noProof/>
        </w:rPr>
        <w:t>.</w:t>
      </w:r>
    </w:p>
    <w:p>
      <w:pPr>
        <w:rPr>
          <w:noProof/>
        </w:rPr>
      </w:pPr>
      <w:r>
        <w:rPr>
          <w:noProof/>
        </w:rPr>
        <w:t>Zij is van toepassing met ingang van de datum van toepassing van het protocol.</w:t>
      </w:r>
    </w:p>
    <w:p>
      <w:pPr>
        <w:pStyle w:val="Applicationdirecte"/>
        <w:rPr>
          <w:noProof/>
        </w:rPr>
      </w:pPr>
      <w:r>
        <w:rPr>
          <w:noProof/>
        </w:rPr>
        <w:t>Deze verordening is verbindend in al haar onderdelen en is rechtstreeks toepasselijk in elke lidstaat.</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nl-BE"/>
        </w:rPr>
      </w:pPr>
      <w:r>
        <w:rPr>
          <w:rStyle w:val="FootnoteReference"/>
        </w:rPr>
        <w:footnoteRef/>
      </w:r>
      <w:r>
        <w:rPr>
          <w:lang w:val="nl-BE"/>
        </w:rPr>
        <w:tab/>
        <w:t>Goedgekeurd tijdens de Raad Landbouw en Visserij van 15 juli 2019.</w:t>
      </w:r>
    </w:p>
  </w:footnote>
  <w:footnote w:id="2">
    <w:p>
      <w:pPr>
        <w:pStyle w:val="FootnoteText"/>
        <w:rPr>
          <w:lang w:val="nl-BE"/>
        </w:rPr>
      </w:pPr>
      <w:r>
        <w:rPr>
          <w:rStyle w:val="FootnoteReference"/>
        </w:rPr>
        <w:footnoteRef/>
      </w:r>
      <w:r>
        <w:rPr>
          <w:lang w:val="nl-BE"/>
        </w:rPr>
        <w:tab/>
        <w:t>PB L 354 van 28.12.2013, blz. 22.</w:t>
      </w:r>
    </w:p>
  </w:footnote>
  <w:footnote w:id="3">
    <w:p>
      <w:pPr>
        <w:pStyle w:val="FootnoteText"/>
        <w:rPr>
          <w:lang w:val="nl-BE"/>
        </w:rPr>
      </w:pPr>
      <w:r>
        <w:rPr>
          <w:rStyle w:val="FootnoteReference"/>
        </w:rPr>
        <w:footnoteRef/>
      </w:r>
      <w:r>
        <w:rPr>
          <w:lang w:val="nl-BE"/>
        </w:rPr>
        <w:tab/>
        <w:t>Besluit (EU) 2015/384 van de Raad van 2 maart 2015 betreffende de sluiting van de partnerschapsovereenkomst inzake duurzame visserij tussen de Europese Unie en de Republiek Senegal, en van het protocol voor de tenuitvoerlegging daarvan (PB L 65 van 10.3.2015, blz. 1).</w:t>
      </w:r>
    </w:p>
  </w:footnote>
  <w:footnote w:id="4">
    <w:p>
      <w:pPr>
        <w:pStyle w:val="FootnoteText"/>
        <w:rPr>
          <w:lang w:val="nl-BE"/>
        </w:rPr>
      </w:pPr>
      <w:r>
        <w:rPr>
          <w:rStyle w:val="FootnoteReference"/>
        </w:rPr>
        <w:footnoteRef/>
      </w:r>
      <w:r>
        <w:rPr>
          <w:lang w:val="nl-BE"/>
        </w:rPr>
        <w:tab/>
        <w:t>Partnerschapsovereenkomst inzake duurzame visserij tussen de Europese Unie en de Republiek Senegal (PB L 304 van 23.10.2014, blz. 3).</w:t>
      </w:r>
    </w:p>
  </w:footnote>
  <w:footnote w:id="5">
    <w:p>
      <w:pPr>
        <w:pStyle w:val="FootnoteText"/>
        <w:ind w:left="0" w:firstLine="0"/>
      </w:pPr>
      <w:r>
        <w:rPr>
          <w:rStyle w:val="FootnoteReference"/>
        </w:rPr>
        <w:footnoteRef/>
      </w:r>
      <w:r>
        <w:rPr>
          <w:lang w:val="nl-BE"/>
        </w:rPr>
        <w:tab/>
        <w:t xml:space="preserve">Besluit (EU) 2019/... van de Raad van … … </w:t>
      </w:r>
      <w:r>
        <w:t>(PB L ... van ..., blz.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B071C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60BA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42FB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DB88E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9367D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8"/>
    <w:multiLevelType w:val="singleLevel"/>
    <w:tmpl w:val="A89865CA"/>
    <w:lvl w:ilvl="0">
      <w:start w:val="1"/>
      <w:numFmt w:val="decimal"/>
      <w:pStyle w:val="ListNumber"/>
      <w:lvlText w:val="%1."/>
      <w:lvlJc w:val="left"/>
      <w:pPr>
        <w:tabs>
          <w:tab w:val="num" w:pos="360"/>
        </w:tabs>
        <w:ind w:left="360" w:hanging="360"/>
      </w:pPr>
    </w:lvl>
  </w:abstractNum>
  <w:abstractNum w:abstractNumId="6">
    <w:nsid w:val="FFFFFF89"/>
    <w:multiLevelType w:val="singleLevel"/>
    <w:tmpl w:val="22E4FDCC"/>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num>
  <w:num w:numId="2">
    <w:abstractNumId w:val="17"/>
    <w:lvlOverride w:ilvl="0">
      <w:startOverride w:val="1"/>
    </w:lvlOverride>
  </w:num>
  <w:num w:numId="3">
    <w:abstractNumId w:val="6"/>
  </w:num>
  <w:num w:numId="4">
    <w:abstractNumId w:val="4"/>
  </w:num>
  <w:num w:numId="5">
    <w:abstractNumId w:val="3"/>
  </w:num>
  <w:num w:numId="6">
    <w:abstractNumId w:val="5"/>
  </w:num>
  <w:num w:numId="7">
    <w:abstractNumId w:val="2"/>
  </w:num>
  <w:num w:numId="8">
    <w:abstractNumId w:val="1"/>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17"/>
  </w:num>
  <w:num w:numId="14">
    <w:abstractNumId w:val="11"/>
  </w:num>
  <w:num w:numId="15">
    <w:abstractNumId w:val="19"/>
  </w:num>
  <w:num w:numId="16">
    <w:abstractNumId w:val="10"/>
  </w:num>
  <w:num w:numId="17">
    <w:abstractNumId w:val="12"/>
  </w:num>
  <w:num w:numId="18">
    <w:abstractNumId w:val="8"/>
  </w:num>
  <w:num w:numId="19">
    <w:abstractNumId w:val="18"/>
  </w:num>
  <w:num w:numId="20">
    <w:abstractNumId w:val="7"/>
  </w:num>
  <w:num w:numId="21">
    <w:abstractNumId w:val="13"/>
  </w:num>
  <w:num w:numId="22">
    <w:abstractNumId w:val="15"/>
  </w:num>
  <w:num w:numId="23">
    <w:abstractNumId w:val="16"/>
  </w:num>
  <w:num w:numId="24">
    <w:abstractNumId w:val="9"/>
  </w:num>
  <w:num w:numId="25">
    <w:abstractNumId w:val="14"/>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19 08:16:4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6FAC845-E7E6-4DC8-A802-5D54DC78A85E"/>
    <w:docVar w:name="LW_COVERPAGE_TYPE" w:val="1"/>
    <w:docVar w:name="LW_CROSSREFERENCE" w:val="&lt;UNUSED&gt;"/>
    <w:docVar w:name="LW_DocType" w:val="COM"/>
    <w:docVar w:name="LW_EMISSION" w:val="17.10.2019"/>
    <w:docVar w:name="LW_EMISSION_ISODATE" w:val="2019-10-17"/>
    <w:docVar w:name="LW_EMISSION_LOCATION" w:val="BRX"/>
    <w:docVar w:name="LW_EMISSION_PREFIX" w:val="Brussel,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227"/>
    <w:docVar w:name="LW_REF.II.NEW.CP_YEAR" w:val="2019"/>
    <w:docVar w:name="LW_REF.INST.NEW" w:val="COM"/>
    <w:docVar w:name="LW_REF.INST.NEW_ADOPTED" w:val="final"/>
    <w:docVar w:name="LW_REF.INST.NEW_TEXT" w:val="(2019) 4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betreffende de verdeling van de vangstmogelijkheden in het kader van het protocol tot uitvoering van de partnerschapsovereenkomst inzake visserij tussen de Republiek Senegal en de Europese Unie"/>
    <w:docVar w:name="LW_TYPE.DOC.CP" w:val="VERORDENING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lang w:eastAsia="fr-FR" w:bidi="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lang w:eastAsia="fr-FR" w:bidi="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9D32F05-1A78-416C-B83E-38937674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Pages>
  <Words>1099</Words>
  <Characters>6446</Characters>
  <Application>Microsoft Office Word</Application>
  <DocSecurity>0</DocSecurity>
  <Lines>131</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2019-09-13T10:10:00Z</cp:lastPrinted>
  <dcterms:created xsi:type="dcterms:W3CDTF">2019-10-18T14:20:00Z</dcterms:created>
  <dcterms:modified xsi:type="dcterms:W3CDTF">2019-10-19T06:16:00Z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