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4FBED04-A2F4-4B82-B0CE-07DBDF6F5809" style="width:450.75pt;height:429.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b/>
          <w:noProof/>
          <w:sz w:val="24"/>
          <w:szCs w:val="24"/>
        </w:rPr>
      </w:pPr>
      <w:bookmarkStart w:id="1" w:name="_GoBack"/>
      <w:bookmarkEnd w:id="1"/>
      <w:r>
        <w:rPr>
          <w:rFonts w:ascii="Times New Roman" w:hAnsi="Times New Roman"/>
          <w:b/>
          <w:noProof/>
          <w:sz w:val="24"/>
          <w:szCs w:val="24"/>
        </w:rPr>
        <w:lastRenderedPageBreak/>
        <w:t>RAPORTUL COMISIEI CĂTRE PARLAMENTUL EUROPEAN</w:t>
      </w:r>
    </w:p>
    <w:p>
      <w:pPr>
        <w:spacing w:line="240" w:lineRule="auto"/>
        <w:jc w:val="center"/>
        <w:rPr>
          <w:rFonts w:ascii="Times New Roman" w:hAnsi="Times New Roman"/>
          <w:b/>
          <w:noProof/>
          <w:sz w:val="24"/>
          <w:szCs w:val="24"/>
        </w:rPr>
      </w:pPr>
      <w:r>
        <w:rPr>
          <w:rFonts w:ascii="Times New Roman" w:hAnsi="Times New Roman"/>
          <w:b/>
          <w:noProof/>
          <w:sz w:val="24"/>
          <w:szCs w:val="24"/>
        </w:rPr>
        <w:t>ȘI CONSILIU</w:t>
      </w:r>
    </w:p>
    <w:p>
      <w:pPr>
        <w:spacing w:line="240" w:lineRule="auto"/>
        <w:jc w:val="center"/>
        <w:rPr>
          <w:rFonts w:ascii="Times New Roman" w:hAnsi="Times New Roman" w:cs="Times New Roman"/>
          <w:b/>
          <w:noProof/>
          <w:sz w:val="24"/>
          <w:szCs w:val="24"/>
        </w:rPr>
      </w:pPr>
      <w:r>
        <w:rPr>
          <w:rFonts w:ascii="Times New Roman" w:hAnsi="Times New Roman"/>
          <w:b/>
          <w:noProof/>
          <w:sz w:val="24"/>
          <w:szCs w:val="24"/>
        </w:rPr>
        <w:t xml:space="preserve">privind exercitarea competenței de a adopta acte delegate conferită Comisiei în temeiul Regulamentului (UE) 2015/1017 al Parlamentului European și al Consiliului din 25 iunie 2015 privind Fondul european pentru investiții strategice, Platforma europeană de consiliere în materie de investiții și Portalul european de proiecte de investiții și de modificare a Regulamentelor (UE) nr. 1291/2013 și (UE) nr. 1316/2013 – Fondul european pentru investiții strategice, astfel cum a fost modificat prin Regulamentul (UE) 2017/2396 al Parlamentului European și al Consiliului din 13 decembrie 2017 de modificare a Regulamentelor (UE) nr. 1316/2013 și (UE) 2015/1017 în ceea ce privește prelungirea duratei Fondului european pentru investiții strategice și introducerea unor îmbunătățiri tehnice ale fondului și ale Platformei europene de consiliere în materie de investiții </w:t>
      </w:r>
    </w:p>
    <w:p>
      <w:pPr>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sz w:val="24"/>
          <w:szCs w:val="24"/>
        </w:rPr>
        <w:t xml:space="preserve">1. </w:t>
      </w:r>
      <w:r>
        <w:rPr>
          <w:rFonts w:ascii="Times New Roman" w:hAnsi="Times New Roman"/>
          <w:b/>
          <w:noProof/>
          <w:sz w:val="24"/>
          <w:szCs w:val="24"/>
        </w:rPr>
        <w:tab/>
        <w:t>INTRODUCERE</w:t>
      </w:r>
    </w:p>
    <w:p>
      <w:pPr>
        <w:jc w:val="both"/>
        <w:rPr>
          <w:rFonts w:ascii="Times New Roman" w:hAnsi="Times New Roman" w:cs="Times New Roman"/>
          <w:noProof/>
          <w:sz w:val="24"/>
          <w:szCs w:val="24"/>
        </w:rPr>
      </w:pPr>
      <w:r>
        <w:rPr>
          <w:rFonts w:ascii="Times New Roman" w:hAnsi="Times New Roman"/>
          <w:noProof/>
          <w:sz w:val="24"/>
          <w:szCs w:val="24"/>
        </w:rPr>
        <w:t>Regulamentul (UE) 2015/1017 al Parlamentului European și al Consiliului, astfel cum a fost modificat prin Regulamentul (UE) 2017/2396, instituie Fondul european pentru investiții strategice (FEIS), garanția UE și fondul de garantare al UE, cu scopul de a mobiliza, până la sfârșitul anului 2020, noi investiții publice și private în economia reală în valoare de până la 500 de miliarde EUR, obiectivul investițiilor fiind crearea de locuri de muncă.</w:t>
      </w:r>
    </w:p>
    <w:p>
      <w:pPr>
        <w:jc w:val="both"/>
        <w:rPr>
          <w:rFonts w:ascii="Times New Roman" w:hAnsi="Times New Roman"/>
          <w:noProof/>
          <w:sz w:val="24"/>
          <w:szCs w:val="24"/>
        </w:rPr>
      </w:pPr>
      <w:r>
        <w:rPr>
          <w:rFonts w:ascii="Times New Roman" w:hAnsi="Times New Roman"/>
          <w:noProof/>
          <w:sz w:val="24"/>
          <w:szCs w:val="24"/>
        </w:rPr>
        <w:t>În vederea atingerii obiectivelor stabilite, Regulamentul (UE) 2015/1017 al Parlamentului European și al Consiliului îi conferă Comisiei competența de a adopta acte delegate în mai multe privințe, enumerate la articolul 23 alineatul (2) din Regulamentul (UE) 2015/1017 al Parlamentului European și al Consiliului, astfel cum a fost modificat prin Regulamentul (UE) 2017/2396, și sub rezerva condițiilor prevăzute la acest articol, în conformitate cu articolul 290 din TFUE.</w:t>
      </w:r>
    </w:p>
    <w:p>
      <w:pPr>
        <w:jc w:val="both"/>
        <w:rPr>
          <w:rFonts w:ascii="Times New Roman" w:hAnsi="Times New Roman"/>
          <w:b/>
          <w:noProof/>
          <w:sz w:val="24"/>
          <w:szCs w:val="24"/>
        </w:rPr>
      </w:pPr>
      <w:r>
        <w:rPr>
          <w:rFonts w:ascii="Times New Roman" w:hAnsi="Times New Roman"/>
          <w:b/>
          <w:noProof/>
          <w:sz w:val="24"/>
          <w:szCs w:val="24"/>
        </w:rPr>
        <w:t xml:space="preserve">2. </w:t>
      </w:r>
      <w:r>
        <w:rPr>
          <w:rFonts w:ascii="Times New Roman" w:hAnsi="Times New Roman"/>
          <w:b/>
          <w:noProof/>
          <w:sz w:val="24"/>
          <w:szCs w:val="24"/>
        </w:rPr>
        <w:tab/>
        <w:t>TEMEIUL JURIDIC</w:t>
      </w:r>
    </w:p>
    <w:p>
      <w:pPr>
        <w:jc w:val="both"/>
        <w:rPr>
          <w:rFonts w:ascii="Times New Roman" w:hAnsi="Times New Roman"/>
          <w:noProof/>
          <w:sz w:val="24"/>
          <w:szCs w:val="24"/>
        </w:rPr>
      </w:pPr>
      <w:r>
        <w:rPr>
          <w:rFonts w:ascii="Times New Roman" w:hAnsi="Times New Roman"/>
          <w:noProof/>
          <w:sz w:val="24"/>
          <w:szCs w:val="24"/>
        </w:rPr>
        <w:t>Articolul 7 alineatele (13) și (14) din Regulamentul (UE) 2015/1017 al Parlamentului European și al Consiliului, astfel cum a fost modificat prin Regulamentul (UE) 2017/2396, conferă Comisiei competența de a adopta acte delegate în condițiile prevăzute la articolul 23. Articolul 23 conferă Comisiei competența de a adopta acte delegate privind aspectele enumerate la acest articol pentru o perioadă de cinci ani începând de la data de 4 iulie 2015. În plus, articolul respectiv impune Comisiei obligația de a întocmi un raport cu privire la delegarea de competențe cel târziu cu nouă luni înainte de încheierea perioadei de cinci ani.</w:t>
      </w:r>
    </w:p>
    <w:p>
      <w:pPr>
        <w:jc w:val="both"/>
        <w:rPr>
          <w:rFonts w:ascii="Times New Roman" w:hAnsi="Times New Roman"/>
          <w:noProof/>
          <w:sz w:val="24"/>
          <w:szCs w:val="24"/>
        </w:rPr>
      </w:pPr>
      <w:r>
        <w:rPr>
          <w:rFonts w:ascii="Times New Roman" w:hAnsi="Times New Roman"/>
          <w:noProof/>
          <w:sz w:val="24"/>
          <w:szCs w:val="24"/>
        </w:rPr>
        <w:t>Competențele delegate se prelungesc tacit cu o perioadă de timp identică, cu excepția cazului în care Parlamentul European sau Consiliul se opune prelungirii respective cu cel puțin trei luni înainte de încheierea fiecărei perioade.</w:t>
      </w:r>
    </w:p>
    <w:p>
      <w:pPr>
        <w:jc w:val="both"/>
        <w:rPr>
          <w:rFonts w:ascii="Times New Roman" w:hAnsi="Times New Roman"/>
          <w:noProof/>
          <w:sz w:val="24"/>
          <w:szCs w:val="24"/>
        </w:rPr>
      </w:pPr>
      <w:r>
        <w:rPr>
          <w:rFonts w:ascii="Times New Roman" w:hAnsi="Times New Roman"/>
          <w:noProof/>
          <w:sz w:val="24"/>
          <w:szCs w:val="24"/>
        </w:rPr>
        <w:lastRenderedPageBreak/>
        <w:t xml:space="preserve">Competența de a adopta acte delegate este conferită Comisiei în condițiile prevăzute la articolul 23 din Regulamentul (UE) 2015/1017. Ea poate fi revocată în orice moment de către Parlamentul European sau de către Consiliu. </w:t>
      </w:r>
    </w:p>
    <w:p>
      <w:pPr>
        <w:jc w:val="both"/>
        <w:rPr>
          <w:noProof/>
          <w:sz w:val="24"/>
          <w:szCs w:val="24"/>
        </w:rPr>
      </w:pPr>
      <w:r>
        <w:rPr>
          <w:rFonts w:ascii="Times New Roman" w:hAnsi="Times New Roman"/>
          <w:noProof/>
          <w:sz w:val="24"/>
          <w:szCs w:val="24"/>
        </w:rPr>
        <w:t>Regulamentul (UE) 2015/1017 abilitează Comisia să adopte acte delegate cu privire la următoarele aspecte:</w:t>
      </w:r>
    </w:p>
    <w:p>
      <w:pPr>
        <w:pStyle w:val="CM3"/>
        <w:spacing w:before="60" w:after="60"/>
        <w:rPr>
          <w:rFonts w:cs="EUAlbertina"/>
          <w:noProof/>
          <w:color w:val="000000"/>
        </w:rPr>
      </w:pPr>
    </w:p>
    <w:p>
      <w:pPr>
        <w:numPr>
          <w:ilvl w:val="0"/>
          <w:numId w:val="1"/>
        </w:numPr>
        <w:jc w:val="both"/>
        <w:rPr>
          <w:rFonts w:ascii="Times New Roman" w:hAnsi="Times New Roman"/>
          <w:noProof/>
          <w:sz w:val="24"/>
          <w:szCs w:val="24"/>
        </w:rPr>
      </w:pPr>
      <w:r>
        <w:rPr>
          <w:rFonts w:ascii="Times New Roman" w:hAnsi="Times New Roman"/>
          <w:noProof/>
          <w:sz w:val="24"/>
          <w:szCs w:val="24"/>
        </w:rPr>
        <w:t>modificarea elementelor neesențiale cuprinse în secțiunile 6-8 din orientările privind investițiile prevăzute în anexa II la Regulamentul (UE) 2015/1017, fără a elimina complet niciuna dintre secțiunile respective. Actele delegate de acest tip trebuie elaborate în strânsă colaborare cu BEI [articolul 7 alineatul (13) din Regulamentul (UE) 2015/1017, astfel cum a fost modificat prin Regulamentul (UE) 2017/2396];</w:t>
      </w:r>
    </w:p>
    <w:p>
      <w:pPr>
        <w:numPr>
          <w:ilvl w:val="0"/>
          <w:numId w:val="1"/>
        </w:numPr>
        <w:jc w:val="both"/>
        <w:rPr>
          <w:rFonts w:ascii="Times New Roman" w:hAnsi="Times New Roman"/>
          <w:noProof/>
          <w:sz w:val="24"/>
          <w:szCs w:val="24"/>
        </w:rPr>
      </w:pPr>
      <w:r>
        <w:rPr>
          <w:rFonts w:ascii="Times New Roman" w:hAnsi="Times New Roman"/>
          <w:noProof/>
          <w:sz w:val="24"/>
          <w:szCs w:val="24"/>
        </w:rPr>
        <w:t>completarea Regulamentului (UE) 2015/1017 prin stabilirea unui tablou de bord al indicatorilor care să fie utilizat de Comitetul pentru investiții cu scopul de a efectua o evaluare independentă și transparentă a utilizării potențiale și efective a garanției UE. Actele delegate de acest tip trebuie elaborate în strânsă colaborare cu BEI [articolul 7 alineatul (14) din Regulamentul (UE) 2015/1017, astfel cum a fost modificat prin Regulamentul (UE) 2017/2396].</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szCs w:val="24"/>
        </w:rPr>
        <w:t>Imediat ce adoptă un act delegat, Comisia trebuie să îl notifice simultan Parlamentului European și Consiliului [articolul 23 alineatul (3) din Regulamentul (UE) 2015/1017].</w:t>
      </w:r>
    </w:p>
    <w:p>
      <w:pPr>
        <w:jc w:val="both"/>
        <w:rPr>
          <w:rFonts w:ascii="Times New Roman" w:hAnsi="Times New Roman"/>
          <w:noProof/>
          <w:sz w:val="24"/>
          <w:szCs w:val="24"/>
        </w:rPr>
      </w:pPr>
      <w:r>
        <w:rPr>
          <w:rFonts w:ascii="Times New Roman" w:hAnsi="Times New Roman"/>
          <w:noProof/>
          <w:sz w:val="24"/>
          <w:szCs w:val="24"/>
        </w:rPr>
        <w:t xml:space="preserve">În conformitate cu articolul 23 alineatul (4) din Regulamentul (UE) 2015/1017, un act delegat adoptat în temeiul articolului 7 alineatul (13) intră în vigoare numai dacă nici Parlamentul European, nici Consiliul nu au formulat obiecții în termen de o lună de la notificarea actului către Parlamentul European și Consiliu sau dacă, înaintea expirării termenului respectiv, atât Parlamentul European, cât și Consiliul au informat Comisia că nu vor formula obiecții. Termenul respectiv se prelungește cu o lună la inițiativa Parlamentului European sau a Consiliului. </w:t>
      </w:r>
    </w:p>
    <w:p>
      <w:pPr>
        <w:jc w:val="both"/>
        <w:rPr>
          <w:rFonts w:ascii="Times New Roman" w:hAnsi="Times New Roman"/>
          <w:noProof/>
          <w:sz w:val="24"/>
          <w:szCs w:val="24"/>
        </w:rPr>
      </w:pPr>
      <w:r>
        <w:rPr>
          <w:rFonts w:ascii="Times New Roman" w:hAnsi="Times New Roman"/>
          <w:noProof/>
          <w:sz w:val="24"/>
          <w:szCs w:val="24"/>
        </w:rPr>
        <w:t xml:space="preserve">În conformitate cu articolul 23 alineatul (5) din Regulamentul (UE) 2015/1017, un act delegat adoptat în temeiul articolului 7 alineatul (14) intră în vigoare numai dacă nici Parlamentul European, nici Consiliul nu au formulat obiecții în termen de trei săptămâni de la notificarea actului către Parlamentul European și Consiliu sau dacă, înaintea expirării termenului respectiv, atât Parlamentul European, cât și Consiliul au informat Comisia că nu vor formula obiecții. Termenul respectiv se prelungește cu trei săptămâni la inițiativa Parlamentului European sau a Consiliului. </w:t>
      </w:r>
    </w:p>
    <w:p>
      <w:pPr>
        <w:jc w:val="both"/>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sz w:val="24"/>
          <w:szCs w:val="24"/>
        </w:rPr>
        <w:t>3.</w:t>
      </w:r>
      <w:r>
        <w:rPr>
          <w:rFonts w:ascii="Times New Roman" w:hAnsi="Times New Roman"/>
          <w:b/>
          <w:noProof/>
          <w:sz w:val="24"/>
          <w:szCs w:val="24"/>
        </w:rPr>
        <w:tab/>
        <w:t>EXERCITAREA DELEGĂRII DE COMPETENȚE</w:t>
      </w:r>
    </w:p>
    <w:p>
      <w:pPr>
        <w:jc w:val="both"/>
        <w:rPr>
          <w:rFonts w:ascii="Times New Roman" w:hAnsi="Times New Roman"/>
          <w:b/>
          <w:noProof/>
          <w:sz w:val="24"/>
          <w:szCs w:val="24"/>
        </w:rPr>
      </w:pPr>
      <w:r>
        <w:rPr>
          <w:rFonts w:ascii="Times New Roman" w:hAnsi="Times New Roman"/>
          <w:b/>
          <w:noProof/>
          <w:sz w:val="24"/>
          <w:szCs w:val="24"/>
        </w:rPr>
        <w:t>3.1 Actul delegat adoptat</w:t>
      </w:r>
    </w:p>
    <w:p>
      <w:pPr>
        <w:jc w:val="both"/>
        <w:rPr>
          <w:rFonts w:ascii="Times New Roman" w:hAnsi="Times New Roman" w:cs="Times New Roman"/>
          <w:bCs/>
          <w:noProof/>
          <w:sz w:val="24"/>
          <w:szCs w:val="24"/>
        </w:rPr>
      </w:pPr>
      <w:r>
        <w:rPr>
          <w:rFonts w:ascii="Times New Roman" w:hAnsi="Times New Roman"/>
          <w:bCs/>
          <w:noProof/>
          <w:sz w:val="24"/>
          <w:szCs w:val="24"/>
        </w:rPr>
        <w:lastRenderedPageBreak/>
        <w:t xml:space="preserve">În perioada de referință, Comisia și-a exercitat următoarele competențe delegate: </w:t>
      </w:r>
    </w:p>
    <w:p>
      <w:pPr>
        <w:jc w:val="both"/>
        <w:rPr>
          <w:rFonts w:ascii="Times New Roman" w:hAnsi="Times New Roman" w:cs="Times New Roman"/>
          <w:noProof/>
          <w:sz w:val="24"/>
          <w:szCs w:val="24"/>
        </w:rPr>
      </w:pPr>
      <w:r>
        <w:rPr>
          <w:rFonts w:ascii="Times New Roman" w:hAnsi="Times New Roman"/>
          <w:noProof/>
          <w:sz w:val="24"/>
          <w:szCs w:val="24"/>
        </w:rPr>
        <w:t xml:space="preserve">Pe baza articolului7 alineatul (14) din Regulamentul (UE) 2015/1017, a fost adoptat un regulament delegat al Comisiei de stabilire a unui tablou de bord al indicatorilor care să fie utilizat de Comitetul pentru investiții cu scopul de a efectua o evaluare independentă și transparentă a utilizării potențiale și efective a garanției UE. </w:t>
      </w:r>
    </w:p>
    <w:p>
      <w:pPr>
        <w:jc w:val="both"/>
        <w:rPr>
          <w:rFonts w:ascii="Times New Roman" w:hAnsi="Times New Roman" w:cs="Times New Roman"/>
          <w:noProof/>
          <w:sz w:val="24"/>
          <w:szCs w:val="24"/>
        </w:rPr>
      </w:pPr>
      <w:r>
        <w:rPr>
          <w:rFonts w:ascii="Times New Roman" w:hAnsi="Times New Roman"/>
          <w:noProof/>
          <w:color w:val="444444"/>
          <w:sz w:val="24"/>
          <w:szCs w:val="24"/>
        </w:rPr>
        <w:t>Regulamentul delegat (UE) 2015/1558 al Comisiei de completare a Regulamentului (UE) 2015/1017 al Parlamentului European și al Consiliului, prin stabilirea unui tablou de bord al indicatorilor pentru aplicarea garanției UE</w:t>
      </w:r>
      <w:r>
        <w:rPr>
          <w:rFonts w:ascii="Times New Roman" w:hAnsi="Times New Roman"/>
          <w:noProof/>
          <w:sz w:val="24"/>
          <w:szCs w:val="24"/>
        </w:rPr>
        <w:t xml:space="preserve"> a fost adoptat la 22 iulie 2015. </w:t>
      </w:r>
    </w:p>
    <w:p>
      <w:pPr>
        <w:jc w:val="both"/>
        <w:rPr>
          <w:rFonts w:ascii="Times New Roman" w:hAnsi="Times New Roman"/>
          <w:b/>
          <w:noProof/>
          <w:sz w:val="24"/>
          <w:szCs w:val="24"/>
        </w:rPr>
      </w:pPr>
      <w:r>
        <w:rPr>
          <w:rFonts w:ascii="Times New Roman" w:hAnsi="Times New Roman"/>
          <w:b/>
          <w:noProof/>
          <w:sz w:val="24"/>
          <w:szCs w:val="24"/>
        </w:rPr>
        <w:t>3.2 Consultarea prealabilă adoptării</w:t>
      </w:r>
    </w:p>
    <w:p>
      <w:pPr>
        <w:jc w:val="both"/>
        <w:rPr>
          <w:rFonts w:ascii="Times New Roman" w:hAnsi="Times New Roman" w:cs="Times New Roman"/>
          <w:noProof/>
          <w:sz w:val="24"/>
          <w:szCs w:val="24"/>
        </w:rPr>
      </w:pPr>
      <w:r>
        <w:rPr>
          <w:rFonts w:ascii="Times New Roman" w:hAnsi="Times New Roman"/>
          <w:noProof/>
          <w:sz w:val="24"/>
          <w:szCs w:val="24"/>
        </w:rPr>
        <w:t>În vederea elaborării actului delegat, Comisia a consultat experți desemnați de statele membre și de părțile interesate relevante, în cadrul unor reuniuni speciale periodice și prin consultări scrise. Documentele relevante pentru aceste consultări au fost transmise simultan Parlamentului European și Consiliului.</w:t>
      </w:r>
    </w:p>
    <w:p>
      <w:pPr>
        <w:jc w:val="both"/>
        <w:rPr>
          <w:rFonts w:ascii="Times New Roman" w:hAnsi="Times New Roman" w:cs="Times New Roman"/>
          <w:noProof/>
          <w:sz w:val="24"/>
          <w:szCs w:val="24"/>
        </w:rPr>
      </w:pPr>
      <w:r>
        <w:rPr>
          <w:rFonts w:ascii="Times New Roman" w:hAnsi="Times New Roman"/>
          <w:noProof/>
          <w:sz w:val="24"/>
          <w:szCs w:val="24"/>
        </w:rPr>
        <w:t>În cursul elaborării actului delegat au avut loc consultări ample cu Banca Europeană de Investiții.  Grupul de experți al Consiliului implicat în elaborarea actelor delegate a fost grupul de lucru al consilierilor financiari. În ceea ce privește Parlamentul European, a avut loc o reuniune cu membrii relevanți ai comisiei principale și ai comisiilor asociate. Observațiile prezentate în cadrul acestor consultări au fost luate în considerare la elaborarea versiunilor finale ale actelor delegate.</w:t>
      </w:r>
    </w:p>
    <w:p>
      <w:pPr>
        <w:jc w:val="both"/>
        <w:rPr>
          <w:rFonts w:ascii="Times New Roman" w:hAnsi="Times New Roman"/>
          <w:b/>
          <w:noProof/>
          <w:sz w:val="24"/>
          <w:szCs w:val="24"/>
        </w:rPr>
      </w:pPr>
      <w:r>
        <w:rPr>
          <w:rFonts w:ascii="Times New Roman" w:hAnsi="Times New Roman"/>
          <w:b/>
          <w:noProof/>
          <w:sz w:val="24"/>
          <w:szCs w:val="24"/>
        </w:rPr>
        <w:t>3.3 Absența obiecțiilor față de actul delegat</w:t>
      </w:r>
    </w:p>
    <w:p>
      <w:pPr>
        <w:jc w:val="both"/>
        <w:rPr>
          <w:rFonts w:ascii="Times New Roman" w:hAnsi="Times New Roman" w:cs="Times New Roman"/>
          <w:noProof/>
          <w:sz w:val="24"/>
          <w:szCs w:val="24"/>
        </w:rPr>
      </w:pPr>
      <w:r>
        <w:rPr>
          <w:rFonts w:ascii="Times New Roman" w:hAnsi="Times New Roman"/>
          <w:noProof/>
          <w:sz w:val="24"/>
          <w:szCs w:val="24"/>
        </w:rPr>
        <w:t xml:space="preserve">În conformitate cu articolul 23 alineatul (5) din Regulamentul (UE) 2015/1017, Parlamentul European sau Consiliul poate formula obiecții la un act delegat în temeiul articolului 7 alineatul (14) în termen de trei săptămâni de la data notificării, prelungibil cu încă trei săptămâni la inițiativa Parlamentului European sau a Consiliului. În cazul în care, înainte de expirarea acestui termen, Parlamentul European sau Consiliul formulează obiecții față de actul delegat, acesta nu intră în vigoare. Scurtarea perioadei de exprimare a obiecțiilor a fost rezultatul unui acord politic la care s-a ajuns în cadrul trilogurilor, cu scopul de a lansa cât mai curând posibil planul de investiții pentru Europa și investițiile FEIS. </w:t>
      </w:r>
    </w:p>
    <w:p>
      <w:pPr>
        <w:jc w:val="both"/>
        <w:rPr>
          <w:rFonts w:ascii="Times New Roman" w:hAnsi="Times New Roman"/>
          <w:b/>
          <w:noProof/>
          <w:sz w:val="24"/>
          <w:szCs w:val="24"/>
        </w:rPr>
      </w:pPr>
      <w:r>
        <w:rPr>
          <w:rFonts w:ascii="Times New Roman" w:hAnsi="Times New Roman"/>
          <w:noProof/>
          <w:sz w:val="24"/>
          <w:szCs w:val="24"/>
        </w:rPr>
        <w:t>Nici Parlamentul European și nici Consiliul nu au formulat obiecții cu privire la actul delegat menționat la punctul 3.1. de mai sus și, prin urmare, actul respectiv a fost publicat și a intrat în vigoare la sfârșitul perioadei prevăzute pentru exprimarea obiecțiilor.</w:t>
      </w:r>
    </w:p>
    <w:p>
      <w:pPr>
        <w:jc w:val="both"/>
        <w:rPr>
          <w:rFonts w:ascii="Times New Roman" w:hAnsi="Times New Roman"/>
          <w:b/>
          <w:noProof/>
          <w:sz w:val="24"/>
          <w:szCs w:val="24"/>
        </w:rPr>
      </w:pPr>
      <w:r>
        <w:rPr>
          <w:rFonts w:ascii="Times New Roman" w:hAnsi="Times New Roman"/>
          <w:b/>
          <w:noProof/>
          <w:sz w:val="24"/>
          <w:szCs w:val="24"/>
        </w:rPr>
        <w:t xml:space="preserve">4. </w:t>
      </w:r>
      <w:r>
        <w:rPr>
          <w:rFonts w:ascii="Times New Roman" w:hAnsi="Times New Roman"/>
          <w:b/>
          <w:noProof/>
          <w:sz w:val="24"/>
          <w:szCs w:val="24"/>
        </w:rPr>
        <w:tab/>
        <w:t>CONCLUZIE</w:t>
      </w:r>
    </w:p>
    <w:p>
      <w:pPr>
        <w:jc w:val="both"/>
        <w:rPr>
          <w:rFonts w:ascii="Times New Roman" w:hAnsi="Times New Roman"/>
          <w:noProof/>
          <w:sz w:val="24"/>
          <w:szCs w:val="24"/>
        </w:rPr>
      </w:pPr>
      <w:r>
        <w:rPr>
          <w:rFonts w:ascii="Times New Roman" w:hAnsi="Times New Roman"/>
          <w:noProof/>
          <w:sz w:val="24"/>
          <w:szCs w:val="24"/>
        </w:rPr>
        <w:t>Comisia consideră că și-a exercitat competențele delegate care i-au fost conferite în limitele și cu respectarea condițiilor prevăzute la articolul 7 alineatul (14) și la articolul 23 din Regulamentul (UE) 2015/1017. Comisia consideră că este necesară prelungirea acestor competențe, deoarece ar putea fi necesare în viitor acte delegate suplimentare de modificare, printre altele, a secțiunilor 6-8 din orientările privind investițiile prevăzute în anexa II la Regulamentul (UE) 2015/1017. Prin acest raport, Comisia îndeplinește cerința de raportare prevăzută la articolul 23 alineatul (2) din Regulamentul (UE) 2015/1017. Comisia invită Parlamentul European și Consiliul să ia act de prezentul raport.</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81"/>
    <w:multiLevelType w:val="hybridMultilevel"/>
    <w:tmpl w:val="2FF67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B524EA4"/>
    <w:multiLevelType w:val="hybridMultilevel"/>
    <w:tmpl w:val="C31C8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0F7B56"/>
    <w:multiLevelType w:val="hybridMultilevel"/>
    <w:tmpl w:val="E4787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717966"/>
    <w:multiLevelType w:val="hybridMultilevel"/>
    <w:tmpl w:val="FEDE2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4FBED04-A2F4-4B82-B0CE-07DBDF6F5809"/>
    <w:docVar w:name="LW_COVERPAGE_TYPE" w:val="1"/>
    <w:docVar w:name="LW_CROSSREFERENCE" w:val="&lt;UNUSED&gt;"/>
    <w:docVar w:name="LW_DocType" w:val="NORMAL"/>
    <w:docVar w:name="LW_EMISSION" w:val="21.10.2019"/>
    <w:docVar w:name="LW_EMISSION_ISODATE" w:val="2019-10-21"/>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4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rivind exercitarea competen\u539?ei de a adopta acte delegate conferit\u259? Comisiei în temeiul Regulamentului (UE) 2015/1017 al Parlamentului European \u537?i al Consiliului din 25 iunie 2015 privind Fondul european pentru investi\u539?ii strategice, Platforma european\u259? de consiliere în materie de investi\u539?ii \u537?i Portalul european de proiecte de investi\u539?ii \u537?i de modificare a Regulamentelor (UE) nr. 1291/2013 \u537?i (UE) nr. 1316/2013 \u8211? Fondul european pentru investi\u539?ii strategice, astfel cum a fost modificat prin Regulamentul (UE) 2017/2396 al Parlamentului European \u537?i al Consiliului din 13 decembrie 2017 de modificare a Regulamentelor (UE) nr. 1316/2013 \u537?i (UE) 2015/1017 în ceea ce prive\u537?te prelungirea duratei Fondului european pentru investi\u539?ii strategice \u537?i introducerea unor îmbun\u259?t\u259?\u539?iri tehnice ale fondului \u537?i ale Platformei europene de consiliere în materie de investi\u539?ii &lt;/FMT&gt;"/>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240" w:after="0" w:line="240" w:lineRule="auto"/>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uiPriority w:val="9"/>
    <w:qFormat/>
    <w:pPr>
      <w:keepNext/>
      <w:numPr>
        <w:ilvl w:val="1"/>
        <w:numId w:val="5"/>
      </w:numPr>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pPr>
      <w:keepNext/>
      <w:numPr>
        <w:ilvl w:val="2"/>
        <w:numId w:val="5"/>
      </w:numPr>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pPr>
      <w:keepNext/>
      <w:numPr>
        <w:ilvl w:val="3"/>
        <w:numId w:val="5"/>
      </w:numPr>
      <w:spacing w:after="0" w:line="240" w:lineRule="auto"/>
      <w:outlineLvl w:val="3"/>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rPr>
      <w:shd w:val="clear" w:color="auto" w:fill="auto"/>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240" w:after="0" w:line="240" w:lineRule="auto"/>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uiPriority w:val="9"/>
    <w:qFormat/>
    <w:pPr>
      <w:keepNext/>
      <w:numPr>
        <w:ilvl w:val="1"/>
        <w:numId w:val="5"/>
      </w:numPr>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pPr>
      <w:keepNext/>
      <w:numPr>
        <w:ilvl w:val="2"/>
        <w:numId w:val="5"/>
      </w:numPr>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pPr>
      <w:keepNext/>
      <w:numPr>
        <w:ilvl w:val="3"/>
        <w:numId w:val="5"/>
      </w:numPr>
      <w:spacing w:after="0" w:line="240" w:lineRule="auto"/>
      <w:outlineLvl w:val="3"/>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rPr>
      <w:shd w:val="clear" w:color="auto" w:fill="auto"/>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A8F5-6E93-441F-A870-ADA85789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1248</Words>
  <Characters>7392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2018-04-10T07:53:00Z</cp:lastPrinted>
  <dcterms:created xsi:type="dcterms:W3CDTF">2019-09-30T09:41:00Z</dcterms:created>
  <dcterms:modified xsi:type="dcterms:W3CDTF">2019-10-11T14:07:00Z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PTemplateID">
    <vt:lpwstr>CP-006</vt:lpwstr>
  </property>
</Properties>
</file>