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150E8E2-F4B3-4083-A3F1-71D2053181FB" style="width:450.4pt;height:457.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b/>
          <w:noProof/>
          <w:sz w:val="24"/>
          <w:szCs w:val="24"/>
        </w:rPr>
      </w:pPr>
      <w:bookmarkStart w:id="1" w:name="_GoBack"/>
      <w:bookmarkEnd w:id="1"/>
      <w:r>
        <w:rPr>
          <w:rFonts w:ascii="Times New Roman" w:hAnsi="Times New Roman"/>
          <w:b/>
          <w:noProof/>
        </w:rPr>
        <w:lastRenderedPageBreak/>
        <w:t>ΕΚΘΕΣΗ ΤΗΣ ΕΠΙΤΡΟΠΗΣ ΠΡΟΣ ΤΟ ΕΥΡΩΠΑΪΚΟ ΚΟΙΝΟΒΟΥΛΙΟ ΚΑΙ</w:t>
      </w:r>
    </w:p>
    <w:p>
      <w:pPr>
        <w:spacing w:line="240" w:lineRule="auto"/>
        <w:jc w:val="center"/>
        <w:rPr>
          <w:rFonts w:ascii="Times New Roman" w:hAnsi="Times New Roman"/>
          <w:b/>
          <w:noProof/>
          <w:sz w:val="24"/>
          <w:szCs w:val="24"/>
        </w:rPr>
      </w:pPr>
      <w:r>
        <w:rPr>
          <w:rFonts w:ascii="Times New Roman" w:hAnsi="Times New Roman"/>
          <w:b/>
          <w:noProof/>
        </w:rPr>
        <w:t>ΤΟ ΣΥΜΒΟΥΛΙΟ</w:t>
      </w:r>
    </w:p>
    <w:p>
      <w:pPr>
        <w:spacing w:line="240" w:lineRule="auto"/>
        <w:jc w:val="center"/>
        <w:rPr>
          <w:rFonts w:ascii="Times New Roman" w:hAnsi="Times New Roman" w:cs="Times New Roman"/>
          <w:b/>
          <w:noProof/>
          <w:sz w:val="24"/>
          <w:szCs w:val="24"/>
        </w:rPr>
      </w:pPr>
      <w:r>
        <w:rPr>
          <w:rFonts w:ascii="Times New Roman" w:hAnsi="Times New Roman"/>
          <w:b/>
          <w:noProof/>
        </w:rPr>
        <w:t xml:space="preserve">σχετικά με την άσκηση της εξουσίας έκδοσης κατ’ εξουσιοδότηση πράξεων που έχει ανατεθεί στην Επιτροπή σύμφωνα με τον κανονισμό (ΕΕ) 2015/1017 του Ευρωπαϊκού Κοινοβουλίου και του Συμβουλίου, της 25ης Ιουνίου 2015, για το Ευρωπαϊκό Ταμείο Στρατηγικών Επενδύσεων, τον Ευρωπαϊκό Κόμβο Επενδυτικών Συμβουλών και την Ευρωπαϊκή Πύλη Επενδυτικών Έργων και την τροποποίηση των κανονισμών (ΕΕ) αριθ. 1291/2013 και (ΕΕ) αριθ. 1316/2013 — το Ευρωπαϊκό Ταμείο Στρατηγικών Επενδύσεων, όπως τροποποιήθηκε με τον κανονισμό (ΕΕ) 2017/2396 του Ευρωπαϊκού Κοινοβουλίου και του Συμβουλίου, της 13ης Δεκεμβρίου 2017, για την τροποποίηση των κανονισμών (ΕΕ) αριθ. 1316/2013 και (ΕΕ) 2015/1017 όσον αφορά την παράταση της λειτουργίας του Ευρωπαϊκού Ταμείου Στρατηγικών Επενδύσεων, καθώς και τη θέσπιση τεχνικών βελτιώσεων για το εν λόγω Ταμείο και τον Ευρωπαϊκό Κόμβο Επενδυτικών Συμβουλών </w:t>
      </w:r>
    </w:p>
    <w:p>
      <w:pPr>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rPr>
        <w:t xml:space="preserve">1. </w:t>
      </w:r>
      <w:r>
        <w:rPr>
          <w:rFonts w:ascii="Times New Roman" w:hAnsi="Times New Roman"/>
          <w:b/>
          <w:noProof/>
        </w:rPr>
        <w:tab/>
        <w:t>ΕΙΣΑΓΩΓΗ</w:t>
      </w:r>
    </w:p>
    <w:p>
      <w:pPr>
        <w:jc w:val="both"/>
        <w:rPr>
          <w:rFonts w:ascii="Times New Roman" w:hAnsi="Times New Roman" w:cs="Times New Roman"/>
          <w:noProof/>
          <w:sz w:val="24"/>
          <w:szCs w:val="24"/>
        </w:rPr>
      </w:pPr>
      <w:r>
        <w:rPr>
          <w:rFonts w:ascii="Times New Roman" w:hAnsi="Times New Roman"/>
          <w:noProof/>
        </w:rPr>
        <w:t>Ο κανονισμός (ΕΕ) 2015/1017 του Ευρωπαϊκού Κοινοβουλίου και του Συμβουλίου, όπως τροποποιήθηκε με τον κανονισμό (ΕΕ) 2017/2396, προβλέπει τη σύσταση Ευρωπαϊκού Ταμείου Στρατηγικών Επενδύσεων (ΕΤΣΕ), τη θέσπιση εγγύησης της ΕΕ και τη σύσταση ταμείου εγγυήσεων της ΕΕ με στόχο την κινητοποίηση έως και 500 δισ. EUR σε πρόσθετες δημόσιες και ιδιωτικές επενδύσεις στην πραγματική οικονομία έως το τέλος του 2020 για την τόνωση των επενδύσεων με σκοπό τη δημιουργία θέσεων εργασίας.</w:t>
      </w:r>
    </w:p>
    <w:p>
      <w:pPr>
        <w:jc w:val="both"/>
        <w:rPr>
          <w:rFonts w:ascii="Times New Roman" w:hAnsi="Times New Roman"/>
          <w:noProof/>
          <w:sz w:val="24"/>
          <w:szCs w:val="24"/>
        </w:rPr>
      </w:pPr>
      <w:r>
        <w:rPr>
          <w:rFonts w:ascii="Times New Roman" w:hAnsi="Times New Roman"/>
          <w:noProof/>
        </w:rPr>
        <w:t>Για να επιτευχθούν οι στόχοι του, ο κανονισμός (ΕΕ) 2015/1017 του Ευρωπαϊκού Κοινοβουλίου και του Συμβουλίου αναθέτει στην Επιτροπή την εξουσία να εκδίδει κατ’ εξουσιοδότηση πράξεις για ορισμένα θέματα που απαριθμούνται στο άρθρο 23 παράγραφος 2 του κανονισμού (ΕΕ) 2015/1017 του Ευρωπαϊκού Κοινοβουλίου και του Συμβουλίου, όπως τροποποιήθηκε με τον κανονισμό (ΕΕ) 2017/2396, και υπό τους όρους του εν λόγω άρθρου, σύμφωνα με το άρθρο 290 της ΣΛΕΕ.</w:t>
      </w:r>
    </w:p>
    <w:p>
      <w:pPr>
        <w:jc w:val="both"/>
        <w:rPr>
          <w:rFonts w:ascii="Times New Roman" w:hAnsi="Times New Roman"/>
          <w:b/>
          <w:noProof/>
          <w:sz w:val="24"/>
          <w:szCs w:val="24"/>
        </w:rPr>
      </w:pPr>
      <w:r>
        <w:rPr>
          <w:rFonts w:ascii="Times New Roman" w:hAnsi="Times New Roman"/>
          <w:b/>
          <w:noProof/>
        </w:rPr>
        <w:t xml:space="preserve">2. </w:t>
      </w:r>
      <w:r>
        <w:rPr>
          <w:rFonts w:ascii="Times New Roman" w:hAnsi="Times New Roman"/>
          <w:b/>
          <w:noProof/>
        </w:rPr>
        <w:tab/>
        <w:t>ΝΟΜΙΚΗ ΒΑΣΗ</w:t>
      </w:r>
    </w:p>
    <w:p>
      <w:pPr>
        <w:jc w:val="both"/>
        <w:rPr>
          <w:rFonts w:ascii="Times New Roman" w:hAnsi="Times New Roman"/>
          <w:noProof/>
          <w:sz w:val="24"/>
          <w:szCs w:val="24"/>
        </w:rPr>
      </w:pPr>
      <w:r>
        <w:rPr>
          <w:rFonts w:ascii="Times New Roman" w:hAnsi="Times New Roman"/>
          <w:noProof/>
        </w:rPr>
        <w:t>Το άρθρο 7 παράγραφοι 13 και 14 του κανονισμού (ΕΕ) 2015/1017 του Ευρωπαϊκού Κοινοβουλίου και του Συμβουλίου, όπως τροποποιήθηκε με τον κανονισμό (ΕΕ) 2017/2396, αναθέτει στην Επιτροπή την εξουσία να εκδίδει κατ’ εξουσιοδότηση πράξεις υπό τους όρους του άρθρου 23. Το άρθρο 23 αναθέτει στην Επιτροπή την εξουσία να εκδίδει κατ’ εξουσιοδότηση πράξεις σχετικά με τα θέματα που απαριθμούνται σε αυτό για περίοδο πέντε ετών από τις 4 Ιουλίου 2015. Επιπλέον, υποχρεώνει την Επιτροπή να υποβάλει έκθεση σχετικά με τις εξουσίες που της έχουν ανατεθεί το αργότερο εννέα μήνες πριν από τη λήξη της περιόδου των πέντε ετών.</w:t>
      </w:r>
    </w:p>
    <w:p>
      <w:pPr>
        <w:jc w:val="both"/>
        <w:rPr>
          <w:rFonts w:ascii="Times New Roman" w:hAnsi="Times New Roman"/>
          <w:noProof/>
          <w:sz w:val="24"/>
          <w:szCs w:val="24"/>
        </w:rPr>
      </w:pPr>
      <w:r>
        <w:rPr>
          <w:rFonts w:ascii="Times New Roman" w:hAnsi="Times New Roman"/>
          <w:noProof/>
        </w:rPr>
        <w:t>Η εξουσιοδότηση παρατείνεται σιωπηρά για περίοδο ίδιας διάρκειας, εκτός εάν το Ευρωπαϊκό Κοινοβούλιο ή το Συμβούλιο προβάλουν αντιρρήσεις το αργότερο τρεις μήνες πριν από τη λήξη κάθε περιόδου.</w:t>
      </w:r>
    </w:p>
    <w:p>
      <w:pPr>
        <w:jc w:val="both"/>
        <w:rPr>
          <w:rFonts w:ascii="Times New Roman" w:hAnsi="Times New Roman"/>
          <w:noProof/>
          <w:sz w:val="24"/>
          <w:szCs w:val="24"/>
        </w:rPr>
      </w:pPr>
      <w:r>
        <w:rPr>
          <w:rFonts w:ascii="Times New Roman" w:hAnsi="Times New Roman"/>
          <w:noProof/>
        </w:rPr>
        <w:t xml:space="preserve">Η εξουσία να εκδίδει κατ’ εξουσιοδότηση πράξεις ανατίθεται στην Επιτροπή υπό τους όρους του άρθρου 23 του κανονισμού (ΕΕ) 2015/1017. Μπορεί να ανακληθεί ανά πάσα στιγμή από το Ευρωπαϊκό Κοινοβούλιο ή το Συμβούλιο. </w:t>
      </w:r>
    </w:p>
    <w:p>
      <w:pPr>
        <w:jc w:val="both"/>
        <w:rPr>
          <w:noProof/>
        </w:rPr>
      </w:pPr>
      <w:r>
        <w:rPr>
          <w:rFonts w:ascii="Times New Roman" w:hAnsi="Times New Roman"/>
          <w:noProof/>
        </w:rPr>
        <w:t>Ο κανονισμός (ΕΕ) 2015/1017 αναθέτει στην Επιτροπή την εξουσία να εκδίδει κατ’ εξουσιοδότηση πράξεις όσον αφορά τα ακόλουθα θέματα:</w:t>
      </w:r>
    </w:p>
    <w:p>
      <w:pPr>
        <w:pStyle w:val="CM3"/>
        <w:spacing w:before="60" w:after="60"/>
        <w:rPr>
          <w:rFonts w:cs="EUAlbertina"/>
          <w:noProof/>
          <w:color w:val="000000"/>
        </w:rPr>
      </w:pPr>
    </w:p>
    <w:p>
      <w:pPr>
        <w:numPr>
          <w:ilvl w:val="0"/>
          <w:numId w:val="1"/>
        </w:numPr>
        <w:jc w:val="both"/>
        <w:rPr>
          <w:rFonts w:ascii="Times New Roman" w:hAnsi="Times New Roman"/>
          <w:noProof/>
          <w:sz w:val="24"/>
          <w:szCs w:val="24"/>
        </w:rPr>
      </w:pPr>
      <w:r>
        <w:rPr>
          <w:rFonts w:ascii="Times New Roman" w:hAnsi="Times New Roman"/>
          <w:noProof/>
        </w:rPr>
        <w:t>την τροποποίηση των μη ουσιαστικών στοιχείων των τμημάτων 6 έως 8 των επενδυτικών κατευθυντήριων γραμμών που καθορίζονται στο παράρτημα II του κανονισμού (ΕΕ) 2015/1017, χωρίς πλήρη απαλοιφή κανενός από τα τμήματα αυτά. Οι εν λόγω κατ’ εξουσιοδότηση πράξεις ετοιμάζονται σε εντατικό διάλογο με την ΕΤΕπ [άρθρο 7 παράγραφος 13 του κανονισμού (ΕΕ) 2015/1017 όπως τροποποιήθηκε με τον κανονισμό (ΕΕ) 2017/2396]·</w:t>
      </w:r>
    </w:p>
    <w:p>
      <w:pPr>
        <w:numPr>
          <w:ilvl w:val="0"/>
          <w:numId w:val="1"/>
        </w:numPr>
        <w:jc w:val="both"/>
        <w:rPr>
          <w:rFonts w:ascii="Times New Roman" w:hAnsi="Times New Roman"/>
          <w:noProof/>
          <w:sz w:val="24"/>
          <w:szCs w:val="24"/>
        </w:rPr>
      </w:pPr>
      <w:r>
        <w:rPr>
          <w:rFonts w:ascii="Times New Roman" w:hAnsi="Times New Roman"/>
          <w:noProof/>
        </w:rPr>
        <w:t>τη συμπλήρωση του κανονισμού (ΕΕ) 2015/1017 με την κατάρτιση πίνακα αποτελεσμάτων δεικτών τον οποίο θα χρησιμοποιεί η Επιτροπή Επενδύσεων για να εξασφαλίζει την ανεξάρτητη και διαφανή αξιολόγηση της δυνητικής και της πραγματικής χρήσης της εγγύησης της ΕΕ. Οι εν λόγω κατ’ εξουσιοδότηση πράξεις ετοιμάζονται σε εντατικό διάλογο με την ΕΤΕπ [άρθρο 7 παράγραφος 14 του κανονισμού (ΕΕ) 2015/1017 όπως τροποποιήθηκε με τον κανονισμό (ΕΕ) 2017/2396].</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rPr>
        <w:t>Μόλις η Επιτροπή εκδώσει μια κατ’ εξουσιοδότηση πράξη, την κοινοποιεί ταυτοχρόνως στο Ευρωπαϊκό Κοινοβούλιο και στο Συμβούλιο (άρθρο 23 παράγραφος 3 του κανονισμού (ΕΕ) 2015/1017).</w:t>
      </w:r>
    </w:p>
    <w:p>
      <w:pPr>
        <w:jc w:val="both"/>
        <w:rPr>
          <w:rFonts w:ascii="Times New Roman" w:hAnsi="Times New Roman"/>
          <w:noProof/>
          <w:sz w:val="24"/>
          <w:szCs w:val="24"/>
        </w:rPr>
      </w:pPr>
      <w:r>
        <w:rPr>
          <w:rFonts w:ascii="Times New Roman" w:hAnsi="Times New Roman"/>
          <w:noProof/>
        </w:rPr>
        <w:t xml:space="preserve">Σύμφωνα με το άρθρο 23 παράγραφος 4 του κανονισμού (ΕΕ) 2015/1017, μια κατ’ εξουσιοδότηση πράξη που εκδίδεται σύμφωνα με το άρθρο 7 παράγραφος 13 τίθεται σε ισχύ μόνον εφόσον δεν έχει διατυπωθεί αντίρρηση από το Ευρωπαϊκό Κοινοβούλιο ή το Συμβούλιο εντός ενός μηνός από την ημέρα γνωστοποίησης της πράξης αυτής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εν λόγω προθεσμία παρατείνεται κατά έναν μήνα με πρωτοβουλία του Ευρωπαϊκού Κοινοβουλίου ή του Συμβουλίου. </w:t>
      </w:r>
    </w:p>
    <w:p>
      <w:pPr>
        <w:jc w:val="both"/>
        <w:rPr>
          <w:rFonts w:ascii="Times New Roman" w:hAnsi="Times New Roman"/>
          <w:noProof/>
          <w:sz w:val="24"/>
          <w:szCs w:val="24"/>
        </w:rPr>
      </w:pPr>
      <w:r>
        <w:rPr>
          <w:rFonts w:ascii="Times New Roman" w:hAnsi="Times New Roman"/>
          <w:noProof/>
        </w:rPr>
        <w:t xml:space="preserve">Σύμφωνα με το άρθρο 23 παράγραφος 5 του κανονισμού (ΕΕ) 2015/1017, μια κατ’ εξουσιοδότηση πράξη που εκδίδεται σύμφωνα με το άρθρο 7 παράγραφος 14 τίθεται σε ισχύ μόνον εφόσον δεν έχει διατυπωθεί αντίρρηση από το Ευρωπαϊκό Κοινοβούλιο ή το Συμβούλιο εντός τριών εβδομάδων από την ημέρα γνωστοποίησης της πράξης αυτής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Με πρωτοβουλία του Ευρωπαϊκού Κοινοβουλίου ή του Συμβουλίου, η προθεσμία αυτή παρατείνεται κατά τρεις εβδομάδες. </w:t>
      </w:r>
    </w:p>
    <w:p>
      <w:pPr>
        <w:jc w:val="both"/>
        <w:rPr>
          <w:rFonts w:ascii="Times New Roman" w:hAnsi="Times New Roman"/>
          <w:noProof/>
          <w:sz w:val="24"/>
          <w:szCs w:val="24"/>
        </w:rPr>
      </w:pPr>
    </w:p>
    <w:p>
      <w:pPr>
        <w:jc w:val="both"/>
        <w:rPr>
          <w:rFonts w:ascii="Times New Roman" w:hAnsi="Times New Roman"/>
          <w:b/>
          <w:noProof/>
          <w:sz w:val="24"/>
          <w:szCs w:val="24"/>
        </w:rPr>
      </w:pPr>
      <w:r>
        <w:rPr>
          <w:rFonts w:ascii="Times New Roman" w:hAnsi="Times New Roman"/>
          <w:b/>
          <w:noProof/>
        </w:rPr>
        <w:t>3.</w:t>
      </w:r>
      <w:r>
        <w:rPr>
          <w:rFonts w:ascii="Times New Roman" w:hAnsi="Times New Roman"/>
          <w:b/>
          <w:noProof/>
        </w:rPr>
        <w:tab/>
        <w:t>ΑΣΚΗΣΗ ΤΗΣ ΕΞΟΥΣΙΟΔΟΤΗΣΗΣ</w:t>
      </w:r>
    </w:p>
    <w:p>
      <w:pPr>
        <w:jc w:val="both"/>
        <w:rPr>
          <w:rFonts w:ascii="Times New Roman" w:hAnsi="Times New Roman"/>
          <w:b/>
          <w:noProof/>
          <w:sz w:val="24"/>
          <w:szCs w:val="24"/>
        </w:rPr>
      </w:pPr>
      <w:r>
        <w:rPr>
          <w:rFonts w:ascii="Times New Roman" w:hAnsi="Times New Roman"/>
          <w:b/>
          <w:noProof/>
        </w:rPr>
        <w:t>3.1 Κατ’ εξουσιοδότηση πράξη που έχει εκδοθεί</w:t>
      </w:r>
    </w:p>
    <w:p>
      <w:pPr>
        <w:jc w:val="both"/>
        <w:rPr>
          <w:rFonts w:ascii="Times New Roman" w:hAnsi="Times New Roman" w:cs="Times New Roman"/>
          <w:bCs/>
          <w:noProof/>
          <w:sz w:val="24"/>
          <w:szCs w:val="24"/>
        </w:rPr>
      </w:pPr>
      <w:r>
        <w:rPr>
          <w:rFonts w:ascii="Times New Roman" w:hAnsi="Times New Roman"/>
          <w:bCs/>
          <w:noProof/>
        </w:rPr>
        <w:t xml:space="preserve">Κατά την περίοδο αναφοράς, η Επιτροπή άσκησε τις ακόλουθες εξουσίες: </w:t>
      </w:r>
    </w:p>
    <w:p>
      <w:pPr>
        <w:jc w:val="both"/>
        <w:rPr>
          <w:rFonts w:ascii="Times New Roman" w:hAnsi="Times New Roman" w:cs="Times New Roman"/>
          <w:noProof/>
          <w:sz w:val="24"/>
          <w:szCs w:val="24"/>
        </w:rPr>
      </w:pPr>
      <w:r>
        <w:rPr>
          <w:rFonts w:ascii="Times New Roman" w:hAnsi="Times New Roman"/>
          <w:noProof/>
        </w:rPr>
        <w:t xml:space="preserve">Με βάση το άρθρο 7 παράγραφος 14 του κανονισμού (ΕΕ) 2015/1017, εκδόθηκε ένας κατ’ εξουσιοδότηση κανονισμός της Επιτροπής με τον οποίο καταρτίζεται πίνακας αποτελεσμάτων βάσει δεικτών τον οποίο θα χρησιμοποιεί η επιτροπή επενδύσεων για να εξασφαλίζει την ανεξάρτητη και διαφανή αξιολόγηση της δυνητικής και της πραγματικής χρήσης της εγγύησης της ΕΕ. </w:t>
      </w:r>
    </w:p>
    <w:p>
      <w:pPr>
        <w:jc w:val="both"/>
        <w:rPr>
          <w:rFonts w:ascii="Times New Roman" w:hAnsi="Times New Roman" w:cs="Times New Roman"/>
          <w:noProof/>
          <w:sz w:val="24"/>
          <w:szCs w:val="24"/>
        </w:rPr>
      </w:pPr>
      <w:r>
        <w:rPr>
          <w:rFonts w:ascii="Times New Roman" w:hAnsi="Times New Roman"/>
          <w:noProof/>
        </w:rPr>
        <w:lastRenderedPageBreak/>
        <w:t xml:space="preserve">Στις 22 Ιουλίου 2015 εκδόθηκε ο </w:t>
      </w:r>
      <w:r>
        <w:rPr>
          <w:rFonts w:ascii="Times New Roman" w:hAnsi="Times New Roman"/>
          <w:noProof/>
          <w:color w:val="444444"/>
        </w:rPr>
        <w:t>κατ’ εξουσιοδότηση κανονισμός (ΕΕ) 2015/1558 της Επιτροπής, για τη συμπλήρωση του κανονισμού (ΕΕ) 2015/1017 του Ευρωπαϊκού Κοινοβουλίου και του Συμβουλίου με την κατάρτιση πίνακα αποτελεσμάτων βάσει δεικτών για την εφαρμογή της εγγύησης της ΕΕ</w:t>
      </w:r>
      <w:r>
        <w:rPr>
          <w:rFonts w:ascii="Times New Roman" w:hAnsi="Times New Roman"/>
          <w:noProof/>
        </w:rPr>
        <w:t xml:space="preserve">. </w:t>
      </w:r>
    </w:p>
    <w:p>
      <w:pPr>
        <w:jc w:val="both"/>
        <w:rPr>
          <w:rFonts w:ascii="Times New Roman" w:hAnsi="Times New Roman"/>
          <w:b/>
          <w:noProof/>
          <w:sz w:val="24"/>
          <w:szCs w:val="24"/>
        </w:rPr>
      </w:pPr>
      <w:r>
        <w:rPr>
          <w:rFonts w:ascii="Times New Roman" w:hAnsi="Times New Roman"/>
          <w:b/>
          <w:noProof/>
        </w:rPr>
        <w:t>3.2 Διαβούλευση πριν από την έκδοση</w:t>
      </w:r>
    </w:p>
    <w:p>
      <w:pPr>
        <w:jc w:val="both"/>
        <w:rPr>
          <w:rFonts w:ascii="Times New Roman" w:hAnsi="Times New Roman" w:cs="Times New Roman"/>
          <w:noProof/>
          <w:sz w:val="24"/>
          <w:szCs w:val="24"/>
        </w:rPr>
      </w:pPr>
      <w:r>
        <w:rPr>
          <w:rFonts w:ascii="Times New Roman" w:hAnsi="Times New Roman"/>
          <w:noProof/>
        </w:rPr>
        <w:t>Η Επιτροπή, κατά την εκπόνηση της κατ’ εξουσιοδότηση πράξης, πραγματοποίησε διαβουλεύσεις με εμπειρογνώμονες που ορίστηκαν από τα κράτη μέλη και τους σχετικούς ενδιαφερόμενους φορείς, μέσω τακτικών ειδικών συνεδριάσεων εμπειρογνωμόνων και γραπτών διαβουλεύσεων. Τα έγγραφα που αφορούν τις εν λόγω διαβουλεύσεις διαβιβάστηκαν ταυτόχρονα στο Ευρωπαϊκό Κοινοβούλιο και στο Συμβούλιο.</w:t>
      </w:r>
    </w:p>
    <w:p>
      <w:pPr>
        <w:jc w:val="both"/>
        <w:rPr>
          <w:rFonts w:ascii="Times New Roman" w:hAnsi="Times New Roman" w:cs="Times New Roman"/>
          <w:noProof/>
          <w:sz w:val="24"/>
          <w:szCs w:val="24"/>
        </w:rPr>
      </w:pPr>
      <w:r>
        <w:rPr>
          <w:rFonts w:ascii="Times New Roman" w:hAnsi="Times New Roman"/>
          <w:noProof/>
        </w:rPr>
        <w:t>Κατά την προετοιμασία της κατ’ εξουσιοδότηση πράξης πραγματοποιήθηκαν εκτεταμένες διαβουλεύσεις με την Ευρωπαϊκή Τράπεζα Επενδύσεων.  Η ομάδα εμπειρογνωμόνων του Συμβουλίου που συμμετείχε στην προετοιμασία των κατ’ εξουσιοδότηση πράξεων ήταν η ομάδα Συμβούλων για δημοσιονομικά θέματα. Για το Ευρωπαϊκό Κοινοβούλιο, πραγματοποιήθηκε συνάντηση με τα σχετικά μέλη της αρμόδιας επί της ουσίας και των συνδεδεμένων επιτροπών. Οι παρατηρήσεις που υποβλήθηκαν στις διαβουλεύσεις αυτές ελήφθησαν υπόψη κατά τη σύνταξη των τελικών εκδόσεων των κατ’ εξουσιοδότηση πράξεων.</w:t>
      </w:r>
    </w:p>
    <w:p>
      <w:pPr>
        <w:jc w:val="both"/>
        <w:rPr>
          <w:rFonts w:ascii="Times New Roman" w:hAnsi="Times New Roman"/>
          <w:b/>
          <w:noProof/>
          <w:sz w:val="24"/>
          <w:szCs w:val="24"/>
        </w:rPr>
      </w:pPr>
      <w:r>
        <w:rPr>
          <w:rFonts w:ascii="Times New Roman" w:hAnsi="Times New Roman"/>
          <w:b/>
          <w:noProof/>
        </w:rPr>
        <w:t>3.3 Μη προβολή αντιρρήσεων για την κατ’ εξουσιοδότηση πράξη</w:t>
      </w:r>
    </w:p>
    <w:p>
      <w:pPr>
        <w:jc w:val="both"/>
        <w:rPr>
          <w:rFonts w:ascii="Times New Roman" w:hAnsi="Times New Roman" w:cs="Times New Roman"/>
          <w:noProof/>
          <w:sz w:val="24"/>
          <w:szCs w:val="24"/>
        </w:rPr>
      </w:pPr>
      <w:r>
        <w:rPr>
          <w:rFonts w:ascii="Times New Roman" w:hAnsi="Times New Roman"/>
          <w:noProof/>
        </w:rPr>
        <w:t xml:space="preserve">Σύμφωνα με το άρθρο 23 παράγραφος 5 του κανονισμού (ΕΕ) 2015/1017, το Ευρωπαϊκό Κοινοβούλιο ή το Συμβούλιο μπορούν να προβάλουν αντιρρήσεις για μια κατ’ εξουσιοδότηση πράξη που έχει εκδοθεί δυνάμει του άρθρου 7 παράγραφος 14 εντός περιόδου τριών εβδομάδων από την ημερομηνία κοινοποίησης, η οποία μπορεί να παραταθεί κατά τρεις ακόμη εβδομάδες με πρωτοβουλία του Ευρωπαϊκού Κοινοβουλίου ή του Συμβουλίου. Αν είτε το Ευρωπαϊκό Κοινοβούλιο είτε το Συμβούλιο προβάλουν αντιρρήσεις για μια κατ’ εξουσιοδότηση πράξη εντός της προθεσμίας αυτής, η πράξη δεν τίθεται σε ισχύ. Αυτή η συντομευμένη περίοδος για διατύπωση αντιρρήσεων ήταν το αποτέλεσμα πολιτικής συμφωνίας που επιτεύχθηκε κατά τους τριμερείς διαλόγους, με σκοπό να υλοποιηθούν το συντομότερο δυνατόν το επενδυτικό σχέδιο για την Ευρώπη και οι επενδύσεις στο πλαίσιο του ΕΤΣΕ. </w:t>
      </w:r>
    </w:p>
    <w:p>
      <w:pPr>
        <w:jc w:val="both"/>
        <w:rPr>
          <w:rFonts w:ascii="Times New Roman" w:hAnsi="Times New Roman"/>
          <w:b/>
          <w:noProof/>
          <w:sz w:val="24"/>
          <w:szCs w:val="24"/>
        </w:rPr>
      </w:pPr>
      <w:r>
        <w:rPr>
          <w:rFonts w:ascii="Times New Roman" w:hAnsi="Times New Roman"/>
          <w:noProof/>
        </w:rPr>
        <w:t>Ούτε το Ευρωπαϊκό Κοινοβούλιο ούτε το Συμβούλιο πρόβαλαν αντιρρήσεις σχετικά με την κατ’ εξουσιοδότηση πράξη που αναφέρεται στο σημείο 3.1. ανωτέρω και, επομένως, η κατ’ εξουσιοδότηση πράξη δημοσιεύθηκε και τέθηκε σε ισχύ κατά τη λήξη της περιόδου για διατύπωση αντιρρήσεων.</w:t>
      </w:r>
    </w:p>
    <w:p>
      <w:pPr>
        <w:jc w:val="both"/>
        <w:rPr>
          <w:rFonts w:ascii="Times New Roman" w:hAnsi="Times New Roman"/>
          <w:b/>
          <w:noProof/>
          <w:sz w:val="24"/>
          <w:szCs w:val="24"/>
        </w:rPr>
      </w:pPr>
      <w:r>
        <w:rPr>
          <w:rFonts w:ascii="Times New Roman" w:hAnsi="Times New Roman"/>
          <w:b/>
          <w:noProof/>
        </w:rPr>
        <w:t xml:space="preserve">4. </w:t>
      </w:r>
      <w:r>
        <w:rPr>
          <w:rFonts w:ascii="Times New Roman" w:hAnsi="Times New Roman"/>
          <w:b/>
          <w:noProof/>
        </w:rPr>
        <w:tab/>
        <w:t>ΣΥΜΠΕΡΑΣΜΑ</w:t>
      </w:r>
    </w:p>
    <w:p>
      <w:pPr>
        <w:jc w:val="both"/>
        <w:rPr>
          <w:rFonts w:ascii="Times New Roman" w:hAnsi="Times New Roman"/>
          <w:noProof/>
          <w:sz w:val="24"/>
          <w:szCs w:val="24"/>
        </w:rPr>
      </w:pPr>
      <w:r>
        <w:rPr>
          <w:rFonts w:ascii="Times New Roman" w:hAnsi="Times New Roman"/>
          <w:noProof/>
        </w:rPr>
        <w:t>Η Επιτροπή θεωρεί ότι άσκησε τις εξουσίες που της ανατέθηκαν εντός των ορίων και υπό τους όρους του άρθρου 7 παράγραφος 14 και το άρθρο 23 του κανονισμού (ΕΕ) 2015/1017. Η Επιτροπή θεωρεί ότι υπάρχει ανάγκη να παραταθούν οι εξουσιοδοτήσεις, επειδή στο μέλλον ενδέχεται να απαιτηθούν και άλλες κατ’ εξουσιοδότηση πράξεις για την τροποποίηση, μεταξύ άλλων, των τμημάτων 6 έως 8 των επενδυτικών κατευθυντήριων γραμμών που καθορίζονται στο παράρτημα II του κανονισμού (ΕΕ) 2015/1017. Με την παρούσα έκθεση, η Επιτροπή συμμορφώνεται με την υποχρέωση υποβολής έκθεσης δυνάμει του άρθρου 23 παράγραφος 2 του κανονισμού (ΕΕ) 2015/1017. Η Επιτροπή καλεί το Ευρωπαϊκό Κοινοβούλιο και το Συμβούλιο να λάβουν υπόψη την παρούσα έκθεση.</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81"/>
    <w:multiLevelType w:val="hybridMultilevel"/>
    <w:tmpl w:val="2FF67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B524EA4"/>
    <w:multiLevelType w:val="hybridMultilevel"/>
    <w:tmpl w:val="C31C8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0F7B56"/>
    <w:multiLevelType w:val="hybridMultilevel"/>
    <w:tmpl w:val="E4787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717966"/>
    <w:multiLevelType w:val="hybridMultilevel"/>
    <w:tmpl w:val="C8C0E532"/>
    <w:lvl w:ilvl="0" w:tplc="4AE6C20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150E8E2-F4B3-4083-A3F1-71D2053181FB"/>
    <w:docVar w:name="LW_COVERPAGE_TYPE" w:val="1"/>
    <w:docVar w:name="LW_CROSSREFERENCE" w:val="&lt;UNUSED&gt;"/>
    <w:docVar w:name="LW_DocType" w:val="NORMAL"/>
    <w:docVar w:name="LW_EMISSION" w:val="21.10.2019"/>
    <w:docVar w:name="LW_EMISSION_ISODATE" w:val="2019-10-21"/>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4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63?\u967?\u949?\u964?\u953?\u954?\u940? \u956?\u949? \u964?\u951?\u957? \u940?\u963?\u954?\u951?\u963?\u951? \u964?\u951?\u962? \u949?\u958?\u959?\u965?\u963?\u943?\u945?\u962? \u941?\u954?\u948?\u959?\u963?\u951?\u962? \u954?\u945?\u964?\u8217? \u949?\u958?\u959?\u965?\u963?\u953?\u959?\u948?\u972?\u964?\u951?\u963?\u951? \u960?\u961?\u940?\u958?\u949?\u969?\u957? \u960?\u959?\u965? \u941?\u967?\u949?\u953? \u945?\u957?\u945?\u964?\u949?\u952?\u949?\u943? \u963?\u964?\u951?\u957? \u917?\u960?\u953?\u964?\u961?\u959?\u960?\u942? \u963?\u973?\u956?\u966?\u969?\u957?\u945? \u956?\u949? \u964?\u959?\u957? \u954?\u945?\u957?\u959?\u957?\u953?\u963?\u956?\u972? (\u917?\u917?) 2015/1017 \u964?\u959?\u965? \u917?\u965?\u961?\u969?\u960?\u945?\u970?\u954?\u959?\u973? \u922?\u959?\u953?\u957?\u959?\u946?\u959?\u965?\u955?\u943?\u959?\u965? \u954?\u945?\u953? \u964?\u959?\u965? \u931?\u965?\u956?\u946?\u959?\u965?\u955?\u943?\u959?\u965?, \u964?\u951?\u962? 25\u951?\u962? \u921?\u959?\u965?\u957?\u943?\u959?\u965? 2015, \u947?\u953?\u945? \u964?\u959? \u917?\u965?\u961?\u969?\u960?\u945?\u970?\u954?\u972? \u932?\u945?\u956?\u949?\u943?\u959? \u931?\u964?\u961?\u945?\u964?\u951?\u947?\u953?\u954?\u974?\u957? \u917?\u960?\u949?\u957?\u948?\u973?\u963?\u949?\u969?\u957?, \u964?\u959?\u957? \u917?\u965?\u961?\u969?\u960?\u945?\u970?\u954?\u972? \u922?\u972?\u956?\u946?\u959? \u917?\u960?\u949?\u957?\u948?\u965?\u964?\u953?\u954?\u974?\u957? \u931?\u965?\u956?\u946?\u959?\u965?\u955?\u974?\u957? \u954?\u945?\u953? \u964?\u951?\u957? \u917?\u965?\u961?\u969?\u960?\u945?\u970?\u954?\u942? \u928?\u973?\u955?\u951? \u917?\u960?\u949?\u957?\u948?\u965?\u964?\u953?\u954?\u974?\u957? \u904?\u961?\u947?\u969?\u957? \u954?\u945?\u953? \u964?\u951?\u957? \u964?\u961?\u959?\u960?\u959?\u960?\u959?\u943?\u951?\u963?\u951? \u964?\u969?\u957? \u954?\u945?\u957?\u959?\u957?\u953?\u963?\u956?\u974?\u957? (\u917?\u917?) \u945?\u961?\u953?\u952?. 1291/2013 \u954?\u945?\u953? (\u917?\u917?) \u945?\u961?\u953?\u952?. 1316/2013 \u8212? \u964?\u959? \u917?\u965?\u961?\u969?\u960?\u945?\u970?\u954?\u972? \u932?\u945?\u956?\u949?\u943?\u959? \u931?\u964?\u961?\u945?\u964?\u951?\u947?\u953?\u954?\u974?\u957? \u917?\u960?\u949?\u957?\u948?\u973?\u963?\u949?\u969?\u957?, \u972?\u960?\u969?\u962? \u964?\u961?\u959?\u960?\u959?\u960?\u959?\u953?\u942?\u952?\u951?\u954?\u949? \u956?\u949? \u964?\u959?\u957? \u954?\u945?\u957?\u959?\u957?\u953?\u963?\u956?\u972? (\u917?\u917?) 2017/2396 \u964?\u959?\u965? \u917?\u965?\u961?\u969?\u960?\u945?\u970?\u954?\u959?\u973? \u922?\u959?\u953?\u957?\u959?\u946?\u959?\u965?\u955?\u943?\u959?\u965? \u954?\u945?\u953? \u964?\u959?\u965? \u931?\u965?\u956?\u946?\u959?\u965?\u955?\u943?\u959?\u965?, \u964?\u951?\u962? 13\u951?\u962? \u916?\u949?\u954?\u949?\u956?\u946?\u961?\u943?\u959?\u965? 2017, \u947?\u953?\u945? \u964?\u951?\u957? \u964?\u961?\u959?\u960?\u959?\u960?\u959?\u943?\u951?\u963?\u951? \u964?\u969?\u957? \u954?\u945?\u957?\u959?\u957?\u953?\u963?\u956?\u974?\u957? (\u917?\u917?) \u945?\u961?\u953?\u952?. 1316/2013 \u954?\u945?\u953? (\u917?\u917?) 2015/1017 \u972?\u963?\u959?\u957? \u945?\u966?\u959?\u961?\u940? \u964?\u951?\u957? \u960?\u945?\u961?\u940?\u964?\u945?\u963?\u951? \u964?\u951?\u962? \u955?\u949?\u953?\u964?\u959?\u965?\u961?\u947?\u943?\u945?\u962? \u964?\u959?\u965? \u917?\u965?\u961?\u969?\u960?\u945?\u970?\u954?\u959?\u973? \u932?\u945?\u956?\u949?\u943?\u959?\u965? \u931?\u964?\u961?\u945?\u964?\u951?\u947?\u953?\u954?\u974?\u957? \u917?\u960?\u949?\u957?\u948?\u973?\u963?\u949?\u969?\u957?, \u954?\u945?\u952?\u974?\u962? \u954?\u945?\u953? \u964?\u951? \u952?\u941?\u963?\u960?\u953?\u963?\u951? \u964?\u949?\u967?\u957?\u953?\u954?\u974?\u957? \u946?\u949?\u955?\u964?\u953?\u974?\u963?\u949?\u969?\u957? \u947?\u953?\u945? \u964?\u959? \u949?\u957? \u955?\u972?\u947?\u969? \u932?\u945?\u956?\u949?\u943?\u959? \u954?\u945?\u953? \u964?\u959?\u957? \u917?\u965?\u961?\u969?\u960?\u945?\u970?\u954?\u972? \u922?\u972?\u956?\u946?\u959? \u917?\u960?\u949?\u957?\u948?\u965?\u964?\u953?\u954?\u974?\u957? \u931?\u965?\u956?\u946?\u959?\u965?\u955?\u974?\u957?&lt;/FMT&gt;"/>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240" w:after="0" w:line="240" w:lineRule="auto"/>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uiPriority w:val="9"/>
    <w:qFormat/>
    <w:pPr>
      <w:keepNext/>
      <w:numPr>
        <w:ilvl w:val="1"/>
        <w:numId w:val="5"/>
      </w:numPr>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pPr>
      <w:keepNext/>
      <w:numPr>
        <w:ilvl w:val="2"/>
        <w:numId w:val="5"/>
      </w:numPr>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pPr>
      <w:keepNext/>
      <w:numPr>
        <w:ilvl w:val="3"/>
        <w:numId w:val="5"/>
      </w:numPr>
      <w:spacing w:after="0" w:line="240" w:lineRule="auto"/>
      <w:outlineLvl w:val="3"/>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rPr>
      <w:shd w:val="clear" w:color="auto" w:fill="auto"/>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240" w:after="0" w:line="240" w:lineRule="auto"/>
      <w:outlineLvl w:val="0"/>
    </w:pPr>
    <w:rPr>
      <w:rFonts w:ascii="Times New Roman" w:eastAsia="Times New Roman" w:hAnsi="Times New Roman" w:cs="Times New Roman"/>
      <w:b/>
      <w:smallCaps/>
      <w:sz w:val="20"/>
      <w:szCs w:val="20"/>
    </w:rPr>
  </w:style>
  <w:style w:type="paragraph" w:styleId="Heading2">
    <w:name w:val="heading 2"/>
    <w:basedOn w:val="Normal"/>
    <w:next w:val="Normal"/>
    <w:link w:val="Heading2Char"/>
    <w:uiPriority w:val="9"/>
    <w:qFormat/>
    <w:pPr>
      <w:keepNext/>
      <w:numPr>
        <w:ilvl w:val="1"/>
        <w:numId w:val="5"/>
      </w:numPr>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qFormat/>
    <w:pPr>
      <w:keepNext/>
      <w:numPr>
        <w:ilvl w:val="2"/>
        <w:numId w:val="5"/>
      </w:numPr>
      <w:spacing w:after="0" w:line="240" w:lineRule="auto"/>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pPr>
      <w:keepNext/>
      <w:numPr>
        <w:ilvl w:val="3"/>
        <w:numId w:val="5"/>
      </w:numPr>
      <w:spacing w:after="0" w:line="240" w:lineRule="auto"/>
      <w:outlineLvl w:val="3"/>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uiPriority w:val="99"/>
    <w:rPr>
      <w:shd w:val="clear" w:color="auto" w:fill="auto"/>
      <w:vertAlign w:val="superscript"/>
    </w:rPr>
  </w:style>
  <w:style w:type="character" w:customStyle="1" w:styleId="Heading1Char">
    <w:name w:val="Heading 1 Char"/>
    <w:basedOn w:val="DefaultParagraphFont"/>
    <w:link w:val="Heading1"/>
    <w:uiPriority w:val="9"/>
    <w:rPr>
      <w:rFonts w:ascii="Times New Roman" w:eastAsia="Times New Roman" w:hAnsi="Times New Roman" w:cs="Times New Roman"/>
      <w:b/>
      <w:smallCaps/>
      <w:sz w:val="20"/>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8BE8-0F72-4280-9517-291B3947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1318</Words>
  <Characters>7661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2018-04-10T07:53:00Z</cp:lastPrinted>
  <dcterms:created xsi:type="dcterms:W3CDTF">2019-09-30T09:41:00Z</dcterms:created>
  <dcterms:modified xsi:type="dcterms:W3CDTF">2019-10-11T14:06:00Z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PTemplateID">
    <vt:lpwstr>CP-006</vt:lpwstr>
  </property>
</Properties>
</file>