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alt="2BD985EA-5000-4F5F-9527-C2AAACF89C95" style="width:450.7pt;height:374.95pt">
            <v:imagedata r:id="rId9" o:title=""/>
          </v:shape>
        </w:pict>
      </w:r>
    </w:p>
    <w:bookmarkEnd w:id="0"/>
    <w:p>
      <w:pPr>
        <w:rPr>
          <w:noProof/>
        </w:rPr>
        <w:sectPr>
          <w:headerReference w:type="even" r:id="rId10"/>
          <w:headerReference w:type="default" r:id="rId11"/>
          <w:footerReference w:type="even" r:id="rId12"/>
          <w:footerReference w:type="default" r:id="rId13"/>
          <w:headerReference w:type="first" r:id="rId14"/>
          <w:footerReference w:type="first" r:id="rId15"/>
          <w:pgSz w:w="11907" w:h="16839"/>
          <w:pgMar w:top="1134" w:right="1417" w:bottom="1134" w:left="1417" w:header="709" w:footer="709" w:gutter="0"/>
          <w:pgNumType w:start="1"/>
          <w:cols w:space="720"/>
          <w:docGrid w:linePitch="360"/>
        </w:sectPr>
      </w:pPr>
    </w:p>
    <w:p>
      <w:pPr>
        <w:pStyle w:val="TOCHeading"/>
        <w:rPr>
          <w:rFonts w:asciiTheme="majorHAnsi" w:hAnsiTheme="majorHAnsi"/>
          <w:noProof/>
          <w:sz w:val="20"/>
        </w:rPr>
      </w:pPr>
      <w:bookmarkStart w:id="1" w:name="_GoBack"/>
      <w:bookmarkEnd w:id="1"/>
      <w:r>
        <w:rPr>
          <w:rFonts w:asciiTheme="majorHAnsi" w:hAnsiTheme="majorHAnsi"/>
          <w:noProof/>
          <w:sz w:val="20"/>
        </w:rPr>
        <w:lastRenderedPageBreak/>
        <w:t>OBSAH</w:t>
      </w:r>
    </w:p>
    <w:p>
      <w:pPr>
        <w:pStyle w:val="TOC5"/>
        <w:ind w:left="0"/>
        <w:jc w:val="center"/>
        <w:rPr>
          <w:rFonts w:asciiTheme="majorHAnsi" w:hAnsiTheme="majorHAnsi"/>
          <w:b/>
          <w:noProof/>
          <w:szCs w:val="24"/>
        </w:rPr>
      </w:pPr>
      <w:r>
        <w:rPr>
          <w:rFonts w:asciiTheme="majorHAnsi" w:hAnsiTheme="majorHAnsi"/>
          <w:b/>
          <w:noProof/>
        </w:rPr>
        <w:t>SPRÁVA KOMISIE EURÓPSKEMU PARLAMENTU A RADE</w:t>
      </w:r>
    </w:p>
    <w:p>
      <w:pPr>
        <w:pStyle w:val="TOC5"/>
        <w:ind w:left="0"/>
        <w:jc w:val="center"/>
        <w:rPr>
          <w:rFonts w:asciiTheme="majorHAnsi" w:hAnsiTheme="majorHAnsi"/>
          <w:b/>
          <w:noProof/>
          <w:szCs w:val="24"/>
        </w:rPr>
      </w:pPr>
      <w:r>
        <w:rPr>
          <w:rFonts w:asciiTheme="majorHAnsi" w:hAnsiTheme="majorHAnsi"/>
          <w:b/>
          <w:noProof/>
        </w:rPr>
        <w:t>30. výročná správa o ochrane finančných záujmov Európskej únie a boji proti podvodom (2018)</w:t>
      </w:r>
    </w:p>
    <w:p>
      <w:pPr>
        <w:pStyle w:val="TOC1"/>
        <w:tabs>
          <w:tab w:val="left" w:pos="480"/>
          <w:tab w:val="right" w:leader="dot" w:pos="9063"/>
        </w:tabs>
        <w:rPr>
          <w:rFonts w:asciiTheme="minorHAnsi" w:eastAsiaTheme="minorEastAsia" w:hAnsiTheme="minorHAnsi" w:cstheme="minorBidi"/>
          <w:b w:val="0"/>
          <w:bCs w:val="0"/>
          <w:caps w:val="0"/>
          <w:noProof/>
          <w:spacing w:val="-2"/>
          <w:sz w:val="22"/>
          <w:szCs w:val="22"/>
          <w:lang w:val="en-US"/>
        </w:rPr>
      </w:pPr>
      <w:r>
        <w:rPr>
          <w:noProof/>
          <w:sz w:val="20"/>
        </w:rPr>
        <w:fldChar w:fldCharType="begin"/>
      </w:r>
      <w:r>
        <w:rPr>
          <w:noProof/>
          <w:sz w:val="20"/>
        </w:rPr>
        <w:instrText xml:space="preserve"> TOC \o "1-4" \h \z \u </w:instrText>
      </w:r>
      <w:r>
        <w:rPr>
          <w:noProof/>
          <w:sz w:val="20"/>
        </w:rPr>
        <w:fldChar w:fldCharType="separate"/>
      </w:r>
      <w:hyperlink w:anchor="_Toc22547292" w:history="1">
        <w:r>
          <w:rPr>
            <w:rStyle w:val="Hyperlink"/>
            <w:noProof/>
            <w:spacing w:val="-2"/>
          </w:rPr>
          <w:t>1.</w:t>
        </w:r>
        <w:r>
          <w:rPr>
            <w:rFonts w:asciiTheme="minorHAnsi" w:eastAsiaTheme="minorEastAsia" w:hAnsiTheme="minorHAnsi" w:cstheme="minorBidi"/>
            <w:b w:val="0"/>
            <w:bCs w:val="0"/>
            <w:caps w:val="0"/>
            <w:noProof/>
            <w:spacing w:val="-2"/>
            <w:sz w:val="22"/>
            <w:szCs w:val="22"/>
            <w:lang w:val="en-US"/>
          </w:rPr>
          <w:tab/>
        </w:r>
        <w:r>
          <w:rPr>
            <w:rStyle w:val="Hyperlink"/>
            <w:noProof/>
            <w:spacing w:val="-2"/>
          </w:rPr>
          <w:t>Úvod</w:t>
        </w:r>
        <w:r>
          <w:rPr>
            <w:noProof/>
            <w:webHidden/>
            <w:spacing w:val="-2"/>
          </w:rPr>
          <w:tab/>
        </w:r>
        <w:r>
          <w:rPr>
            <w:noProof/>
            <w:webHidden/>
            <w:spacing w:val="-2"/>
          </w:rPr>
          <w:fldChar w:fldCharType="begin"/>
        </w:r>
        <w:r>
          <w:rPr>
            <w:noProof/>
            <w:webHidden/>
            <w:spacing w:val="-2"/>
          </w:rPr>
          <w:instrText xml:space="preserve"> PAGEREF _Toc22547292 \h </w:instrText>
        </w:r>
        <w:r>
          <w:rPr>
            <w:noProof/>
            <w:webHidden/>
            <w:spacing w:val="-2"/>
          </w:rPr>
        </w:r>
        <w:r>
          <w:rPr>
            <w:noProof/>
            <w:webHidden/>
            <w:spacing w:val="-2"/>
          </w:rPr>
          <w:fldChar w:fldCharType="separate"/>
        </w:r>
        <w:r>
          <w:rPr>
            <w:noProof/>
            <w:webHidden/>
            <w:spacing w:val="-2"/>
          </w:rPr>
          <w:t>6</w:t>
        </w:r>
        <w:r>
          <w:rPr>
            <w:noProof/>
            <w:webHidden/>
            <w:spacing w:val="-2"/>
          </w:rPr>
          <w:fldChar w:fldCharType="end"/>
        </w:r>
      </w:hyperlink>
    </w:p>
    <w:p>
      <w:pPr>
        <w:pStyle w:val="TOC2"/>
        <w:tabs>
          <w:tab w:val="left" w:pos="720"/>
          <w:tab w:val="right" w:leader="dot" w:pos="9063"/>
        </w:tabs>
        <w:rPr>
          <w:rFonts w:eastAsiaTheme="minorEastAsia" w:cstheme="minorBidi"/>
          <w:b w:val="0"/>
          <w:bCs w:val="0"/>
          <w:noProof/>
          <w:spacing w:val="-2"/>
          <w:sz w:val="22"/>
          <w:szCs w:val="22"/>
          <w:lang w:val="en-US"/>
        </w:rPr>
      </w:pPr>
      <w:hyperlink w:anchor="_Toc22547293" w:history="1">
        <w:r>
          <w:rPr>
            <w:rStyle w:val="Hyperlink"/>
            <w:rFonts w:asciiTheme="majorHAnsi" w:hAnsiTheme="majorHAnsi"/>
            <w:noProof/>
            <w:spacing w:val="-2"/>
          </w:rPr>
          <w:t>1.1.</w:t>
        </w:r>
        <w:r>
          <w:rPr>
            <w:rFonts w:eastAsiaTheme="minorEastAsia" w:cstheme="minorBidi"/>
            <w:b w:val="0"/>
            <w:bCs w:val="0"/>
            <w:noProof/>
            <w:spacing w:val="-2"/>
            <w:sz w:val="22"/>
            <w:szCs w:val="22"/>
            <w:lang w:val="en-US"/>
          </w:rPr>
          <w:tab/>
        </w:r>
        <w:r>
          <w:rPr>
            <w:rStyle w:val="Hyperlink"/>
            <w:rFonts w:asciiTheme="majorHAnsi" w:hAnsiTheme="majorHAnsi"/>
            <w:noProof/>
            <w:spacing w:val="-2"/>
          </w:rPr>
          <w:t>Prvé desaťročie (1989 – 1998): položenie základov</w:t>
        </w:r>
        <w:r>
          <w:rPr>
            <w:noProof/>
            <w:webHidden/>
            <w:spacing w:val="-2"/>
          </w:rPr>
          <w:tab/>
        </w:r>
        <w:r>
          <w:rPr>
            <w:noProof/>
            <w:webHidden/>
            <w:spacing w:val="-2"/>
          </w:rPr>
          <w:fldChar w:fldCharType="begin"/>
        </w:r>
        <w:r>
          <w:rPr>
            <w:noProof/>
            <w:webHidden/>
            <w:spacing w:val="-2"/>
          </w:rPr>
          <w:instrText xml:space="preserve"> PAGEREF _Toc22547293 \h </w:instrText>
        </w:r>
        <w:r>
          <w:rPr>
            <w:noProof/>
            <w:webHidden/>
            <w:spacing w:val="-2"/>
          </w:rPr>
        </w:r>
        <w:r>
          <w:rPr>
            <w:noProof/>
            <w:webHidden/>
            <w:spacing w:val="-2"/>
          </w:rPr>
          <w:fldChar w:fldCharType="separate"/>
        </w:r>
        <w:r>
          <w:rPr>
            <w:noProof/>
            <w:webHidden/>
            <w:spacing w:val="-2"/>
          </w:rPr>
          <w:t>6</w:t>
        </w:r>
        <w:r>
          <w:rPr>
            <w:noProof/>
            <w:webHidden/>
            <w:spacing w:val="-2"/>
          </w:rPr>
          <w:fldChar w:fldCharType="end"/>
        </w:r>
      </w:hyperlink>
    </w:p>
    <w:p>
      <w:pPr>
        <w:pStyle w:val="TOC2"/>
        <w:tabs>
          <w:tab w:val="left" w:pos="720"/>
          <w:tab w:val="right" w:leader="dot" w:pos="9063"/>
        </w:tabs>
        <w:rPr>
          <w:rFonts w:eastAsiaTheme="minorEastAsia" w:cstheme="minorBidi"/>
          <w:b w:val="0"/>
          <w:bCs w:val="0"/>
          <w:noProof/>
          <w:spacing w:val="-2"/>
          <w:sz w:val="22"/>
          <w:szCs w:val="22"/>
          <w:lang w:val="en-US"/>
        </w:rPr>
      </w:pPr>
      <w:hyperlink w:anchor="_Toc22547294" w:history="1">
        <w:r>
          <w:rPr>
            <w:rStyle w:val="Hyperlink"/>
            <w:rFonts w:asciiTheme="majorHAnsi" w:hAnsiTheme="majorHAnsi"/>
            <w:noProof/>
            <w:spacing w:val="-2"/>
          </w:rPr>
          <w:t>1.2.</w:t>
        </w:r>
        <w:r>
          <w:rPr>
            <w:rFonts w:eastAsiaTheme="minorEastAsia" w:cstheme="minorBidi"/>
            <w:b w:val="0"/>
            <w:bCs w:val="0"/>
            <w:noProof/>
            <w:spacing w:val="-2"/>
            <w:sz w:val="22"/>
            <w:szCs w:val="22"/>
            <w:lang w:val="en-US"/>
          </w:rPr>
          <w:tab/>
        </w:r>
        <w:r>
          <w:rPr>
            <w:rStyle w:val="Hyperlink"/>
            <w:rFonts w:asciiTheme="majorHAnsi" w:hAnsiTheme="majorHAnsi"/>
            <w:noProof/>
            <w:spacing w:val="-2"/>
          </w:rPr>
          <w:t>Druhé desaťročie (1999 – 2008): rozšírenie, konsolidácia a operačné reformy</w:t>
        </w:r>
        <w:r>
          <w:rPr>
            <w:noProof/>
            <w:webHidden/>
            <w:spacing w:val="-2"/>
          </w:rPr>
          <w:tab/>
        </w:r>
        <w:r>
          <w:rPr>
            <w:noProof/>
            <w:webHidden/>
            <w:spacing w:val="-2"/>
          </w:rPr>
          <w:fldChar w:fldCharType="begin"/>
        </w:r>
        <w:r>
          <w:rPr>
            <w:noProof/>
            <w:webHidden/>
            <w:spacing w:val="-2"/>
          </w:rPr>
          <w:instrText xml:space="preserve"> PAGEREF _Toc22547294 \h </w:instrText>
        </w:r>
        <w:r>
          <w:rPr>
            <w:noProof/>
            <w:webHidden/>
            <w:spacing w:val="-2"/>
          </w:rPr>
        </w:r>
        <w:r>
          <w:rPr>
            <w:noProof/>
            <w:webHidden/>
            <w:spacing w:val="-2"/>
          </w:rPr>
          <w:fldChar w:fldCharType="separate"/>
        </w:r>
        <w:r>
          <w:rPr>
            <w:noProof/>
            <w:webHidden/>
            <w:spacing w:val="-2"/>
          </w:rPr>
          <w:t>7</w:t>
        </w:r>
        <w:r>
          <w:rPr>
            <w:noProof/>
            <w:webHidden/>
            <w:spacing w:val="-2"/>
          </w:rPr>
          <w:fldChar w:fldCharType="end"/>
        </w:r>
      </w:hyperlink>
    </w:p>
    <w:p>
      <w:pPr>
        <w:pStyle w:val="TOC2"/>
        <w:tabs>
          <w:tab w:val="left" w:pos="720"/>
          <w:tab w:val="right" w:leader="dot" w:pos="9063"/>
        </w:tabs>
        <w:rPr>
          <w:rFonts w:eastAsiaTheme="minorEastAsia" w:cstheme="minorBidi"/>
          <w:b w:val="0"/>
          <w:bCs w:val="0"/>
          <w:noProof/>
          <w:spacing w:val="-2"/>
          <w:sz w:val="22"/>
          <w:szCs w:val="22"/>
          <w:lang w:val="en-US"/>
        </w:rPr>
      </w:pPr>
      <w:hyperlink w:anchor="_Toc22547295" w:history="1">
        <w:r>
          <w:rPr>
            <w:rStyle w:val="Hyperlink"/>
            <w:rFonts w:asciiTheme="majorHAnsi" w:hAnsiTheme="majorHAnsi"/>
            <w:noProof/>
            <w:spacing w:val="-2"/>
          </w:rPr>
          <w:t>1.3.</w:t>
        </w:r>
        <w:r>
          <w:rPr>
            <w:rFonts w:eastAsiaTheme="minorEastAsia" w:cstheme="minorBidi"/>
            <w:b w:val="0"/>
            <w:bCs w:val="0"/>
            <w:noProof/>
            <w:spacing w:val="-2"/>
            <w:sz w:val="22"/>
            <w:szCs w:val="22"/>
            <w:lang w:val="en-US"/>
          </w:rPr>
          <w:tab/>
        </w:r>
        <w:r>
          <w:rPr>
            <w:rStyle w:val="Hyperlink"/>
            <w:rFonts w:asciiTheme="majorHAnsi" w:hAnsiTheme="majorHAnsi"/>
            <w:noProof/>
            <w:spacing w:val="-2"/>
          </w:rPr>
          <w:t>Tretie desaťročie (2009 – 2018): reformy a nový skok vpred</w:t>
        </w:r>
        <w:r>
          <w:rPr>
            <w:noProof/>
            <w:webHidden/>
            <w:spacing w:val="-2"/>
          </w:rPr>
          <w:tab/>
        </w:r>
        <w:r>
          <w:rPr>
            <w:noProof/>
            <w:webHidden/>
            <w:spacing w:val="-2"/>
          </w:rPr>
          <w:fldChar w:fldCharType="begin"/>
        </w:r>
        <w:r>
          <w:rPr>
            <w:noProof/>
            <w:webHidden/>
            <w:spacing w:val="-2"/>
          </w:rPr>
          <w:instrText xml:space="preserve"> PAGEREF _Toc22547295 \h </w:instrText>
        </w:r>
        <w:r>
          <w:rPr>
            <w:noProof/>
            <w:webHidden/>
            <w:spacing w:val="-2"/>
          </w:rPr>
        </w:r>
        <w:r>
          <w:rPr>
            <w:noProof/>
            <w:webHidden/>
            <w:spacing w:val="-2"/>
          </w:rPr>
          <w:fldChar w:fldCharType="separate"/>
        </w:r>
        <w:r>
          <w:rPr>
            <w:noProof/>
            <w:webHidden/>
            <w:spacing w:val="-2"/>
          </w:rPr>
          <w:t>9</w:t>
        </w:r>
        <w:r>
          <w:rPr>
            <w:noProof/>
            <w:webHidden/>
            <w:spacing w:val="-2"/>
          </w:rPr>
          <w:fldChar w:fldCharType="end"/>
        </w:r>
      </w:hyperlink>
    </w:p>
    <w:p>
      <w:pPr>
        <w:pStyle w:val="TOC1"/>
        <w:tabs>
          <w:tab w:val="left" w:pos="480"/>
          <w:tab w:val="right" w:leader="dot" w:pos="9063"/>
        </w:tabs>
        <w:rPr>
          <w:rFonts w:asciiTheme="minorHAnsi" w:eastAsiaTheme="minorEastAsia" w:hAnsiTheme="minorHAnsi" w:cstheme="minorBidi"/>
          <w:b w:val="0"/>
          <w:bCs w:val="0"/>
          <w:caps w:val="0"/>
          <w:noProof/>
          <w:spacing w:val="-2"/>
          <w:sz w:val="22"/>
          <w:szCs w:val="22"/>
          <w:lang w:val="en-US"/>
        </w:rPr>
      </w:pPr>
      <w:hyperlink w:anchor="_Toc22547296" w:history="1">
        <w:r>
          <w:rPr>
            <w:rStyle w:val="Hyperlink"/>
            <w:noProof/>
            <w:spacing w:val="-2"/>
          </w:rPr>
          <w:t>2.</w:t>
        </w:r>
        <w:r>
          <w:rPr>
            <w:rFonts w:asciiTheme="minorHAnsi" w:eastAsiaTheme="minorEastAsia" w:hAnsiTheme="minorHAnsi" w:cstheme="minorBidi"/>
            <w:b w:val="0"/>
            <w:bCs w:val="0"/>
            <w:caps w:val="0"/>
            <w:noProof/>
            <w:spacing w:val="-2"/>
            <w:sz w:val="22"/>
            <w:szCs w:val="22"/>
            <w:lang w:val="en-US"/>
          </w:rPr>
          <w:tab/>
        </w:r>
        <w:r>
          <w:rPr>
            <w:rStyle w:val="Hyperlink"/>
            <w:noProof/>
            <w:spacing w:val="-2"/>
          </w:rPr>
          <w:t>Harmonizácia a posilnenie boja proti podvodom v celej EÚ: prierezové politiky a opatrenia na boj proti podvodom a ich výsledky v roku 2018</w:t>
        </w:r>
        <w:r>
          <w:rPr>
            <w:noProof/>
            <w:webHidden/>
            <w:spacing w:val="-2"/>
          </w:rPr>
          <w:tab/>
        </w:r>
        <w:r>
          <w:rPr>
            <w:noProof/>
            <w:webHidden/>
            <w:spacing w:val="-2"/>
          </w:rPr>
          <w:fldChar w:fldCharType="begin"/>
        </w:r>
        <w:r>
          <w:rPr>
            <w:noProof/>
            <w:webHidden/>
            <w:spacing w:val="-2"/>
          </w:rPr>
          <w:instrText xml:space="preserve"> PAGEREF _Toc22547296 \h </w:instrText>
        </w:r>
        <w:r>
          <w:rPr>
            <w:noProof/>
            <w:webHidden/>
            <w:spacing w:val="-2"/>
          </w:rPr>
        </w:r>
        <w:r>
          <w:rPr>
            <w:noProof/>
            <w:webHidden/>
            <w:spacing w:val="-2"/>
          </w:rPr>
          <w:fldChar w:fldCharType="separate"/>
        </w:r>
        <w:r>
          <w:rPr>
            <w:noProof/>
            <w:webHidden/>
            <w:spacing w:val="-2"/>
          </w:rPr>
          <w:t>10</w:t>
        </w:r>
        <w:r>
          <w:rPr>
            <w:noProof/>
            <w:webHidden/>
            <w:spacing w:val="-2"/>
          </w:rPr>
          <w:fldChar w:fldCharType="end"/>
        </w:r>
      </w:hyperlink>
    </w:p>
    <w:p>
      <w:pPr>
        <w:pStyle w:val="TOC2"/>
        <w:tabs>
          <w:tab w:val="left" w:pos="720"/>
          <w:tab w:val="right" w:leader="dot" w:pos="9063"/>
        </w:tabs>
        <w:rPr>
          <w:rFonts w:eastAsiaTheme="minorEastAsia" w:cstheme="minorBidi"/>
          <w:b w:val="0"/>
          <w:bCs w:val="0"/>
          <w:noProof/>
          <w:spacing w:val="-2"/>
          <w:sz w:val="22"/>
          <w:szCs w:val="22"/>
          <w:lang w:val="en-US"/>
        </w:rPr>
      </w:pPr>
      <w:hyperlink w:anchor="_Toc22547297" w:history="1">
        <w:r>
          <w:rPr>
            <w:rStyle w:val="Hyperlink"/>
            <w:rFonts w:asciiTheme="majorHAnsi" w:hAnsiTheme="majorHAnsi"/>
            <w:noProof/>
            <w:spacing w:val="-2"/>
          </w:rPr>
          <w:t>2.1.</w:t>
        </w:r>
        <w:r>
          <w:rPr>
            <w:rFonts w:eastAsiaTheme="minorEastAsia" w:cstheme="minorBidi"/>
            <w:b w:val="0"/>
            <w:bCs w:val="0"/>
            <w:noProof/>
            <w:spacing w:val="-2"/>
            <w:sz w:val="22"/>
            <w:szCs w:val="22"/>
            <w:lang w:val="en-US"/>
          </w:rPr>
          <w:tab/>
        </w:r>
        <w:r>
          <w:rPr>
            <w:rStyle w:val="Hyperlink"/>
            <w:rFonts w:asciiTheme="majorHAnsi" w:hAnsiTheme="majorHAnsi"/>
            <w:noProof/>
            <w:spacing w:val="-2"/>
          </w:rPr>
          <w:t>Legislatívne akty prijaté inštitúciami EÚ</w:t>
        </w:r>
        <w:r>
          <w:rPr>
            <w:noProof/>
            <w:webHidden/>
            <w:spacing w:val="-2"/>
          </w:rPr>
          <w:tab/>
        </w:r>
        <w:r>
          <w:rPr>
            <w:noProof/>
            <w:webHidden/>
            <w:spacing w:val="-2"/>
          </w:rPr>
          <w:fldChar w:fldCharType="begin"/>
        </w:r>
        <w:r>
          <w:rPr>
            <w:noProof/>
            <w:webHidden/>
            <w:spacing w:val="-2"/>
          </w:rPr>
          <w:instrText xml:space="preserve"> PAGEREF _Toc22547297 \h </w:instrText>
        </w:r>
        <w:r>
          <w:rPr>
            <w:noProof/>
            <w:webHidden/>
            <w:spacing w:val="-2"/>
          </w:rPr>
        </w:r>
        <w:r>
          <w:rPr>
            <w:noProof/>
            <w:webHidden/>
            <w:spacing w:val="-2"/>
          </w:rPr>
          <w:fldChar w:fldCharType="separate"/>
        </w:r>
        <w:r>
          <w:rPr>
            <w:noProof/>
            <w:webHidden/>
            <w:spacing w:val="-2"/>
          </w:rPr>
          <w:t>10</w:t>
        </w:r>
        <w:r>
          <w:rPr>
            <w:noProof/>
            <w:webHidden/>
            <w:spacing w:val="-2"/>
          </w:rPr>
          <w:fldChar w:fldCharType="end"/>
        </w:r>
      </w:hyperlink>
    </w:p>
    <w:p>
      <w:pPr>
        <w:pStyle w:val="TOC3"/>
        <w:tabs>
          <w:tab w:val="left" w:pos="960"/>
          <w:tab w:val="right" w:leader="dot" w:pos="9063"/>
        </w:tabs>
        <w:rPr>
          <w:rFonts w:eastAsiaTheme="minorEastAsia" w:cstheme="minorBidi"/>
          <w:noProof/>
          <w:spacing w:val="-2"/>
          <w:sz w:val="22"/>
          <w:szCs w:val="22"/>
          <w:lang w:val="en-US"/>
        </w:rPr>
      </w:pPr>
      <w:hyperlink w:anchor="_Toc22547298" w:history="1">
        <w:r>
          <w:rPr>
            <w:rStyle w:val="Hyperlink"/>
            <w:rFonts w:asciiTheme="majorHAnsi" w:hAnsiTheme="majorHAnsi"/>
            <w:noProof/>
            <w:spacing w:val="-2"/>
          </w:rPr>
          <w:t>2.1.1.</w:t>
        </w:r>
        <w:r>
          <w:rPr>
            <w:rFonts w:eastAsiaTheme="minorEastAsia" w:cstheme="minorBidi"/>
            <w:noProof/>
            <w:spacing w:val="-2"/>
            <w:sz w:val="22"/>
            <w:szCs w:val="22"/>
            <w:lang w:val="en-US"/>
          </w:rPr>
          <w:tab/>
        </w:r>
        <w:r>
          <w:rPr>
            <w:rStyle w:val="Hyperlink"/>
            <w:rFonts w:asciiTheme="majorHAnsi" w:hAnsiTheme="majorHAnsi"/>
            <w:noProof/>
            <w:spacing w:val="-2"/>
          </w:rPr>
          <w:t>Nariadenie, ktorým sa vykonáva posilnená spolupráca na účely zriadenia Európskej prokuratúry: súčasný stav</w:t>
        </w:r>
        <w:r>
          <w:rPr>
            <w:noProof/>
            <w:webHidden/>
            <w:spacing w:val="-2"/>
          </w:rPr>
          <w:tab/>
        </w:r>
        <w:r>
          <w:rPr>
            <w:noProof/>
            <w:webHidden/>
            <w:spacing w:val="-2"/>
          </w:rPr>
          <w:fldChar w:fldCharType="begin"/>
        </w:r>
        <w:r>
          <w:rPr>
            <w:noProof/>
            <w:webHidden/>
            <w:spacing w:val="-2"/>
          </w:rPr>
          <w:instrText xml:space="preserve"> PAGEREF _Toc22547298 \h </w:instrText>
        </w:r>
        <w:r>
          <w:rPr>
            <w:noProof/>
            <w:webHidden/>
            <w:spacing w:val="-2"/>
          </w:rPr>
        </w:r>
        <w:r>
          <w:rPr>
            <w:noProof/>
            <w:webHidden/>
            <w:spacing w:val="-2"/>
          </w:rPr>
          <w:fldChar w:fldCharType="separate"/>
        </w:r>
        <w:r>
          <w:rPr>
            <w:noProof/>
            <w:webHidden/>
            <w:spacing w:val="-2"/>
          </w:rPr>
          <w:t>10</w:t>
        </w:r>
        <w:r>
          <w:rPr>
            <w:noProof/>
            <w:webHidden/>
            <w:spacing w:val="-2"/>
          </w:rPr>
          <w:fldChar w:fldCharType="end"/>
        </w:r>
      </w:hyperlink>
    </w:p>
    <w:p>
      <w:pPr>
        <w:pStyle w:val="TOC3"/>
        <w:tabs>
          <w:tab w:val="left" w:pos="960"/>
          <w:tab w:val="right" w:leader="dot" w:pos="9063"/>
        </w:tabs>
        <w:rPr>
          <w:rFonts w:eastAsiaTheme="minorEastAsia" w:cstheme="minorBidi"/>
          <w:noProof/>
          <w:spacing w:val="-2"/>
          <w:sz w:val="22"/>
          <w:szCs w:val="22"/>
          <w:lang w:val="en-US"/>
        </w:rPr>
      </w:pPr>
      <w:hyperlink w:anchor="_Toc22547299" w:history="1">
        <w:r>
          <w:rPr>
            <w:rStyle w:val="Hyperlink"/>
            <w:rFonts w:asciiTheme="majorHAnsi" w:hAnsiTheme="majorHAnsi"/>
            <w:noProof/>
            <w:spacing w:val="-2"/>
          </w:rPr>
          <w:t>2.1.2.</w:t>
        </w:r>
        <w:r>
          <w:rPr>
            <w:rFonts w:eastAsiaTheme="minorEastAsia" w:cstheme="minorBidi"/>
            <w:noProof/>
            <w:spacing w:val="-2"/>
            <w:sz w:val="22"/>
            <w:szCs w:val="22"/>
            <w:lang w:val="en-US"/>
          </w:rPr>
          <w:tab/>
        </w:r>
        <w:r>
          <w:rPr>
            <w:rStyle w:val="Hyperlink"/>
            <w:rFonts w:asciiTheme="majorHAnsi" w:hAnsiTheme="majorHAnsi"/>
            <w:noProof/>
            <w:spacing w:val="-2"/>
          </w:rPr>
          <w:t>Súhrnné nariadenie</w:t>
        </w:r>
        <w:r>
          <w:rPr>
            <w:noProof/>
            <w:webHidden/>
            <w:spacing w:val="-2"/>
          </w:rPr>
          <w:tab/>
        </w:r>
        <w:r>
          <w:rPr>
            <w:noProof/>
            <w:webHidden/>
            <w:spacing w:val="-2"/>
          </w:rPr>
          <w:fldChar w:fldCharType="begin"/>
        </w:r>
        <w:r>
          <w:rPr>
            <w:noProof/>
            <w:webHidden/>
            <w:spacing w:val="-2"/>
          </w:rPr>
          <w:instrText xml:space="preserve"> PAGEREF _Toc22547299 \h </w:instrText>
        </w:r>
        <w:r>
          <w:rPr>
            <w:noProof/>
            <w:webHidden/>
            <w:spacing w:val="-2"/>
          </w:rPr>
        </w:r>
        <w:r>
          <w:rPr>
            <w:noProof/>
            <w:webHidden/>
            <w:spacing w:val="-2"/>
          </w:rPr>
          <w:fldChar w:fldCharType="separate"/>
        </w:r>
        <w:r>
          <w:rPr>
            <w:noProof/>
            <w:webHidden/>
            <w:spacing w:val="-2"/>
          </w:rPr>
          <w:t>11</w:t>
        </w:r>
        <w:r>
          <w:rPr>
            <w:noProof/>
            <w:webHidden/>
            <w:spacing w:val="-2"/>
          </w:rPr>
          <w:fldChar w:fldCharType="end"/>
        </w:r>
      </w:hyperlink>
    </w:p>
    <w:p>
      <w:pPr>
        <w:pStyle w:val="TOC2"/>
        <w:tabs>
          <w:tab w:val="left" w:pos="720"/>
          <w:tab w:val="right" w:leader="dot" w:pos="9063"/>
        </w:tabs>
        <w:rPr>
          <w:rFonts w:eastAsiaTheme="minorEastAsia" w:cstheme="minorBidi"/>
          <w:b w:val="0"/>
          <w:bCs w:val="0"/>
          <w:noProof/>
          <w:spacing w:val="-2"/>
          <w:sz w:val="22"/>
          <w:szCs w:val="22"/>
          <w:lang w:val="en-US"/>
        </w:rPr>
      </w:pPr>
      <w:hyperlink w:anchor="_Toc22547300" w:history="1">
        <w:r>
          <w:rPr>
            <w:rStyle w:val="Hyperlink"/>
            <w:rFonts w:asciiTheme="majorHAnsi" w:hAnsiTheme="majorHAnsi"/>
            <w:noProof/>
            <w:spacing w:val="-2"/>
          </w:rPr>
          <w:t>2.2.</w:t>
        </w:r>
        <w:r>
          <w:rPr>
            <w:rFonts w:eastAsiaTheme="minorEastAsia" w:cstheme="minorBidi"/>
            <w:b w:val="0"/>
            <w:bCs w:val="0"/>
            <w:noProof/>
            <w:spacing w:val="-2"/>
            <w:sz w:val="22"/>
            <w:szCs w:val="22"/>
            <w:lang w:val="en-US"/>
          </w:rPr>
          <w:tab/>
        </w:r>
        <w:r>
          <w:rPr>
            <w:rStyle w:val="Hyperlink"/>
            <w:rFonts w:asciiTheme="majorHAnsi" w:hAnsiTheme="majorHAnsi"/>
            <w:noProof/>
            <w:spacing w:val="-2"/>
          </w:rPr>
          <w:t>Formovanie budúcnosti: legislatívne a politické iniciatívy európskych inštitúcií</w:t>
        </w:r>
        <w:r>
          <w:rPr>
            <w:noProof/>
            <w:webHidden/>
            <w:spacing w:val="-2"/>
          </w:rPr>
          <w:tab/>
        </w:r>
        <w:r>
          <w:rPr>
            <w:noProof/>
            <w:webHidden/>
            <w:spacing w:val="-2"/>
          </w:rPr>
          <w:fldChar w:fldCharType="begin"/>
        </w:r>
        <w:r>
          <w:rPr>
            <w:noProof/>
            <w:webHidden/>
            <w:spacing w:val="-2"/>
          </w:rPr>
          <w:instrText xml:space="preserve"> PAGEREF _Toc22547300 \h </w:instrText>
        </w:r>
        <w:r>
          <w:rPr>
            <w:noProof/>
            <w:webHidden/>
            <w:spacing w:val="-2"/>
          </w:rPr>
        </w:r>
        <w:r>
          <w:rPr>
            <w:noProof/>
            <w:webHidden/>
            <w:spacing w:val="-2"/>
          </w:rPr>
          <w:fldChar w:fldCharType="separate"/>
        </w:r>
        <w:r>
          <w:rPr>
            <w:noProof/>
            <w:webHidden/>
            <w:spacing w:val="-2"/>
          </w:rPr>
          <w:t>11</w:t>
        </w:r>
        <w:r>
          <w:rPr>
            <w:noProof/>
            <w:webHidden/>
            <w:spacing w:val="-2"/>
          </w:rPr>
          <w:fldChar w:fldCharType="end"/>
        </w:r>
      </w:hyperlink>
    </w:p>
    <w:p>
      <w:pPr>
        <w:pStyle w:val="TOC3"/>
        <w:tabs>
          <w:tab w:val="left" w:pos="960"/>
          <w:tab w:val="right" w:leader="dot" w:pos="9063"/>
        </w:tabs>
        <w:rPr>
          <w:rFonts w:eastAsiaTheme="minorEastAsia" w:cstheme="minorBidi"/>
          <w:noProof/>
          <w:spacing w:val="-2"/>
          <w:sz w:val="22"/>
          <w:szCs w:val="22"/>
          <w:lang w:val="en-US"/>
        </w:rPr>
      </w:pPr>
      <w:hyperlink w:anchor="_Toc22547301" w:history="1">
        <w:r>
          <w:rPr>
            <w:rStyle w:val="Hyperlink"/>
            <w:rFonts w:asciiTheme="majorHAnsi" w:hAnsiTheme="majorHAnsi"/>
            <w:noProof/>
            <w:spacing w:val="-2"/>
          </w:rPr>
          <w:t>2.2.1.</w:t>
        </w:r>
        <w:r>
          <w:rPr>
            <w:rFonts w:eastAsiaTheme="minorEastAsia" w:cstheme="minorBidi"/>
            <w:noProof/>
            <w:spacing w:val="-2"/>
            <w:sz w:val="22"/>
            <w:szCs w:val="22"/>
            <w:lang w:val="en-US"/>
          </w:rPr>
          <w:tab/>
        </w:r>
        <w:r>
          <w:rPr>
            <w:rStyle w:val="Hyperlink"/>
            <w:rFonts w:asciiTheme="majorHAnsi" w:hAnsiTheme="majorHAnsi"/>
            <w:noProof/>
            <w:spacing w:val="-2"/>
          </w:rPr>
          <w:t>Návrh Komisie na revíziu nariadenia (EÚ, Euratom) č. 883/2013</w:t>
        </w:r>
        <w:r>
          <w:rPr>
            <w:noProof/>
            <w:webHidden/>
            <w:spacing w:val="-2"/>
          </w:rPr>
          <w:tab/>
        </w:r>
        <w:r>
          <w:rPr>
            <w:noProof/>
            <w:webHidden/>
            <w:spacing w:val="-2"/>
          </w:rPr>
          <w:fldChar w:fldCharType="begin"/>
        </w:r>
        <w:r>
          <w:rPr>
            <w:noProof/>
            <w:webHidden/>
            <w:spacing w:val="-2"/>
          </w:rPr>
          <w:instrText xml:space="preserve"> PAGEREF _Toc22547301 \h </w:instrText>
        </w:r>
        <w:r>
          <w:rPr>
            <w:noProof/>
            <w:webHidden/>
            <w:spacing w:val="-2"/>
          </w:rPr>
        </w:r>
        <w:r>
          <w:rPr>
            <w:noProof/>
            <w:webHidden/>
            <w:spacing w:val="-2"/>
          </w:rPr>
          <w:fldChar w:fldCharType="separate"/>
        </w:r>
        <w:r>
          <w:rPr>
            <w:noProof/>
            <w:webHidden/>
            <w:spacing w:val="-2"/>
          </w:rPr>
          <w:t>11</w:t>
        </w:r>
        <w:r>
          <w:rPr>
            <w:noProof/>
            <w:webHidden/>
            <w:spacing w:val="-2"/>
          </w:rPr>
          <w:fldChar w:fldCharType="end"/>
        </w:r>
      </w:hyperlink>
    </w:p>
    <w:p>
      <w:pPr>
        <w:pStyle w:val="TOC3"/>
        <w:tabs>
          <w:tab w:val="left" w:pos="960"/>
          <w:tab w:val="right" w:leader="dot" w:pos="9063"/>
        </w:tabs>
        <w:rPr>
          <w:rFonts w:eastAsiaTheme="minorEastAsia" w:cstheme="minorBidi"/>
          <w:noProof/>
          <w:spacing w:val="-2"/>
          <w:sz w:val="22"/>
          <w:szCs w:val="22"/>
          <w:lang w:val="en-US"/>
        </w:rPr>
      </w:pPr>
      <w:hyperlink w:anchor="_Toc22547302" w:history="1">
        <w:r>
          <w:rPr>
            <w:rStyle w:val="Hyperlink"/>
            <w:rFonts w:asciiTheme="majorHAnsi" w:hAnsiTheme="majorHAnsi"/>
            <w:noProof/>
            <w:spacing w:val="-2"/>
          </w:rPr>
          <w:t>2.2.2.</w:t>
        </w:r>
        <w:r>
          <w:rPr>
            <w:rFonts w:eastAsiaTheme="minorEastAsia" w:cstheme="minorBidi"/>
            <w:noProof/>
            <w:spacing w:val="-2"/>
            <w:sz w:val="22"/>
            <w:szCs w:val="22"/>
            <w:lang w:val="en-US"/>
          </w:rPr>
          <w:tab/>
        </w:r>
        <w:r>
          <w:rPr>
            <w:rStyle w:val="Hyperlink"/>
            <w:rFonts w:asciiTheme="majorHAnsi" w:hAnsiTheme="majorHAnsi"/>
            <w:noProof/>
            <w:spacing w:val="-2"/>
          </w:rPr>
          <w:t>Návrh Komisie týkajúci sa nariadenia o ochrane rozpočtu Únie v prípade všeobecných nedostatkov v oblasti dodržiavania zásady právneho štátu v členských štátoch</w:t>
        </w:r>
        <w:r>
          <w:rPr>
            <w:noProof/>
            <w:webHidden/>
            <w:spacing w:val="-2"/>
          </w:rPr>
          <w:tab/>
        </w:r>
        <w:r>
          <w:rPr>
            <w:noProof/>
            <w:webHidden/>
            <w:spacing w:val="-2"/>
          </w:rPr>
          <w:fldChar w:fldCharType="begin"/>
        </w:r>
        <w:r>
          <w:rPr>
            <w:noProof/>
            <w:webHidden/>
            <w:spacing w:val="-2"/>
          </w:rPr>
          <w:instrText xml:space="preserve"> PAGEREF _Toc22547302 \h </w:instrText>
        </w:r>
        <w:r>
          <w:rPr>
            <w:noProof/>
            <w:webHidden/>
            <w:spacing w:val="-2"/>
          </w:rPr>
        </w:r>
        <w:r>
          <w:rPr>
            <w:noProof/>
            <w:webHidden/>
            <w:spacing w:val="-2"/>
          </w:rPr>
          <w:fldChar w:fldCharType="separate"/>
        </w:r>
        <w:r>
          <w:rPr>
            <w:noProof/>
            <w:webHidden/>
            <w:spacing w:val="-2"/>
          </w:rPr>
          <w:t>11</w:t>
        </w:r>
        <w:r>
          <w:rPr>
            <w:noProof/>
            <w:webHidden/>
            <w:spacing w:val="-2"/>
          </w:rPr>
          <w:fldChar w:fldCharType="end"/>
        </w:r>
      </w:hyperlink>
    </w:p>
    <w:p>
      <w:pPr>
        <w:pStyle w:val="TOC3"/>
        <w:tabs>
          <w:tab w:val="left" w:pos="960"/>
          <w:tab w:val="right" w:leader="dot" w:pos="9063"/>
        </w:tabs>
        <w:rPr>
          <w:rFonts w:eastAsiaTheme="minorEastAsia" w:cstheme="minorBidi"/>
          <w:noProof/>
          <w:spacing w:val="-2"/>
          <w:sz w:val="22"/>
          <w:szCs w:val="22"/>
          <w:lang w:val="en-US"/>
        </w:rPr>
      </w:pPr>
      <w:hyperlink w:anchor="_Toc22547303" w:history="1">
        <w:r>
          <w:rPr>
            <w:rStyle w:val="Hyperlink"/>
            <w:rFonts w:asciiTheme="majorHAnsi" w:hAnsiTheme="majorHAnsi"/>
            <w:noProof/>
            <w:spacing w:val="-2"/>
          </w:rPr>
          <w:t>2.2.3.</w:t>
        </w:r>
        <w:r>
          <w:rPr>
            <w:rFonts w:eastAsiaTheme="minorEastAsia" w:cstheme="minorBidi"/>
            <w:noProof/>
            <w:spacing w:val="-2"/>
            <w:sz w:val="22"/>
            <w:szCs w:val="22"/>
            <w:lang w:val="en-US"/>
          </w:rPr>
          <w:tab/>
        </w:r>
        <w:r>
          <w:rPr>
            <w:rStyle w:val="Hyperlink"/>
            <w:rFonts w:asciiTheme="majorHAnsi" w:hAnsiTheme="majorHAnsi"/>
            <w:noProof/>
            <w:spacing w:val="-2"/>
          </w:rPr>
          <w:t>Prierezové ustanovenia o ochrane finančných záujmov EÚ v rámci všetkých návrhov Komisie týkajúcich sa VFR</w:t>
        </w:r>
        <w:r>
          <w:rPr>
            <w:noProof/>
            <w:webHidden/>
            <w:spacing w:val="-2"/>
          </w:rPr>
          <w:tab/>
        </w:r>
        <w:r>
          <w:rPr>
            <w:noProof/>
            <w:webHidden/>
            <w:spacing w:val="-2"/>
          </w:rPr>
          <w:fldChar w:fldCharType="begin"/>
        </w:r>
        <w:r>
          <w:rPr>
            <w:noProof/>
            <w:webHidden/>
            <w:spacing w:val="-2"/>
          </w:rPr>
          <w:instrText xml:space="preserve"> PAGEREF _Toc22547303 \h </w:instrText>
        </w:r>
        <w:r>
          <w:rPr>
            <w:noProof/>
            <w:webHidden/>
            <w:spacing w:val="-2"/>
          </w:rPr>
        </w:r>
        <w:r>
          <w:rPr>
            <w:noProof/>
            <w:webHidden/>
            <w:spacing w:val="-2"/>
          </w:rPr>
          <w:fldChar w:fldCharType="separate"/>
        </w:r>
        <w:r>
          <w:rPr>
            <w:noProof/>
            <w:webHidden/>
            <w:spacing w:val="-2"/>
          </w:rPr>
          <w:t>12</w:t>
        </w:r>
        <w:r>
          <w:rPr>
            <w:noProof/>
            <w:webHidden/>
            <w:spacing w:val="-2"/>
          </w:rPr>
          <w:fldChar w:fldCharType="end"/>
        </w:r>
      </w:hyperlink>
    </w:p>
    <w:p>
      <w:pPr>
        <w:pStyle w:val="TOC3"/>
        <w:tabs>
          <w:tab w:val="left" w:pos="960"/>
          <w:tab w:val="right" w:leader="dot" w:pos="9063"/>
        </w:tabs>
        <w:rPr>
          <w:rFonts w:eastAsiaTheme="minorEastAsia" w:cstheme="minorBidi"/>
          <w:noProof/>
          <w:spacing w:val="-2"/>
          <w:sz w:val="22"/>
          <w:szCs w:val="22"/>
          <w:lang w:val="en-US"/>
        </w:rPr>
      </w:pPr>
      <w:hyperlink w:anchor="_Toc22547304" w:history="1">
        <w:r>
          <w:rPr>
            <w:rStyle w:val="Hyperlink"/>
            <w:rFonts w:asciiTheme="majorHAnsi" w:hAnsiTheme="majorHAnsi"/>
            <w:noProof/>
            <w:spacing w:val="-2"/>
          </w:rPr>
          <w:t>2.2.4.</w:t>
        </w:r>
        <w:r>
          <w:rPr>
            <w:rFonts w:eastAsiaTheme="minorEastAsia" w:cstheme="minorBidi"/>
            <w:noProof/>
            <w:spacing w:val="-2"/>
            <w:sz w:val="22"/>
            <w:szCs w:val="22"/>
            <w:lang w:val="en-US"/>
          </w:rPr>
          <w:tab/>
        </w:r>
        <w:r>
          <w:rPr>
            <w:rStyle w:val="Hyperlink"/>
            <w:rFonts w:asciiTheme="majorHAnsi" w:hAnsiTheme="majorHAnsi"/>
            <w:noProof/>
            <w:spacing w:val="-2"/>
          </w:rPr>
          <w:t>Boj proti korupcii v EÚ</w:t>
        </w:r>
        <w:r>
          <w:rPr>
            <w:noProof/>
            <w:webHidden/>
            <w:spacing w:val="-2"/>
          </w:rPr>
          <w:tab/>
        </w:r>
        <w:r>
          <w:rPr>
            <w:noProof/>
            <w:webHidden/>
            <w:spacing w:val="-2"/>
          </w:rPr>
          <w:fldChar w:fldCharType="begin"/>
        </w:r>
        <w:r>
          <w:rPr>
            <w:noProof/>
            <w:webHidden/>
            <w:spacing w:val="-2"/>
          </w:rPr>
          <w:instrText xml:space="preserve"> PAGEREF _Toc22547304 \h </w:instrText>
        </w:r>
        <w:r>
          <w:rPr>
            <w:noProof/>
            <w:webHidden/>
            <w:spacing w:val="-2"/>
          </w:rPr>
        </w:r>
        <w:r>
          <w:rPr>
            <w:noProof/>
            <w:webHidden/>
            <w:spacing w:val="-2"/>
          </w:rPr>
          <w:fldChar w:fldCharType="separate"/>
        </w:r>
        <w:r>
          <w:rPr>
            <w:noProof/>
            <w:webHidden/>
            <w:spacing w:val="-2"/>
          </w:rPr>
          <w:t>12</w:t>
        </w:r>
        <w:r>
          <w:rPr>
            <w:noProof/>
            <w:webHidden/>
            <w:spacing w:val="-2"/>
          </w:rPr>
          <w:fldChar w:fldCharType="end"/>
        </w:r>
      </w:hyperlink>
    </w:p>
    <w:p>
      <w:pPr>
        <w:pStyle w:val="TOC3"/>
        <w:tabs>
          <w:tab w:val="left" w:pos="960"/>
          <w:tab w:val="right" w:leader="dot" w:pos="9063"/>
        </w:tabs>
        <w:rPr>
          <w:rFonts w:eastAsiaTheme="minorEastAsia" w:cstheme="minorBidi"/>
          <w:noProof/>
          <w:spacing w:val="-2"/>
          <w:sz w:val="22"/>
          <w:szCs w:val="22"/>
          <w:lang w:val="en-US"/>
        </w:rPr>
      </w:pPr>
      <w:hyperlink w:anchor="_Toc22547305" w:history="1">
        <w:r>
          <w:rPr>
            <w:rStyle w:val="Hyperlink"/>
            <w:rFonts w:asciiTheme="majorHAnsi" w:hAnsiTheme="majorHAnsi"/>
            <w:noProof/>
            <w:spacing w:val="-2"/>
          </w:rPr>
          <w:t>2.2.5.</w:t>
        </w:r>
        <w:r>
          <w:rPr>
            <w:rFonts w:eastAsiaTheme="minorEastAsia" w:cstheme="minorBidi"/>
            <w:noProof/>
            <w:spacing w:val="-2"/>
            <w:sz w:val="22"/>
            <w:szCs w:val="22"/>
            <w:lang w:val="en-US"/>
          </w:rPr>
          <w:tab/>
        </w:r>
        <w:r>
          <w:rPr>
            <w:rStyle w:val="Hyperlink"/>
            <w:rFonts w:asciiTheme="majorHAnsi" w:hAnsiTheme="majorHAnsi"/>
            <w:noProof/>
            <w:spacing w:val="-2"/>
          </w:rPr>
          <w:t>Medzinárodná spolupráca</w:t>
        </w:r>
        <w:r>
          <w:rPr>
            <w:noProof/>
            <w:webHidden/>
            <w:spacing w:val="-2"/>
          </w:rPr>
          <w:tab/>
        </w:r>
        <w:r>
          <w:rPr>
            <w:noProof/>
            <w:webHidden/>
            <w:spacing w:val="-2"/>
          </w:rPr>
          <w:fldChar w:fldCharType="begin"/>
        </w:r>
        <w:r>
          <w:rPr>
            <w:noProof/>
            <w:webHidden/>
            <w:spacing w:val="-2"/>
          </w:rPr>
          <w:instrText xml:space="preserve"> PAGEREF _Toc22547305 \h </w:instrText>
        </w:r>
        <w:r>
          <w:rPr>
            <w:noProof/>
            <w:webHidden/>
            <w:spacing w:val="-2"/>
          </w:rPr>
        </w:r>
        <w:r>
          <w:rPr>
            <w:noProof/>
            <w:webHidden/>
            <w:spacing w:val="-2"/>
          </w:rPr>
          <w:fldChar w:fldCharType="separate"/>
        </w:r>
        <w:r>
          <w:rPr>
            <w:noProof/>
            <w:webHidden/>
            <w:spacing w:val="-2"/>
          </w:rPr>
          <w:t>12</w:t>
        </w:r>
        <w:r>
          <w:rPr>
            <w:noProof/>
            <w:webHidden/>
            <w:spacing w:val="-2"/>
          </w:rPr>
          <w:fldChar w:fldCharType="end"/>
        </w:r>
      </w:hyperlink>
    </w:p>
    <w:p>
      <w:pPr>
        <w:pStyle w:val="TOC3"/>
        <w:tabs>
          <w:tab w:val="left" w:pos="960"/>
          <w:tab w:val="right" w:leader="dot" w:pos="9063"/>
        </w:tabs>
        <w:rPr>
          <w:rFonts w:eastAsiaTheme="minorEastAsia" w:cstheme="minorBidi"/>
          <w:noProof/>
          <w:spacing w:val="-2"/>
          <w:sz w:val="22"/>
          <w:szCs w:val="22"/>
          <w:lang w:val="en-US"/>
        </w:rPr>
      </w:pPr>
      <w:hyperlink w:anchor="_Toc22547306" w:history="1">
        <w:r>
          <w:rPr>
            <w:rStyle w:val="Hyperlink"/>
            <w:rFonts w:asciiTheme="majorHAnsi" w:hAnsiTheme="majorHAnsi"/>
            <w:noProof/>
            <w:spacing w:val="-2"/>
          </w:rPr>
          <w:t>2.2.6.</w:t>
        </w:r>
        <w:r>
          <w:rPr>
            <w:rFonts w:eastAsiaTheme="minorEastAsia" w:cstheme="minorBidi"/>
            <w:noProof/>
            <w:spacing w:val="-2"/>
            <w:sz w:val="22"/>
            <w:szCs w:val="22"/>
            <w:lang w:val="en-US"/>
          </w:rPr>
          <w:tab/>
        </w:r>
        <w:r>
          <w:rPr>
            <w:rStyle w:val="Hyperlink"/>
            <w:rFonts w:asciiTheme="majorHAnsi" w:hAnsiTheme="majorHAnsi"/>
            <w:noProof/>
            <w:spacing w:val="-2"/>
          </w:rPr>
          <w:t>Stratégia Komisie v oblasti boja proti podvodom a nový balík opatrení v oblasti riadenia</w:t>
        </w:r>
        <w:r>
          <w:rPr>
            <w:noProof/>
            <w:webHidden/>
            <w:spacing w:val="-2"/>
          </w:rPr>
          <w:tab/>
        </w:r>
        <w:r>
          <w:rPr>
            <w:noProof/>
            <w:webHidden/>
            <w:spacing w:val="-2"/>
          </w:rPr>
          <w:fldChar w:fldCharType="begin"/>
        </w:r>
        <w:r>
          <w:rPr>
            <w:noProof/>
            <w:webHidden/>
            <w:spacing w:val="-2"/>
          </w:rPr>
          <w:instrText xml:space="preserve"> PAGEREF _Toc22547306 \h </w:instrText>
        </w:r>
        <w:r>
          <w:rPr>
            <w:noProof/>
            <w:webHidden/>
            <w:spacing w:val="-2"/>
          </w:rPr>
        </w:r>
        <w:r>
          <w:rPr>
            <w:noProof/>
            <w:webHidden/>
            <w:spacing w:val="-2"/>
          </w:rPr>
          <w:fldChar w:fldCharType="separate"/>
        </w:r>
        <w:r>
          <w:rPr>
            <w:noProof/>
            <w:webHidden/>
            <w:spacing w:val="-2"/>
          </w:rPr>
          <w:t>12</w:t>
        </w:r>
        <w:r>
          <w:rPr>
            <w:noProof/>
            <w:webHidden/>
            <w:spacing w:val="-2"/>
          </w:rPr>
          <w:fldChar w:fldCharType="end"/>
        </w:r>
      </w:hyperlink>
    </w:p>
    <w:p>
      <w:pPr>
        <w:pStyle w:val="TOC3"/>
        <w:tabs>
          <w:tab w:val="left" w:pos="960"/>
          <w:tab w:val="right" w:leader="dot" w:pos="9063"/>
        </w:tabs>
        <w:rPr>
          <w:rFonts w:eastAsiaTheme="minorEastAsia" w:cstheme="minorBidi"/>
          <w:noProof/>
          <w:spacing w:val="-2"/>
          <w:sz w:val="22"/>
          <w:szCs w:val="22"/>
          <w:lang w:val="en-US"/>
        </w:rPr>
      </w:pPr>
      <w:hyperlink w:anchor="_Toc22547307" w:history="1">
        <w:r>
          <w:rPr>
            <w:rStyle w:val="Hyperlink"/>
            <w:rFonts w:asciiTheme="majorHAnsi" w:hAnsiTheme="majorHAnsi"/>
            <w:noProof/>
            <w:spacing w:val="-2"/>
          </w:rPr>
          <w:t>2.2.7.</w:t>
        </w:r>
        <w:r>
          <w:rPr>
            <w:rFonts w:eastAsiaTheme="minorEastAsia" w:cstheme="minorBidi"/>
            <w:noProof/>
            <w:spacing w:val="-2"/>
            <w:sz w:val="22"/>
            <w:szCs w:val="22"/>
            <w:lang w:val="en-US"/>
          </w:rPr>
          <w:tab/>
        </w:r>
        <w:r>
          <w:rPr>
            <w:rStyle w:val="Hyperlink"/>
            <w:rFonts w:asciiTheme="majorHAnsi" w:hAnsiTheme="majorHAnsi"/>
            <w:noProof/>
            <w:spacing w:val="-2"/>
          </w:rPr>
          <w:t>Vykonávanie programu Hercule</w:t>
        </w:r>
        <w:r>
          <w:rPr>
            <w:noProof/>
            <w:webHidden/>
            <w:spacing w:val="-2"/>
          </w:rPr>
          <w:tab/>
        </w:r>
        <w:r>
          <w:rPr>
            <w:noProof/>
            <w:webHidden/>
            <w:spacing w:val="-2"/>
          </w:rPr>
          <w:fldChar w:fldCharType="begin"/>
        </w:r>
        <w:r>
          <w:rPr>
            <w:noProof/>
            <w:webHidden/>
            <w:spacing w:val="-2"/>
          </w:rPr>
          <w:instrText xml:space="preserve"> PAGEREF _Toc22547307 \h </w:instrText>
        </w:r>
        <w:r>
          <w:rPr>
            <w:noProof/>
            <w:webHidden/>
            <w:spacing w:val="-2"/>
          </w:rPr>
        </w:r>
        <w:r>
          <w:rPr>
            <w:noProof/>
            <w:webHidden/>
            <w:spacing w:val="-2"/>
          </w:rPr>
          <w:fldChar w:fldCharType="separate"/>
        </w:r>
        <w:r>
          <w:rPr>
            <w:noProof/>
            <w:webHidden/>
            <w:spacing w:val="-2"/>
          </w:rPr>
          <w:t>13</w:t>
        </w:r>
        <w:r>
          <w:rPr>
            <w:noProof/>
            <w:webHidden/>
            <w:spacing w:val="-2"/>
          </w:rPr>
          <w:fldChar w:fldCharType="end"/>
        </w:r>
      </w:hyperlink>
    </w:p>
    <w:p>
      <w:pPr>
        <w:pStyle w:val="TOC2"/>
        <w:tabs>
          <w:tab w:val="left" w:pos="720"/>
          <w:tab w:val="right" w:leader="dot" w:pos="9063"/>
        </w:tabs>
        <w:rPr>
          <w:rFonts w:eastAsiaTheme="minorEastAsia" w:cstheme="minorBidi"/>
          <w:b w:val="0"/>
          <w:bCs w:val="0"/>
          <w:noProof/>
          <w:spacing w:val="-2"/>
          <w:sz w:val="22"/>
          <w:szCs w:val="22"/>
          <w:lang w:val="en-US"/>
        </w:rPr>
      </w:pPr>
      <w:hyperlink w:anchor="_Toc22547308" w:history="1">
        <w:r>
          <w:rPr>
            <w:rStyle w:val="Hyperlink"/>
            <w:rFonts w:asciiTheme="majorHAnsi" w:hAnsiTheme="majorHAnsi"/>
            <w:noProof/>
            <w:spacing w:val="-2"/>
          </w:rPr>
          <w:t>2.3.</w:t>
        </w:r>
        <w:r>
          <w:rPr>
            <w:rFonts w:eastAsiaTheme="minorEastAsia" w:cstheme="minorBidi"/>
            <w:b w:val="0"/>
            <w:bCs w:val="0"/>
            <w:noProof/>
            <w:spacing w:val="-2"/>
            <w:sz w:val="22"/>
            <w:szCs w:val="22"/>
            <w:lang w:val="en-US"/>
          </w:rPr>
          <w:tab/>
        </w:r>
        <w:r>
          <w:rPr>
            <w:rStyle w:val="Hyperlink"/>
            <w:rFonts w:asciiTheme="majorHAnsi" w:hAnsiTheme="majorHAnsi"/>
            <w:noProof/>
            <w:spacing w:val="-2"/>
          </w:rPr>
          <w:t>Judikatúra SDEÚ</w:t>
        </w:r>
        <w:r>
          <w:rPr>
            <w:noProof/>
            <w:webHidden/>
            <w:spacing w:val="-2"/>
          </w:rPr>
          <w:tab/>
        </w:r>
        <w:r>
          <w:rPr>
            <w:noProof/>
            <w:webHidden/>
            <w:spacing w:val="-2"/>
          </w:rPr>
          <w:fldChar w:fldCharType="begin"/>
        </w:r>
        <w:r>
          <w:rPr>
            <w:noProof/>
            <w:webHidden/>
            <w:spacing w:val="-2"/>
          </w:rPr>
          <w:instrText xml:space="preserve"> PAGEREF _Toc22547308 \h </w:instrText>
        </w:r>
        <w:r>
          <w:rPr>
            <w:noProof/>
            <w:webHidden/>
            <w:spacing w:val="-2"/>
          </w:rPr>
        </w:r>
        <w:r>
          <w:rPr>
            <w:noProof/>
            <w:webHidden/>
            <w:spacing w:val="-2"/>
          </w:rPr>
          <w:fldChar w:fldCharType="separate"/>
        </w:r>
        <w:r>
          <w:rPr>
            <w:noProof/>
            <w:webHidden/>
            <w:spacing w:val="-2"/>
          </w:rPr>
          <w:t>13</w:t>
        </w:r>
        <w:r>
          <w:rPr>
            <w:noProof/>
            <w:webHidden/>
            <w:spacing w:val="-2"/>
          </w:rPr>
          <w:fldChar w:fldCharType="end"/>
        </w:r>
      </w:hyperlink>
    </w:p>
    <w:p>
      <w:pPr>
        <w:pStyle w:val="TOC3"/>
        <w:tabs>
          <w:tab w:val="left" w:pos="960"/>
          <w:tab w:val="right" w:leader="dot" w:pos="9063"/>
        </w:tabs>
        <w:rPr>
          <w:rFonts w:eastAsiaTheme="minorEastAsia" w:cstheme="minorBidi"/>
          <w:noProof/>
          <w:spacing w:val="-2"/>
          <w:sz w:val="22"/>
          <w:szCs w:val="22"/>
          <w:lang w:val="en-US"/>
        </w:rPr>
      </w:pPr>
      <w:hyperlink w:anchor="_Toc22547309" w:history="1">
        <w:r>
          <w:rPr>
            <w:rStyle w:val="Hyperlink"/>
            <w:rFonts w:asciiTheme="majorHAnsi" w:hAnsiTheme="majorHAnsi"/>
            <w:noProof/>
            <w:spacing w:val="-2"/>
          </w:rPr>
          <w:t>2.3.1.</w:t>
        </w:r>
        <w:r>
          <w:rPr>
            <w:rFonts w:eastAsiaTheme="minorEastAsia" w:cstheme="minorBidi"/>
            <w:noProof/>
            <w:spacing w:val="-2"/>
            <w:sz w:val="22"/>
            <w:szCs w:val="22"/>
            <w:lang w:val="en-US"/>
          </w:rPr>
          <w:tab/>
        </w:r>
        <w:r>
          <w:rPr>
            <w:rStyle w:val="Hyperlink"/>
            <w:rFonts w:asciiTheme="majorHAnsi" w:hAnsiTheme="majorHAnsi"/>
            <w:noProof/>
            <w:spacing w:val="-2"/>
          </w:rPr>
          <w:t>Sigma Orionis/Komisia</w:t>
        </w:r>
        <w:r>
          <w:rPr>
            <w:noProof/>
            <w:webHidden/>
            <w:spacing w:val="-2"/>
          </w:rPr>
          <w:tab/>
        </w:r>
        <w:r>
          <w:rPr>
            <w:noProof/>
            <w:webHidden/>
            <w:spacing w:val="-2"/>
          </w:rPr>
          <w:fldChar w:fldCharType="begin"/>
        </w:r>
        <w:r>
          <w:rPr>
            <w:noProof/>
            <w:webHidden/>
            <w:spacing w:val="-2"/>
          </w:rPr>
          <w:instrText xml:space="preserve"> PAGEREF _Toc22547309 \h </w:instrText>
        </w:r>
        <w:r>
          <w:rPr>
            <w:noProof/>
            <w:webHidden/>
            <w:spacing w:val="-2"/>
          </w:rPr>
        </w:r>
        <w:r>
          <w:rPr>
            <w:noProof/>
            <w:webHidden/>
            <w:spacing w:val="-2"/>
          </w:rPr>
          <w:fldChar w:fldCharType="separate"/>
        </w:r>
        <w:r>
          <w:rPr>
            <w:noProof/>
            <w:webHidden/>
            <w:spacing w:val="-2"/>
          </w:rPr>
          <w:t>13</w:t>
        </w:r>
        <w:r>
          <w:rPr>
            <w:noProof/>
            <w:webHidden/>
            <w:spacing w:val="-2"/>
          </w:rPr>
          <w:fldChar w:fldCharType="end"/>
        </w:r>
      </w:hyperlink>
    </w:p>
    <w:p>
      <w:pPr>
        <w:pStyle w:val="TOC3"/>
        <w:tabs>
          <w:tab w:val="left" w:pos="960"/>
          <w:tab w:val="right" w:leader="dot" w:pos="9063"/>
        </w:tabs>
        <w:rPr>
          <w:rFonts w:eastAsiaTheme="minorEastAsia" w:cstheme="minorBidi"/>
          <w:noProof/>
          <w:spacing w:val="-2"/>
          <w:sz w:val="22"/>
          <w:szCs w:val="22"/>
          <w:lang w:val="en-US"/>
        </w:rPr>
      </w:pPr>
      <w:hyperlink w:anchor="_Toc22547310" w:history="1">
        <w:r>
          <w:rPr>
            <w:rStyle w:val="Hyperlink"/>
            <w:rFonts w:asciiTheme="majorHAnsi" w:hAnsiTheme="majorHAnsi"/>
            <w:noProof/>
            <w:spacing w:val="-2"/>
          </w:rPr>
          <w:t>2.3.2.</w:t>
        </w:r>
        <w:r>
          <w:rPr>
            <w:rFonts w:eastAsiaTheme="minorEastAsia" w:cstheme="minorBidi"/>
            <w:noProof/>
            <w:spacing w:val="-2"/>
            <w:sz w:val="22"/>
            <w:szCs w:val="22"/>
            <w:lang w:val="en-US"/>
          </w:rPr>
          <w:tab/>
        </w:r>
        <w:r>
          <w:rPr>
            <w:rStyle w:val="Hyperlink"/>
            <w:rFonts w:asciiTheme="majorHAnsi" w:hAnsiTheme="majorHAnsi"/>
            <w:noProof/>
            <w:spacing w:val="-2"/>
          </w:rPr>
          <w:t>Judikatúra týkajúca sa systému EDES</w:t>
        </w:r>
        <w:r>
          <w:rPr>
            <w:noProof/>
            <w:webHidden/>
            <w:spacing w:val="-2"/>
          </w:rPr>
          <w:tab/>
        </w:r>
        <w:r>
          <w:rPr>
            <w:noProof/>
            <w:webHidden/>
            <w:spacing w:val="-2"/>
          </w:rPr>
          <w:fldChar w:fldCharType="begin"/>
        </w:r>
        <w:r>
          <w:rPr>
            <w:noProof/>
            <w:webHidden/>
            <w:spacing w:val="-2"/>
          </w:rPr>
          <w:instrText xml:space="preserve"> PAGEREF _Toc22547310 \h </w:instrText>
        </w:r>
        <w:r>
          <w:rPr>
            <w:noProof/>
            <w:webHidden/>
            <w:spacing w:val="-2"/>
          </w:rPr>
        </w:r>
        <w:r>
          <w:rPr>
            <w:noProof/>
            <w:webHidden/>
            <w:spacing w:val="-2"/>
          </w:rPr>
          <w:fldChar w:fldCharType="separate"/>
        </w:r>
        <w:r>
          <w:rPr>
            <w:noProof/>
            <w:webHidden/>
            <w:spacing w:val="-2"/>
          </w:rPr>
          <w:t>13</w:t>
        </w:r>
        <w:r>
          <w:rPr>
            <w:noProof/>
            <w:webHidden/>
            <w:spacing w:val="-2"/>
          </w:rPr>
          <w:fldChar w:fldCharType="end"/>
        </w:r>
      </w:hyperlink>
    </w:p>
    <w:p>
      <w:pPr>
        <w:pStyle w:val="TOC2"/>
        <w:tabs>
          <w:tab w:val="left" w:pos="720"/>
          <w:tab w:val="right" w:leader="dot" w:pos="9063"/>
        </w:tabs>
        <w:rPr>
          <w:rFonts w:eastAsiaTheme="minorEastAsia" w:cstheme="minorBidi"/>
          <w:b w:val="0"/>
          <w:bCs w:val="0"/>
          <w:noProof/>
          <w:spacing w:val="-2"/>
          <w:sz w:val="22"/>
          <w:szCs w:val="22"/>
          <w:lang w:val="en-US"/>
        </w:rPr>
      </w:pPr>
      <w:hyperlink w:anchor="_Toc22547311" w:history="1">
        <w:r>
          <w:rPr>
            <w:rStyle w:val="Hyperlink"/>
            <w:rFonts w:asciiTheme="majorHAnsi" w:hAnsiTheme="majorHAnsi"/>
            <w:noProof/>
            <w:spacing w:val="-2"/>
          </w:rPr>
          <w:t>2.4.</w:t>
        </w:r>
        <w:r>
          <w:rPr>
            <w:rFonts w:eastAsiaTheme="minorEastAsia" w:cstheme="minorBidi"/>
            <w:b w:val="0"/>
            <w:bCs w:val="0"/>
            <w:noProof/>
            <w:spacing w:val="-2"/>
            <w:sz w:val="22"/>
            <w:szCs w:val="22"/>
            <w:lang w:val="en-US"/>
          </w:rPr>
          <w:tab/>
        </w:r>
        <w:r>
          <w:rPr>
            <w:rStyle w:val="Hyperlink"/>
            <w:rFonts w:asciiTheme="majorHAnsi" w:hAnsiTheme="majorHAnsi"/>
            <w:noProof/>
            <w:spacing w:val="-2"/>
          </w:rPr>
          <w:t>Opatrenia prijaté členskými štátmi</w:t>
        </w:r>
        <w:r>
          <w:rPr>
            <w:noProof/>
            <w:webHidden/>
            <w:spacing w:val="-2"/>
          </w:rPr>
          <w:tab/>
        </w:r>
        <w:r>
          <w:rPr>
            <w:noProof/>
            <w:webHidden/>
            <w:spacing w:val="-2"/>
          </w:rPr>
          <w:fldChar w:fldCharType="begin"/>
        </w:r>
        <w:r>
          <w:rPr>
            <w:noProof/>
            <w:webHidden/>
            <w:spacing w:val="-2"/>
          </w:rPr>
          <w:instrText xml:space="preserve"> PAGEREF _Toc22547311 \h </w:instrText>
        </w:r>
        <w:r>
          <w:rPr>
            <w:noProof/>
            <w:webHidden/>
            <w:spacing w:val="-2"/>
          </w:rPr>
        </w:r>
        <w:r>
          <w:rPr>
            <w:noProof/>
            <w:webHidden/>
            <w:spacing w:val="-2"/>
          </w:rPr>
          <w:fldChar w:fldCharType="separate"/>
        </w:r>
        <w:r>
          <w:rPr>
            <w:noProof/>
            <w:webHidden/>
            <w:spacing w:val="-2"/>
          </w:rPr>
          <w:t>13</w:t>
        </w:r>
        <w:r>
          <w:rPr>
            <w:noProof/>
            <w:webHidden/>
            <w:spacing w:val="-2"/>
          </w:rPr>
          <w:fldChar w:fldCharType="end"/>
        </w:r>
      </w:hyperlink>
    </w:p>
    <w:p>
      <w:pPr>
        <w:pStyle w:val="TOC3"/>
        <w:tabs>
          <w:tab w:val="left" w:pos="960"/>
          <w:tab w:val="right" w:leader="dot" w:pos="9063"/>
        </w:tabs>
        <w:rPr>
          <w:rFonts w:eastAsiaTheme="minorEastAsia" w:cstheme="minorBidi"/>
          <w:noProof/>
          <w:spacing w:val="-2"/>
          <w:sz w:val="22"/>
          <w:szCs w:val="22"/>
          <w:lang w:val="en-US"/>
        </w:rPr>
      </w:pPr>
      <w:hyperlink w:anchor="_Toc22547312" w:history="1">
        <w:r>
          <w:rPr>
            <w:rStyle w:val="Hyperlink"/>
            <w:rFonts w:asciiTheme="majorHAnsi" w:hAnsiTheme="majorHAnsi"/>
            <w:noProof/>
            <w:spacing w:val="-2"/>
          </w:rPr>
          <w:t>2.4.1.</w:t>
        </w:r>
        <w:r>
          <w:rPr>
            <w:rFonts w:eastAsiaTheme="minorEastAsia" w:cstheme="minorBidi"/>
            <w:noProof/>
            <w:spacing w:val="-2"/>
            <w:sz w:val="22"/>
            <w:szCs w:val="22"/>
            <w:lang w:val="en-US"/>
          </w:rPr>
          <w:tab/>
        </w:r>
        <w:r>
          <w:rPr>
            <w:rStyle w:val="Hyperlink"/>
            <w:rFonts w:asciiTheme="majorHAnsi" w:hAnsiTheme="majorHAnsi"/>
            <w:noProof/>
            <w:spacing w:val="-2"/>
          </w:rPr>
          <w:t>Prehľad opatrení prijatých členskými štátmi</w:t>
        </w:r>
        <w:r>
          <w:rPr>
            <w:noProof/>
            <w:webHidden/>
            <w:spacing w:val="-2"/>
          </w:rPr>
          <w:tab/>
        </w:r>
        <w:r>
          <w:rPr>
            <w:noProof/>
            <w:webHidden/>
            <w:spacing w:val="-2"/>
          </w:rPr>
          <w:fldChar w:fldCharType="begin"/>
        </w:r>
        <w:r>
          <w:rPr>
            <w:noProof/>
            <w:webHidden/>
            <w:spacing w:val="-2"/>
          </w:rPr>
          <w:instrText xml:space="preserve"> PAGEREF _Toc22547312 \h </w:instrText>
        </w:r>
        <w:r>
          <w:rPr>
            <w:noProof/>
            <w:webHidden/>
            <w:spacing w:val="-2"/>
          </w:rPr>
        </w:r>
        <w:r>
          <w:rPr>
            <w:noProof/>
            <w:webHidden/>
            <w:spacing w:val="-2"/>
          </w:rPr>
          <w:fldChar w:fldCharType="separate"/>
        </w:r>
        <w:r>
          <w:rPr>
            <w:noProof/>
            <w:webHidden/>
            <w:spacing w:val="-2"/>
          </w:rPr>
          <w:t>13</w:t>
        </w:r>
        <w:r>
          <w:rPr>
            <w:noProof/>
            <w:webHidden/>
            <w:spacing w:val="-2"/>
          </w:rPr>
          <w:fldChar w:fldCharType="end"/>
        </w:r>
      </w:hyperlink>
    </w:p>
    <w:p>
      <w:pPr>
        <w:pStyle w:val="TOC3"/>
        <w:tabs>
          <w:tab w:val="left" w:pos="1200"/>
          <w:tab w:val="right" w:leader="dot" w:pos="9063"/>
        </w:tabs>
        <w:rPr>
          <w:rFonts w:eastAsiaTheme="minorEastAsia" w:cstheme="minorBidi"/>
          <w:noProof/>
          <w:spacing w:val="-2"/>
          <w:sz w:val="22"/>
          <w:szCs w:val="22"/>
          <w:lang w:val="en-US"/>
        </w:rPr>
      </w:pPr>
      <w:hyperlink w:anchor="_Toc22547313" w:history="1">
        <w:r>
          <w:rPr>
            <w:rStyle w:val="Hyperlink"/>
            <w:rFonts w:asciiTheme="majorHAnsi" w:hAnsiTheme="majorHAnsi"/>
            <w:noProof/>
            <w:spacing w:val="-2"/>
          </w:rPr>
          <w:t>2.4.1.1.</w:t>
        </w:r>
        <w:r>
          <w:rPr>
            <w:rFonts w:eastAsiaTheme="minorEastAsia" w:cstheme="minorBidi"/>
            <w:noProof/>
            <w:spacing w:val="-2"/>
            <w:sz w:val="22"/>
            <w:szCs w:val="22"/>
            <w:lang w:val="en-US"/>
          </w:rPr>
          <w:tab/>
        </w:r>
        <w:r>
          <w:rPr>
            <w:rStyle w:val="Hyperlink"/>
            <w:rFonts w:asciiTheme="majorHAnsi" w:hAnsiTheme="majorHAnsi"/>
            <w:noProof/>
            <w:spacing w:val="-2"/>
          </w:rPr>
          <w:t>Národné stratégie pre boj proti podvodom</w:t>
        </w:r>
        <w:r>
          <w:rPr>
            <w:noProof/>
            <w:webHidden/>
            <w:spacing w:val="-2"/>
          </w:rPr>
          <w:tab/>
        </w:r>
        <w:r>
          <w:rPr>
            <w:noProof/>
            <w:webHidden/>
            <w:spacing w:val="-2"/>
          </w:rPr>
          <w:fldChar w:fldCharType="begin"/>
        </w:r>
        <w:r>
          <w:rPr>
            <w:noProof/>
            <w:webHidden/>
            <w:spacing w:val="-2"/>
          </w:rPr>
          <w:instrText xml:space="preserve"> PAGEREF _Toc22547313 \h </w:instrText>
        </w:r>
        <w:r>
          <w:rPr>
            <w:noProof/>
            <w:webHidden/>
            <w:spacing w:val="-2"/>
          </w:rPr>
        </w:r>
        <w:r>
          <w:rPr>
            <w:noProof/>
            <w:webHidden/>
            <w:spacing w:val="-2"/>
          </w:rPr>
          <w:fldChar w:fldCharType="separate"/>
        </w:r>
        <w:r>
          <w:rPr>
            <w:noProof/>
            <w:webHidden/>
            <w:spacing w:val="-2"/>
          </w:rPr>
          <w:t>14</w:t>
        </w:r>
        <w:r>
          <w:rPr>
            <w:noProof/>
            <w:webHidden/>
            <w:spacing w:val="-2"/>
          </w:rPr>
          <w:fldChar w:fldCharType="end"/>
        </w:r>
      </w:hyperlink>
    </w:p>
    <w:p>
      <w:pPr>
        <w:pStyle w:val="TOC3"/>
        <w:tabs>
          <w:tab w:val="left" w:pos="1200"/>
          <w:tab w:val="right" w:leader="dot" w:pos="9063"/>
        </w:tabs>
        <w:rPr>
          <w:rFonts w:eastAsiaTheme="minorEastAsia" w:cstheme="minorBidi"/>
          <w:noProof/>
          <w:spacing w:val="-2"/>
          <w:sz w:val="22"/>
          <w:szCs w:val="22"/>
          <w:lang w:val="en-US"/>
        </w:rPr>
      </w:pPr>
      <w:hyperlink w:anchor="_Toc22547314" w:history="1">
        <w:r>
          <w:rPr>
            <w:rStyle w:val="Hyperlink"/>
            <w:rFonts w:asciiTheme="majorHAnsi" w:hAnsiTheme="majorHAnsi"/>
            <w:noProof/>
            <w:spacing w:val="-2"/>
          </w:rPr>
          <w:t>2.4.1.2.</w:t>
        </w:r>
        <w:r>
          <w:rPr>
            <w:rFonts w:eastAsiaTheme="minorEastAsia" w:cstheme="minorBidi"/>
            <w:noProof/>
            <w:spacing w:val="-2"/>
            <w:sz w:val="22"/>
            <w:szCs w:val="22"/>
            <w:lang w:val="en-US"/>
          </w:rPr>
          <w:tab/>
        </w:r>
        <w:r>
          <w:rPr>
            <w:rStyle w:val="Hyperlink"/>
            <w:rFonts w:asciiTheme="majorHAnsi" w:hAnsiTheme="majorHAnsi"/>
            <w:noProof/>
            <w:spacing w:val="-2"/>
          </w:rPr>
          <w:t>Posilnenie transparentnosti, boj proti korupcii a konflikt záujmov pri verejnom obstarávaní</w:t>
        </w:r>
        <w:r>
          <w:rPr>
            <w:noProof/>
            <w:webHidden/>
            <w:spacing w:val="-2"/>
          </w:rPr>
          <w:tab/>
        </w:r>
        <w:r>
          <w:rPr>
            <w:noProof/>
            <w:webHidden/>
            <w:spacing w:val="-2"/>
          </w:rPr>
          <w:fldChar w:fldCharType="begin"/>
        </w:r>
        <w:r>
          <w:rPr>
            <w:noProof/>
            <w:webHidden/>
            <w:spacing w:val="-2"/>
          </w:rPr>
          <w:instrText xml:space="preserve"> PAGEREF _Toc22547314 \h </w:instrText>
        </w:r>
        <w:r>
          <w:rPr>
            <w:noProof/>
            <w:webHidden/>
            <w:spacing w:val="-2"/>
          </w:rPr>
        </w:r>
        <w:r>
          <w:rPr>
            <w:noProof/>
            <w:webHidden/>
            <w:spacing w:val="-2"/>
          </w:rPr>
          <w:fldChar w:fldCharType="separate"/>
        </w:r>
        <w:r>
          <w:rPr>
            <w:noProof/>
            <w:webHidden/>
            <w:spacing w:val="-2"/>
          </w:rPr>
          <w:t>14</w:t>
        </w:r>
        <w:r>
          <w:rPr>
            <w:noProof/>
            <w:webHidden/>
            <w:spacing w:val="-2"/>
          </w:rPr>
          <w:fldChar w:fldCharType="end"/>
        </w:r>
      </w:hyperlink>
    </w:p>
    <w:p>
      <w:pPr>
        <w:pStyle w:val="TOC3"/>
        <w:tabs>
          <w:tab w:val="left" w:pos="1200"/>
          <w:tab w:val="right" w:leader="dot" w:pos="9063"/>
        </w:tabs>
        <w:rPr>
          <w:rFonts w:eastAsiaTheme="minorEastAsia" w:cstheme="minorBidi"/>
          <w:noProof/>
          <w:spacing w:val="-2"/>
          <w:sz w:val="22"/>
          <w:szCs w:val="22"/>
          <w:lang w:val="en-US"/>
        </w:rPr>
      </w:pPr>
      <w:hyperlink w:anchor="_Toc22547315" w:history="1">
        <w:r>
          <w:rPr>
            <w:rStyle w:val="Hyperlink"/>
            <w:rFonts w:asciiTheme="majorHAnsi" w:hAnsiTheme="majorHAnsi"/>
            <w:noProof/>
            <w:spacing w:val="-2"/>
          </w:rPr>
          <w:t>2.4.1.3.</w:t>
        </w:r>
        <w:r>
          <w:rPr>
            <w:rFonts w:eastAsiaTheme="minorEastAsia" w:cstheme="minorBidi"/>
            <w:noProof/>
            <w:spacing w:val="-2"/>
            <w:sz w:val="22"/>
            <w:szCs w:val="22"/>
            <w:lang w:val="en-US"/>
          </w:rPr>
          <w:tab/>
        </w:r>
        <w:r>
          <w:rPr>
            <w:rStyle w:val="Hyperlink"/>
            <w:rFonts w:asciiTheme="majorHAnsi" w:hAnsiTheme="majorHAnsi"/>
            <w:noProof/>
            <w:spacing w:val="-2"/>
          </w:rPr>
          <w:t>Ďalšie opatrenia</w:t>
        </w:r>
        <w:r>
          <w:rPr>
            <w:noProof/>
            <w:webHidden/>
            <w:spacing w:val="-2"/>
          </w:rPr>
          <w:tab/>
        </w:r>
        <w:r>
          <w:rPr>
            <w:noProof/>
            <w:webHidden/>
            <w:spacing w:val="-2"/>
          </w:rPr>
          <w:fldChar w:fldCharType="begin"/>
        </w:r>
        <w:r>
          <w:rPr>
            <w:noProof/>
            <w:webHidden/>
            <w:spacing w:val="-2"/>
          </w:rPr>
          <w:instrText xml:space="preserve"> PAGEREF _Toc22547315 \h </w:instrText>
        </w:r>
        <w:r>
          <w:rPr>
            <w:noProof/>
            <w:webHidden/>
            <w:spacing w:val="-2"/>
          </w:rPr>
        </w:r>
        <w:r>
          <w:rPr>
            <w:noProof/>
            <w:webHidden/>
            <w:spacing w:val="-2"/>
          </w:rPr>
          <w:fldChar w:fldCharType="separate"/>
        </w:r>
        <w:r>
          <w:rPr>
            <w:noProof/>
            <w:webHidden/>
            <w:spacing w:val="-2"/>
          </w:rPr>
          <w:t>14</w:t>
        </w:r>
        <w:r>
          <w:rPr>
            <w:noProof/>
            <w:webHidden/>
            <w:spacing w:val="-2"/>
          </w:rPr>
          <w:fldChar w:fldCharType="end"/>
        </w:r>
      </w:hyperlink>
    </w:p>
    <w:p>
      <w:pPr>
        <w:pStyle w:val="TOC3"/>
        <w:tabs>
          <w:tab w:val="left" w:pos="960"/>
          <w:tab w:val="right" w:leader="dot" w:pos="9063"/>
        </w:tabs>
        <w:rPr>
          <w:rFonts w:eastAsiaTheme="minorEastAsia" w:cstheme="minorBidi"/>
          <w:noProof/>
          <w:spacing w:val="-2"/>
          <w:sz w:val="22"/>
          <w:szCs w:val="22"/>
          <w:lang w:val="en-US"/>
        </w:rPr>
      </w:pPr>
      <w:hyperlink w:anchor="_Toc22547316" w:history="1">
        <w:r>
          <w:rPr>
            <w:rStyle w:val="Hyperlink"/>
            <w:rFonts w:asciiTheme="majorHAnsi" w:hAnsiTheme="majorHAnsi"/>
            <w:noProof/>
            <w:spacing w:val="-2"/>
          </w:rPr>
          <w:t>2.4.2.</w:t>
        </w:r>
        <w:r>
          <w:rPr>
            <w:rFonts w:eastAsiaTheme="minorEastAsia" w:cstheme="minorBidi"/>
            <w:noProof/>
            <w:spacing w:val="-2"/>
            <w:sz w:val="22"/>
            <w:szCs w:val="22"/>
            <w:lang w:val="en-US"/>
          </w:rPr>
          <w:tab/>
        </w:r>
        <w:r>
          <w:rPr>
            <w:rStyle w:val="Hyperlink"/>
            <w:rFonts w:asciiTheme="majorHAnsi" w:hAnsiTheme="majorHAnsi"/>
            <w:noProof/>
            <w:spacing w:val="-2"/>
          </w:rPr>
          <w:t>Plnenie odporúčaní z roku 2017</w:t>
        </w:r>
        <w:r>
          <w:rPr>
            <w:noProof/>
            <w:webHidden/>
            <w:spacing w:val="-2"/>
          </w:rPr>
          <w:tab/>
        </w:r>
        <w:r>
          <w:rPr>
            <w:noProof/>
            <w:webHidden/>
            <w:spacing w:val="-2"/>
          </w:rPr>
          <w:fldChar w:fldCharType="begin"/>
        </w:r>
        <w:r>
          <w:rPr>
            <w:noProof/>
            <w:webHidden/>
            <w:spacing w:val="-2"/>
          </w:rPr>
          <w:instrText xml:space="preserve"> PAGEREF _Toc22547316 \h </w:instrText>
        </w:r>
        <w:r>
          <w:rPr>
            <w:noProof/>
            <w:webHidden/>
            <w:spacing w:val="-2"/>
          </w:rPr>
        </w:r>
        <w:r>
          <w:rPr>
            <w:noProof/>
            <w:webHidden/>
            <w:spacing w:val="-2"/>
          </w:rPr>
          <w:fldChar w:fldCharType="separate"/>
        </w:r>
        <w:r>
          <w:rPr>
            <w:noProof/>
            <w:webHidden/>
            <w:spacing w:val="-2"/>
          </w:rPr>
          <w:t>14</w:t>
        </w:r>
        <w:r>
          <w:rPr>
            <w:noProof/>
            <w:webHidden/>
            <w:spacing w:val="-2"/>
          </w:rPr>
          <w:fldChar w:fldCharType="end"/>
        </w:r>
      </w:hyperlink>
    </w:p>
    <w:p>
      <w:pPr>
        <w:pStyle w:val="TOC2"/>
        <w:tabs>
          <w:tab w:val="left" w:pos="720"/>
          <w:tab w:val="right" w:leader="dot" w:pos="9063"/>
        </w:tabs>
        <w:rPr>
          <w:rFonts w:eastAsiaTheme="minorEastAsia" w:cstheme="minorBidi"/>
          <w:b w:val="0"/>
          <w:bCs w:val="0"/>
          <w:noProof/>
          <w:spacing w:val="-2"/>
          <w:sz w:val="22"/>
          <w:szCs w:val="22"/>
          <w:lang w:val="en-US"/>
        </w:rPr>
      </w:pPr>
      <w:hyperlink w:anchor="_Toc22547317" w:history="1">
        <w:r>
          <w:rPr>
            <w:rStyle w:val="Hyperlink"/>
            <w:rFonts w:asciiTheme="majorHAnsi" w:hAnsiTheme="majorHAnsi"/>
            <w:noProof/>
            <w:spacing w:val="-2"/>
          </w:rPr>
          <w:t>2.5.</w:t>
        </w:r>
        <w:r>
          <w:rPr>
            <w:rFonts w:eastAsiaTheme="minorEastAsia" w:cstheme="minorBidi"/>
            <w:b w:val="0"/>
            <w:bCs w:val="0"/>
            <w:noProof/>
            <w:spacing w:val="-2"/>
            <w:sz w:val="22"/>
            <w:szCs w:val="22"/>
            <w:lang w:val="en-US"/>
          </w:rPr>
          <w:tab/>
        </w:r>
        <w:r>
          <w:rPr>
            <w:rStyle w:val="Hyperlink"/>
            <w:rFonts w:asciiTheme="majorHAnsi" w:hAnsiTheme="majorHAnsi"/>
            <w:noProof/>
            <w:spacing w:val="-2"/>
          </w:rPr>
          <w:t>Zhrnutie štatistík o odhalených nezrovnalostiach a podvodoch</w:t>
        </w:r>
        <w:r>
          <w:rPr>
            <w:noProof/>
            <w:webHidden/>
            <w:spacing w:val="-2"/>
          </w:rPr>
          <w:tab/>
        </w:r>
        <w:r>
          <w:rPr>
            <w:noProof/>
            <w:webHidden/>
            <w:spacing w:val="-2"/>
          </w:rPr>
          <w:fldChar w:fldCharType="begin"/>
        </w:r>
        <w:r>
          <w:rPr>
            <w:noProof/>
            <w:webHidden/>
            <w:spacing w:val="-2"/>
          </w:rPr>
          <w:instrText xml:space="preserve"> PAGEREF _Toc22547317 \h </w:instrText>
        </w:r>
        <w:r>
          <w:rPr>
            <w:noProof/>
            <w:webHidden/>
            <w:spacing w:val="-2"/>
          </w:rPr>
        </w:r>
        <w:r>
          <w:rPr>
            <w:noProof/>
            <w:webHidden/>
            <w:spacing w:val="-2"/>
          </w:rPr>
          <w:fldChar w:fldCharType="separate"/>
        </w:r>
        <w:r>
          <w:rPr>
            <w:noProof/>
            <w:webHidden/>
            <w:spacing w:val="-2"/>
          </w:rPr>
          <w:t>16</w:t>
        </w:r>
        <w:r>
          <w:rPr>
            <w:noProof/>
            <w:webHidden/>
            <w:spacing w:val="-2"/>
          </w:rPr>
          <w:fldChar w:fldCharType="end"/>
        </w:r>
      </w:hyperlink>
    </w:p>
    <w:p>
      <w:pPr>
        <w:pStyle w:val="TOC3"/>
        <w:tabs>
          <w:tab w:val="left" w:pos="960"/>
          <w:tab w:val="right" w:leader="dot" w:pos="9063"/>
        </w:tabs>
        <w:rPr>
          <w:rFonts w:eastAsiaTheme="minorEastAsia" w:cstheme="minorBidi"/>
          <w:noProof/>
          <w:spacing w:val="-2"/>
          <w:sz w:val="22"/>
          <w:szCs w:val="22"/>
          <w:lang w:val="en-US"/>
        </w:rPr>
      </w:pPr>
      <w:hyperlink w:anchor="_Toc22547318" w:history="1">
        <w:r>
          <w:rPr>
            <w:rStyle w:val="Hyperlink"/>
            <w:rFonts w:asciiTheme="majorHAnsi" w:hAnsiTheme="majorHAnsi"/>
            <w:noProof/>
            <w:spacing w:val="-2"/>
          </w:rPr>
          <w:t>2.5.1.</w:t>
        </w:r>
        <w:r>
          <w:rPr>
            <w:rFonts w:eastAsiaTheme="minorEastAsia" w:cstheme="minorBidi"/>
            <w:noProof/>
            <w:spacing w:val="-2"/>
            <w:sz w:val="22"/>
            <w:szCs w:val="22"/>
            <w:lang w:val="en-US"/>
          </w:rPr>
          <w:tab/>
        </w:r>
        <w:r>
          <w:rPr>
            <w:rStyle w:val="Hyperlink"/>
            <w:rFonts w:asciiTheme="majorHAnsi" w:hAnsiTheme="majorHAnsi"/>
            <w:noProof/>
            <w:spacing w:val="-2"/>
          </w:rPr>
          <w:t>Odhalené podvodné nezrovnalosti</w:t>
        </w:r>
        <w:r>
          <w:rPr>
            <w:noProof/>
            <w:webHidden/>
            <w:spacing w:val="-2"/>
          </w:rPr>
          <w:tab/>
        </w:r>
        <w:r>
          <w:rPr>
            <w:noProof/>
            <w:webHidden/>
            <w:spacing w:val="-2"/>
          </w:rPr>
          <w:fldChar w:fldCharType="begin"/>
        </w:r>
        <w:r>
          <w:rPr>
            <w:noProof/>
            <w:webHidden/>
            <w:spacing w:val="-2"/>
          </w:rPr>
          <w:instrText xml:space="preserve"> PAGEREF _Toc22547318 \h </w:instrText>
        </w:r>
        <w:r>
          <w:rPr>
            <w:noProof/>
            <w:webHidden/>
            <w:spacing w:val="-2"/>
          </w:rPr>
        </w:r>
        <w:r>
          <w:rPr>
            <w:noProof/>
            <w:webHidden/>
            <w:spacing w:val="-2"/>
          </w:rPr>
          <w:fldChar w:fldCharType="separate"/>
        </w:r>
        <w:r>
          <w:rPr>
            <w:noProof/>
            <w:webHidden/>
            <w:spacing w:val="-2"/>
          </w:rPr>
          <w:t>17</w:t>
        </w:r>
        <w:r>
          <w:rPr>
            <w:noProof/>
            <w:webHidden/>
            <w:spacing w:val="-2"/>
          </w:rPr>
          <w:fldChar w:fldCharType="end"/>
        </w:r>
      </w:hyperlink>
    </w:p>
    <w:p>
      <w:pPr>
        <w:pStyle w:val="TOC3"/>
        <w:tabs>
          <w:tab w:val="left" w:pos="960"/>
          <w:tab w:val="right" w:leader="dot" w:pos="9063"/>
        </w:tabs>
        <w:rPr>
          <w:rFonts w:eastAsiaTheme="minorEastAsia" w:cstheme="minorBidi"/>
          <w:noProof/>
          <w:spacing w:val="-2"/>
          <w:sz w:val="22"/>
          <w:szCs w:val="22"/>
          <w:lang w:val="en-US"/>
        </w:rPr>
      </w:pPr>
      <w:hyperlink w:anchor="_Toc22547319" w:history="1">
        <w:r>
          <w:rPr>
            <w:rStyle w:val="Hyperlink"/>
            <w:rFonts w:asciiTheme="majorHAnsi" w:hAnsiTheme="majorHAnsi"/>
            <w:noProof/>
            <w:spacing w:val="-2"/>
          </w:rPr>
          <w:t>2.5.2.</w:t>
        </w:r>
        <w:r>
          <w:rPr>
            <w:rFonts w:eastAsiaTheme="minorEastAsia" w:cstheme="minorBidi"/>
            <w:noProof/>
            <w:spacing w:val="-2"/>
            <w:sz w:val="22"/>
            <w:szCs w:val="22"/>
            <w:lang w:val="en-US"/>
          </w:rPr>
          <w:tab/>
        </w:r>
        <w:r>
          <w:rPr>
            <w:rStyle w:val="Hyperlink"/>
            <w:rFonts w:asciiTheme="majorHAnsi" w:hAnsiTheme="majorHAnsi"/>
            <w:noProof/>
            <w:spacing w:val="-2"/>
          </w:rPr>
          <w:t>Odhalené a oznámené nepodvodné nezrovnalosti</w:t>
        </w:r>
        <w:r>
          <w:rPr>
            <w:noProof/>
            <w:webHidden/>
            <w:spacing w:val="-2"/>
          </w:rPr>
          <w:tab/>
        </w:r>
        <w:r>
          <w:rPr>
            <w:noProof/>
            <w:webHidden/>
            <w:spacing w:val="-2"/>
          </w:rPr>
          <w:fldChar w:fldCharType="begin"/>
        </w:r>
        <w:r>
          <w:rPr>
            <w:noProof/>
            <w:webHidden/>
            <w:spacing w:val="-2"/>
          </w:rPr>
          <w:instrText xml:space="preserve"> PAGEREF _Toc22547319 \h </w:instrText>
        </w:r>
        <w:r>
          <w:rPr>
            <w:noProof/>
            <w:webHidden/>
            <w:spacing w:val="-2"/>
          </w:rPr>
        </w:r>
        <w:r>
          <w:rPr>
            <w:noProof/>
            <w:webHidden/>
            <w:spacing w:val="-2"/>
          </w:rPr>
          <w:fldChar w:fldCharType="separate"/>
        </w:r>
        <w:r>
          <w:rPr>
            <w:noProof/>
            <w:webHidden/>
            <w:spacing w:val="-2"/>
          </w:rPr>
          <w:t>17</w:t>
        </w:r>
        <w:r>
          <w:rPr>
            <w:noProof/>
            <w:webHidden/>
            <w:spacing w:val="-2"/>
          </w:rPr>
          <w:fldChar w:fldCharType="end"/>
        </w:r>
      </w:hyperlink>
    </w:p>
    <w:p>
      <w:pPr>
        <w:pStyle w:val="TOC3"/>
        <w:tabs>
          <w:tab w:val="left" w:pos="960"/>
          <w:tab w:val="right" w:leader="dot" w:pos="9063"/>
        </w:tabs>
        <w:rPr>
          <w:rFonts w:eastAsiaTheme="minorEastAsia" w:cstheme="minorBidi"/>
          <w:noProof/>
          <w:spacing w:val="-2"/>
          <w:sz w:val="22"/>
          <w:szCs w:val="22"/>
          <w:lang w:val="en-US"/>
        </w:rPr>
      </w:pPr>
      <w:hyperlink w:anchor="_Toc22547320" w:history="1">
        <w:r>
          <w:rPr>
            <w:rStyle w:val="Hyperlink"/>
            <w:rFonts w:asciiTheme="majorHAnsi" w:hAnsiTheme="majorHAnsi"/>
            <w:noProof/>
            <w:spacing w:val="-2"/>
          </w:rPr>
          <w:t>2.5.3.</w:t>
        </w:r>
        <w:r>
          <w:rPr>
            <w:rFonts w:eastAsiaTheme="minorEastAsia" w:cstheme="minorBidi"/>
            <w:noProof/>
            <w:spacing w:val="-2"/>
            <w:sz w:val="22"/>
            <w:szCs w:val="22"/>
            <w:lang w:val="en-US"/>
          </w:rPr>
          <w:tab/>
        </w:r>
        <w:r>
          <w:rPr>
            <w:rStyle w:val="Hyperlink"/>
            <w:rFonts w:asciiTheme="majorHAnsi" w:hAnsiTheme="majorHAnsi"/>
            <w:noProof/>
            <w:spacing w:val="-2"/>
          </w:rPr>
          <w:t>Vyšetrovania vedené úradom OLAF</w:t>
        </w:r>
        <w:r>
          <w:rPr>
            <w:noProof/>
            <w:webHidden/>
            <w:spacing w:val="-2"/>
          </w:rPr>
          <w:tab/>
        </w:r>
        <w:r>
          <w:rPr>
            <w:noProof/>
            <w:webHidden/>
            <w:spacing w:val="-2"/>
          </w:rPr>
          <w:fldChar w:fldCharType="begin"/>
        </w:r>
        <w:r>
          <w:rPr>
            <w:noProof/>
            <w:webHidden/>
            <w:spacing w:val="-2"/>
          </w:rPr>
          <w:instrText xml:space="preserve"> PAGEREF _Toc22547320 \h </w:instrText>
        </w:r>
        <w:r>
          <w:rPr>
            <w:noProof/>
            <w:webHidden/>
            <w:spacing w:val="-2"/>
          </w:rPr>
        </w:r>
        <w:r>
          <w:rPr>
            <w:noProof/>
            <w:webHidden/>
            <w:spacing w:val="-2"/>
          </w:rPr>
          <w:fldChar w:fldCharType="separate"/>
        </w:r>
        <w:r>
          <w:rPr>
            <w:noProof/>
            <w:webHidden/>
            <w:spacing w:val="-2"/>
          </w:rPr>
          <w:t>18</w:t>
        </w:r>
        <w:r>
          <w:rPr>
            <w:noProof/>
            <w:webHidden/>
            <w:spacing w:val="-2"/>
          </w:rPr>
          <w:fldChar w:fldCharType="end"/>
        </w:r>
      </w:hyperlink>
    </w:p>
    <w:p>
      <w:pPr>
        <w:pStyle w:val="TOC1"/>
        <w:tabs>
          <w:tab w:val="left" w:pos="480"/>
          <w:tab w:val="right" w:leader="dot" w:pos="9063"/>
        </w:tabs>
        <w:rPr>
          <w:rFonts w:asciiTheme="minorHAnsi" w:eastAsiaTheme="minorEastAsia" w:hAnsiTheme="minorHAnsi" w:cstheme="minorBidi"/>
          <w:b w:val="0"/>
          <w:bCs w:val="0"/>
          <w:caps w:val="0"/>
          <w:noProof/>
          <w:spacing w:val="-4"/>
          <w:sz w:val="23"/>
          <w:szCs w:val="23"/>
          <w:lang w:val="en-US"/>
        </w:rPr>
      </w:pPr>
      <w:hyperlink w:anchor="_Toc22547321" w:history="1">
        <w:r>
          <w:rPr>
            <w:rStyle w:val="Hyperlink"/>
            <w:noProof/>
            <w:spacing w:val="-4"/>
            <w:sz w:val="23"/>
            <w:szCs w:val="23"/>
          </w:rPr>
          <w:t>3.</w:t>
        </w:r>
        <w:r>
          <w:rPr>
            <w:rFonts w:asciiTheme="minorHAnsi" w:eastAsiaTheme="minorEastAsia" w:hAnsiTheme="minorHAnsi" w:cstheme="minorBidi"/>
            <w:b w:val="0"/>
            <w:bCs w:val="0"/>
            <w:caps w:val="0"/>
            <w:noProof/>
            <w:spacing w:val="-4"/>
            <w:sz w:val="23"/>
            <w:szCs w:val="23"/>
            <w:lang w:val="en-US"/>
          </w:rPr>
          <w:tab/>
        </w:r>
        <w:r>
          <w:rPr>
            <w:rStyle w:val="Hyperlink"/>
            <w:noProof/>
            <w:spacing w:val="-4"/>
            <w:sz w:val="23"/>
            <w:szCs w:val="23"/>
          </w:rPr>
          <w:t>Politiky a opatrenia na boj proti podvodom a ich výsledky – príjmy</w:t>
        </w:r>
        <w:r>
          <w:rPr>
            <w:noProof/>
            <w:webHidden/>
            <w:spacing w:val="-4"/>
            <w:sz w:val="23"/>
            <w:szCs w:val="23"/>
          </w:rPr>
          <w:tab/>
        </w:r>
        <w:r>
          <w:rPr>
            <w:noProof/>
            <w:webHidden/>
            <w:spacing w:val="-4"/>
            <w:sz w:val="23"/>
            <w:szCs w:val="23"/>
          </w:rPr>
          <w:fldChar w:fldCharType="begin"/>
        </w:r>
        <w:r>
          <w:rPr>
            <w:noProof/>
            <w:webHidden/>
            <w:spacing w:val="-4"/>
            <w:sz w:val="23"/>
            <w:szCs w:val="23"/>
          </w:rPr>
          <w:instrText xml:space="preserve"> PAGEREF _Toc22547321 \h </w:instrText>
        </w:r>
        <w:r>
          <w:rPr>
            <w:noProof/>
            <w:webHidden/>
            <w:spacing w:val="-4"/>
            <w:sz w:val="23"/>
            <w:szCs w:val="23"/>
          </w:rPr>
        </w:r>
        <w:r>
          <w:rPr>
            <w:noProof/>
            <w:webHidden/>
            <w:spacing w:val="-4"/>
            <w:sz w:val="23"/>
            <w:szCs w:val="23"/>
          </w:rPr>
          <w:fldChar w:fldCharType="separate"/>
        </w:r>
        <w:r>
          <w:rPr>
            <w:noProof/>
            <w:webHidden/>
            <w:spacing w:val="-4"/>
            <w:sz w:val="23"/>
            <w:szCs w:val="23"/>
          </w:rPr>
          <w:t>18</w:t>
        </w:r>
        <w:r>
          <w:rPr>
            <w:noProof/>
            <w:webHidden/>
            <w:spacing w:val="-4"/>
            <w:sz w:val="23"/>
            <w:szCs w:val="23"/>
          </w:rPr>
          <w:fldChar w:fldCharType="end"/>
        </w:r>
      </w:hyperlink>
    </w:p>
    <w:p>
      <w:pPr>
        <w:pStyle w:val="TOC2"/>
        <w:tabs>
          <w:tab w:val="left" w:pos="720"/>
          <w:tab w:val="right" w:leader="dot" w:pos="9063"/>
        </w:tabs>
        <w:rPr>
          <w:rFonts w:eastAsiaTheme="minorEastAsia" w:cstheme="minorBidi"/>
          <w:b w:val="0"/>
          <w:bCs w:val="0"/>
          <w:noProof/>
          <w:spacing w:val="-2"/>
          <w:sz w:val="22"/>
          <w:szCs w:val="22"/>
          <w:lang w:val="en-US"/>
        </w:rPr>
      </w:pPr>
      <w:hyperlink w:anchor="_Toc22547322" w:history="1">
        <w:r>
          <w:rPr>
            <w:rStyle w:val="Hyperlink"/>
            <w:rFonts w:asciiTheme="majorHAnsi" w:hAnsiTheme="majorHAnsi"/>
            <w:noProof/>
            <w:spacing w:val="-2"/>
          </w:rPr>
          <w:t>3.1.</w:t>
        </w:r>
        <w:r>
          <w:rPr>
            <w:rFonts w:eastAsiaTheme="minorEastAsia" w:cstheme="minorBidi"/>
            <w:b w:val="0"/>
            <w:bCs w:val="0"/>
            <w:noProof/>
            <w:spacing w:val="-2"/>
            <w:sz w:val="22"/>
            <w:szCs w:val="22"/>
            <w:lang w:val="en-US"/>
          </w:rPr>
          <w:tab/>
        </w:r>
        <w:r>
          <w:rPr>
            <w:rStyle w:val="Hyperlink"/>
            <w:rFonts w:asciiTheme="majorHAnsi" w:hAnsiTheme="majorHAnsi"/>
            <w:noProof/>
            <w:spacing w:val="-2"/>
          </w:rPr>
          <w:t>Opatrenia inštitúcií EÚ na boj proti podvodom – príjmy</w:t>
        </w:r>
        <w:r>
          <w:rPr>
            <w:noProof/>
            <w:webHidden/>
            <w:spacing w:val="-2"/>
          </w:rPr>
          <w:tab/>
        </w:r>
        <w:r>
          <w:rPr>
            <w:noProof/>
            <w:webHidden/>
            <w:spacing w:val="-2"/>
          </w:rPr>
          <w:fldChar w:fldCharType="begin"/>
        </w:r>
        <w:r>
          <w:rPr>
            <w:noProof/>
            <w:webHidden/>
            <w:spacing w:val="-2"/>
          </w:rPr>
          <w:instrText xml:space="preserve"> PAGEREF _Toc22547322 \h </w:instrText>
        </w:r>
        <w:r>
          <w:rPr>
            <w:noProof/>
            <w:webHidden/>
            <w:spacing w:val="-2"/>
          </w:rPr>
        </w:r>
        <w:r>
          <w:rPr>
            <w:noProof/>
            <w:webHidden/>
            <w:spacing w:val="-2"/>
          </w:rPr>
          <w:fldChar w:fldCharType="separate"/>
        </w:r>
        <w:r>
          <w:rPr>
            <w:noProof/>
            <w:webHidden/>
            <w:spacing w:val="-2"/>
          </w:rPr>
          <w:t>18</w:t>
        </w:r>
        <w:r>
          <w:rPr>
            <w:noProof/>
            <w:webHidden/>
            <w:spacing w:val="-2"/>
          </w:rPr>
          <w:fldChar w:fldCharType="end"/>
        </w:r>
      </w:hyperlink>
    </w:p>
    <w:p>
      <w:pPr>
        <w:pStyle w:val="TOC3"/>
        <w:tabs>
          <w:tab w:val="left" w:pos="960"/>
          <w:tab w:val="right" w:leader="dot" w:pos="9063"/>
        </w:tabs>
        <w:rPr>
          <w:rFonts w:eastAsiaTheme="minorEastAsia" w:cstheme="minorBidi"/>
          <w:noProof/>
          <w:spacing w:val="-2"/>
          <w:sz w:val="22"/>
          <w:szCs w:val="22"/>
          <w:lang w:val="en-US"/>
        </w:rPr>
      </w:pPr>
      <w:hyperlink w:anchor="_Toc22547323" w:history="1">
        <w:r>
          <w:rPr>
            <w:rStyle w:val="Hyperlink"/>
            <w:rFonts w:asciiTheme="majorHAnsi" w:hAnsiTheme="majorHAnsi"/>
            <w:noProof/>
            <w:spacing w:val="-2"/>
          </w:rPr>
          <w:t>3.1.1.</w:t>
        </w:r>
        <w:r>
          <w:rPr>
            <w:rFonts w:eastAsiaTheme="minorEastAsia" w:cstheme="minorBidi"/>
            <w:noProof/>
            <w:spacing w:val="-2"/>
            <w:sz w:val="22"/>
            <w:szCs w:val="22"/>
            <w:lang w:val="en-US"/>
          </w:rPr>
          <w:tab/>
        </w:r>
        <w:r>
          <w:rPr>
            <w:rStyle w:val="Hyperlink"/>
            <w:rFonts w:asciiTheme="majorHAnsi" w:hAnsiTheme="majorHAnsi"/>
            <w:noProof/>
            <w:spacing w:val="-2"/>
          </w:rPr>
          <w:t>Vzájomná administratívna pomoc</w:t>
        </w:r>
        <w:r>
          <w:rPr>
            <w:noProof/>
            <w:webHidden/>
            <w:spacing w:val="-2"/>
          </w:rPr>
          <w:tab/>
        </w:r>
        <w:r>
          <w:rPr>
            <w:noProof/>
            <w:webHidden/>
            <w:spacing w:val="-2"/>
          </w:rPr>
          <w:fldChar w:fldCharType="begin"/>
        </w:r>
        <w:r>
          <w:rPr>
            <w:noProof/>
            <w:webHidden/>
            <w:spacing w:val="-2"/>
          </w:rPr>
          <w:instrText xml:space="preserve"> PAGEREF _Toc22547323 \h </w:instrText>
        </w:r>
        <w:r>
          <w:rPr>
            <w:noProof/>
            <w:webHidden/>
            <w:spacing w:val="-2"/>
          </w:rPr>
        </w:r>
        <w:r>
          <w:rPr>
            <w:noProof/>
            <w:webHidden/>
            <w:spacing w:val="-2"/>
          </w:rPr>
          <w:fldChar w:fldCharType="separate"/>
        </w:r>
        <w:r>
          <w:rPr>
            <w:noProof/>
            <w:webHidden/>
            <w:spacing w:val="-2"/>
          </w:rPr>
          <w:t>18</w:t>
        </w:r>
        <w:r>
          <w:rPr>
            <w:noProof/>
            <w:webHidden/>
            <w:spacing w:val="-2"/>
          </w:rPr>
          <w:fldChar w:fldCharType="end"/>
        </w:r>
      </w:hyperlink>
    </w:p>
    <w:p>
      <w:pPr>
        <w:pStyle w:val="TOC3"/>
        <w:tabs>
          <w:tab w:val="left" w:pos="1200"/>
          <w:tab w:val="right" w:leader="dot" w:pos="9063"/>
        </w:tabs>
        <w:rPr>
          <w:rFonts w:eastAsiaTheme="minorEastAsia" w:cstheme="minorBidi"/>
          <w:noProof/>
          <w:spacing w:val="-2"/>
          <w:sz w:val="22"/>
          <w:szCs w:val="22"/>
          <w:lang w:val="en-US"/>
        </w:rPr>
      </w:pPr>
      <w:hyperlink w:anchor="_Toc22547324" w:history="1">
        <w:r>
          <w:rPr>
            <w:rStyle w:val="Hyperlink"/>
            <w:rFonts w:asciiTheme="majorHAnsi" w:hAnsiTheme="majorHAnsi"/>
            <w:noProof/>
            <w:spacing w:val="-2"/>
          </w:rPr>
          <w:t>3.1.1.1.</w:t>
        </w:r>
        <w:r>
          <w:rPr>
            <w:rFonts w:eastAsiaTheme="minorEastAsia" w:cstheme="minorBidi"/>
            <w:noProof/>
            <w:spacing w:val="-2"/>
            <w:sz w:val="22"/>
            <w:szCs w:val="22"/>
            <w:lang w:val="en-US"/>
          </w:rPr>
          <w:tab/>
        </w:r>
        <w:r>
          <w:rPr>
            <w:rStyle w:val="Hyperlink"/>
            <w:rFonts w:asciiTheme="majorHAnsi" w:hAnsiTheme="majorHAnsi"/>
            <w:noProof/>
            <w:spacing w:val="-2"/>
          </w:rPr>
          <w:t>Informačný systém pre boj proti podvodom (AFIS)</w:t>
        </w:r>
        <w:r>
          <w:rPr>
            <w:noProof/>
            <w:webHidden/>
            <w:spacing w:val="-2"/>
          </w:rPr>
          <w:tab/>
        </w:r>
        <w:r>
          <w:rPr>
            <w:noProof/>
            <w:webHidden/>
            <w:spacing w:val="-2"/>
          </w:rPr>
          <w:fldChar w:fldCharType="begin"/>
        </w:r>
        <w:r>
          <w:rPr>
            <w:noProof/>
            <w:webHidden/>
            <w:spacing w:val="-2"/>
          </w:rPr>
          <w:instrText xml:space="preserve"> PAGEREF _Toc22547324 \h </w:instrText>
        </w:r>
        <w:r>
          <w:rPr>
            <w:noProof/>
            <w:webHidden/>
            <w:spacing w:val="-2"/>
          </w:rPr>
        </w:r>
        <w:r>
          <w:rPr>
            <w:noProof/>
            <w:webHidden/>
            <w:spacing w:val="-2"/>
          </w:rPr>
          <w:fldChar w:fldCharType="separate"/>
        </w:r>
        <w:r>
          <w:rPr>
            <w:noProof/>
            <w:webHidden/>
            <w:spacing w:val="-2"/>
          </w:rPr>
          <w:t>18</w:t>
        </w:r>
        <w:r>
          <w:rPr>
            <w:noProof/>
            <w:webHidden/>
            <w:spacing w:val="-2"/>
          </w:rPr>
          <w:fldChar w:fldCharType="end"/>
        </w:r>
      </w:hyperlink>
    </w:p>
    <w:p>
      <w:pPr>
        <w:pStyle w:val="TOC3"/>
        <w:tabs>
          <w:tab w:val="left" w:pos="1200"/>
          <w:tab w:val="right" w:leader="dot" w:pos="9063"/>
        </w:tabs>
        <w:rPr>
          <w:rFonts w:eastAsiaTheme="minorEastAsia" w:cstheme="minorBidi"/>
          <w:noProof/>
          <w:spacing w:val="-2"/>
          <w:sz w:val="22"/>
          <w:szCs w:val="22"/>
          <w:lang w:val="en-US"/>
        </w:rPr>
      </w:pPr>
      <w:hyperlink w:anchor="_Toc22547325" w:history="1">
        <w:r>
          <w:rPr>
            <w:rStyle w:val="Hyperlink"/>
            <w:rFonts w:asciiTheme="majorHAnsi" w:hAnsiTheme="majorHAnsi"/>
            <w:noProof/>
            <w:spacing w:val="-2"/>
          </w:rPr>
          <w:t>3.1.1.2.</w:t>
        </w:r>
        <w:r>
          <w:rPr>
            <w:rFonts w:eastAsiaTheme="minorEastAsia" w:cstheme="minorBidi"/>
            <w:noProof/>
            <w:spacing w:val="-2"/>
            <w:sz w:val="22"/>
            <w:szCs w:val="22"/>
            <w:lang w:val="en-US"/>
          </w:rPr>
          <w:tab/>
        </w:r>
        <w:r>
          <w:rPr>
            <w:rStyle w:val="Hyperlink"/>
            <w:rFonts w:asciiTheme="majorHAnsi" w:hAnsiTheme="majorHAnsi"/>
            <w:noProof/>
            <w:spacing w:val="-2"/>
          </w:rPr>
          <w:t>Spoločné colné operácie</w:t>
        </w:r>
        <w:r>
          <w:rPr>
            <w:noProof/>
            <w:webHidden/>
            <w:spacing w:val="-2"/>
          </w:rPr>
          <w:tab/>
        </w:r>
        <w:r>
          <w:rPr>
            <w:noProof/>
            <w:webHidden/>
            <w:spacing w:val="-2"/>
          </w:rPr>
          <w:fldChar w:fldCharType="begin"/>
        </w:r>
        <w:r>
          <w:rPr>
            <w:noProof/>
            <w:webHidden/>
            <w:spacing w:val="-2"/>
          </w:rPr>
          <w:instrText xml:space="preserve"> PAGEREF _Toc22547325 \h </w:instrText>
        </w:r>
        <w:r>
          <w:rPr>
            <w:noProof/>
            <w:webHidden/>
            <w:spacing w:val="-2"/>
          </w:rPr>
        </w:r>
        <w:r>
          <w:rPr>
            <w:noProof/>
            <w:webHidden/>
            <w:spacing w:val="-2"/>
          </w:rPr>
          <w:fldChar w:fldCharType="separate"/>
        </w:r>
        <w:r>
          <w:rPr>
            <w:noProof/>
            <w:webHidden/>
            <w:spacing w:val="-2"/>
          </w:rPr>
          <w:t>19</w:t>
        </w:r>
        <w:r>
          <w:rPr>
            <w:noProof/>
            <w:webHidden/>
            <w:spacing w:val="-2"/>
          </w:rPr>
          <w:fldChar w:fldCharType="end"/>
        </w:r>
      </w:hyperlink>
    </w:p>
    <w:p>
      <w:pPr>
        <w:pStyle w:val="TOC3"/>
        <w:tabs>
          <w:tab w:val="left" w:pos="960"/>
          <w:tab w:val="right" w:leader="dot" w:pos="9063"/>
        </w:tabs>
        <w:rPr>
          <w:rFonts w:eastAsiaTheme="minorEastAsia" w:cstheme="minorBidi"/>
          <w:noProof/>
          <w:spacing w:val="-2"/>
          <w:sz w:val="19"/>
          <w:szCs w:val="19"/>
          <w:lang w:val="en-US"/>
        </w:rPr>
      </w:pPr>
      <w:hyperlink w:anchor="_Toc22547326" w:history="1">
        <w:r>
          <w:rPr>
            <w:rStyle w:val="Hyperlink"/>
            <w:rFonts w:asciiTheme="majorHAnsi" w:hAnsiTheme="majorHAnsi"/>
            <w:noProof/>
            <w:spacing w:val="-2"/>
            <w:sz w:val="19"/>
            <w:szCs w:val="19"/>
          </w:rPr>
          <w:t>3.1.2.</w:t>
        </w:r>
        <w:r>
          <w:rPr>
            <w:rFonts w:eastAsiaTheme="minorEastAsia" w:cstheme="minorBidi"/>
            <w:noProof/>
            <w:spacing w:val="-2"/>
            <w:sz w:val="19"/>
            <w:szCs w:val="19"/>
            <w:lang w:val="en-US"/>
          </w:rPr>
          <w:tab/>
        </w:r>
        <w:r>
          <w:rPr>
            <w:rStyle w:val="Hyperlink"/>
            <w:rFonts w:asciiTheme="majorHAnsi" w:hAnsiTheme="majorHAnsi"/>
            <w:noProof/>
            <w:spacing w:val="-2"/>
            <w:sz w:val="19"/>
            <w:szCs w:val="19"/>
          </w:rPr>
          <w:t>Ustanovenia týkajúce sa vzájomnej pomoci a boja proti podvodom v medzinárodných dohodách</w:t>
        </w:r>
        <w:r>
          <w:rPr>
            <w:noProof/>
            <w:webHidden/>
            <w:spacing w:val="-2"/>
            <w:sz w:val="19"/>
            <w:szCs w:val="19"/>
          </w:rPr>
          <w:tab/>
        </w:r>
        <w:r>
          <w:rPr>
            <w:noProof/>
            <w:webHidden/>
            <w:spacing w:val="-2"/>
            <w:sz w:val="19"/>
            <w:szCs w:val="19"/>
          </w:rPr>
          <w:fldChar w:fldCharType="begin"/>
        </w:r>
        <w:r>
          <w:rPr>
            <w:noProof/>
            <w:webHidden/>
            <w:spacing w:val="-2"/>
            <w:sz w:val="19"/>
            <w:szCs w:val="19"/>
          </w:rPr>
          <w:instrText xml:space="preserve"> PAGEREF _Toc22547326 \h </w:instrText>
        </w:r>
        <w:r>
          <w:rPr>
            <w:noProof/>
            <w:webHidden/>
            <w:spacing w:val="-2"/>
            <w:sz w:val="19"/>
            <w:szCs w:val="19"/>
          </w:rPr>
        </w:r>
        <w:r>
          <w:rPr>
            <w:noProof/>
            <w:webHidden/>
            <w:spacing w:val="-2"/>
            <w:sz w:val="19"/>
            <w:szCs w:val="19"/>
          </w:rPr>
          <w:fldChar w:fldCharType="separate"/>
        </w:r>
        <w:r>
          <w:rPr>
            <w:noProof/>
            <w:webHidden/>
            <w:spacing w:val="-2"/>
            <w:sz w:val="19"/>
            <w:szCs w:val="19"/>
          </w:rPr>
          <w:t>19</w:t>
        </w:r>
        <w:r>
          <w:rPr>
            <w:noProof/>
            <w:webHidden/>
            <w:spacing w:val="-2"/>
            <w:sz w:val="19"/>
            <w:szCs w:val="19"/>
          </w:rPr>
          <w:fldChar w:fldCharType="end"/>
        </w:r>
      </w:hyperlink>
    </w:p>
    <w:p>
      <w:pPr>
        <w:pStyle w:val="TOC3"/>
        <w:tabs>
          <w:tab w:val="left" w:pos="960"/>
          <w:tab w:val="right" w:leader="dot" w:pos="9063"/>
        </w:tabs>
        <w:rPr>
          <w:rFonts w:eastAsiaTheme="minorEastAsia" w:cstheme="minorBidi"/>
          <w:noProof/>
          <w:spacing w:val="-2"/>
          <w:sz w:val="22"/>
          <w:szCs w:val="22"/>
          <w:lang w:val="en-US"/>
        </w:rPr>
      </w:pPr>
      <w:hyperlink w:anchor="_Toc22547327" w:history="1">
        <w:r>
          <w:rPr>
            <w:rStyle w:val="Hyperlink"/>
            <w:rFonts w:asciiTheme="majorHAnsi" w:hAnsiTheme="majorHAnsi"/>
            <w:noProof/>
            <w:spacing w:val="-2"/>
          </w:rPr>
          <w:t>3.1.3.</w:t>
        </w:r>
        <w:r>
          <w:rPr>
            <w:rFonts w:eastAsiaTheme="minorEastAsia" w:cstheme="minorBidi"/>
            <w:noProof/>
            <w:spacing w:val="-2"/>
            <w:sz w:val="22"/>
            <w:szCs w:val="22"/>
            <w:lang w:val="en-US"/>
          </w:rPr>
          <w:tab/>
        </w:r>
        <w:r>
          <w:rPr>
            <w:rStyle w:val="Hyperlink"/>
            <w:rFonts w:asciiTheme="majorHAnsi" w:hAnsiTheme="majorHAnsi"/>
            <w:noProof/>
            <w:spacing w:val="-2"/>
          </w:rPr>
          <w:t>Boj proti nezákonnému obchodu s tabakovými výrobkami</w:t>
        </w:r>
        <w:r>
          <w:rPr>
            <w:noProof/>
            <w:webHidden/>
            <w:spacing w:val="-2"/>
          </w:rPr>
          <w:tab/>
        </w:r>
        <w:r>
          <w:rPr>
            <w:noProof/>
            <w:webHidden/>
            <w:spacing w:val="-2"/>
          </w:rPr>
          <w:fldChar w:fldCharType="begin"/>
        </w:r>
        <w:r>
          <w:rPr>
            <w:noProof/>
            <w:webHidden/>
            <w:spacing w:val="-2"/>
          </w:rPr>
          <w:instrText xml:space="preserve"> PAGEREF _Toc22547327 \h </w:instrText>
        </w:r>
        <w:r>
          <w:rPr>
            <w:noProof/>
            <w:webHidden/>
            <w:spacing w:val="-2"/>
          </w:rPr>
        </w:r>
        <w:r>
          <w:rPr>
            <w:noProof/>
            <w:webHidden/>
            <w:spacing w:val="-2"/>
          </w:rPr>
          <w:fldChar w:fldCharType="separate"/>
        </w:r>
        <w:r>
          <w:rPr>
            <w:noProof/>
            <w:webHidden/>
            <w:spacing w:val="-2"/>
          </w:rPr>
          <w:t>20</w:t>
        </w:r>
        <w:r>
          <w:rPr>
            <w:noProof/>
            <w:webHidden/>
            <w:spacing w:val="-2"/>
          </w:rPr>
          <w:fldChar w:fldCharType="end"/>
        </w:r>
      </w:hyperlink>
    </w:p>
    <w:p>
      <w:pPr>
        <w:pStyle w:val="TOC3"/>
        <w:tabs>
          <w:tab w:val="left" w:pos="960"/>
          <w:tab w:val="right" w:leader="dot" w:pos="9063"/>
        </w:tabs>
        <w:rPr>
          <w:rFonts w:eastAsiaTheme="minorEastAsia" w:cstheme="minorBidi"/>
          <w:noProof/>
          <w:spacing w:val="-2"/>
          <w:sz w:val="22"/>
          <w:szCs w:val="22"/>
          <w:lang w:val="en-US"/>
        </w:rPr>
      </w:pPr>
      <w:hyperlink w:anchor="_Toc22547328" w:history="1">
        <w:r>
          <w:rPr>
            <w:rStyle w:val="Hyperlink"/>
            <w:rFonts w:asciiTheme="majorHAnsi" w:hAnsiTheme="majorHAnsi"/>
            <w:noProof/>
            <w:spacing w:val="-2"/>
          </w:rPr>
          <w:t>3.1.4.</w:t>
        </w:r>
        <w:r>
          <w:rPr>
            <w:rFonts w:eastAsiaTheme="minorEastAsia" w:cstheme="minorBidi"/>
            <w:noProof/>
            <w:spacing w:val="-2"/>
            <w:sz w:val="22"/>
            <w:szCs w:val="22"/>
            <w:lang w:val="en-US"/>
          </w:rPr>
          <w:tab/>
        </w:r>
        <w:r>
          <w:rPr>
            <w:rStyle w:val="Hyperlink"/>
            <w:rFonts w:asciiTheme="majorHAnsi" w:hAnsiTheme="majorHAnsi"/>
            <w:noProof/>
            <w:spacing w:val="-2"/>
          </w:rPr>
          <w:t>Spolupráca so Spoločným výskumným centrom (JRC) v oblasti boja proti podvodom</w:t>
        </w:r>
        <w:r>
          <w:rPr>
            <w:noProof/>
            <w:webHidden/>
            <w:spacing w:val="-2"/>
          </w:rPr>
          <w:tab/>
        </w:r>
        <w:r>
          <w:rPr>
            <w:noProof/>
            <w:webHidden/>
            <w:spacing w:val="-2"/>
          </w:rPr>
          <w:fldChar w:fldCharType="begin"/>
        </w:r>
        <w:r>
          <w:rPr>
            <w:noProof/>
            <w:webHidden/>
            <w:spacing w:val="-2"/>
          </w:rPr>
          <w:instrText xml:space="preserve"> PAGEREF _Toc22547328 \h </w:instrText>
        </w:r>
        <w:r>
          <w:rPr>
            <w:noProof/>
            <w:webHidden/>
            <w:spacing w:val="-2"/>
          </w:rPr>
        </w:r>
        <w:r>
          <w:rPr>
            <w:noProof/>
            <w:webHidden/>
            <w:spacing w:val="-2"/>
          </w:rPr>
          <w:fldChar w:fldCharType="separate"/>
        </w:r>
        <w:r>
          <w:rPr>
            <w:noProof/>
            <w:webHidden/>
            <w:spacing w:val="-2"/>
          </w:rPr>
          <w:t>20</w:t>
        </w:r>
        <w:r>
          <w:rPr>
            <w:noProof/>
            <w:webHidden/>
            <w:spacing w:val="-2"/>
          </w:rPr>
          <w:fldChar w:fldCharType="end"/>
        </w:r>
      </w:hyperlink>
    </w:p>
    <w:p>
      <w:pPr>
        <w:pStyle w:val="TOC3"/>
        <w:tabs>
          <w:tab w:val="left" w:pos="960"/>
          <w:tab w:val="right" w:leader="dot" w:pos="9063"/>
        </w:tabs>
        <w:rPr>
          <w:rFonts w:eastAsiaTheme="minorEastAsia" w:cstheme="minorBidi"/>
          <w:noProof/>
          <w:spacing w:val="-2"/>
          <w:sz w:val="22"/>
          <w:szCs w:val="22"/>
          <w:lang w:val="en-US"/>
        </w:rPr>
      </w:pPr>
      <w:hyperlink w:anchor="_Toc22547329" w:history="1">
        <w:r>
          <w:rPr>
            <w:rStyle w:val="Hyperlink"/>
            <w:rFonts w:asciiTheme="majorHAnsi" w:hAnsiTheme="majorHAnsi"/>
            <w:noProof/>
            <w:spacing w:val="-2"/>
          </w:rPr>
          <w:t>3.1.5.</w:t>
        </w:r>
        <w:r>
          <w:rPr>
            <w:rFonts w:eastAsiaTheme="minorEastAsia" w:cstheme="minorBidi"/>
            <w:noProof/>
            <w:spacing w:val="-2"/>
            <w:sz w:val="22"/>
            <w:szCs w:val="22"/>
            <w:lang w:val="en-US"/>
          </w:rPr>
          <w:tab/>
        </w:r>
        <w:r>
          <w:rPr>
            <w:rStyle w:val="Hyperlink"/>
            <w:rFonts w:asciiTheme="majorHAnsi" w:hAnsiTheme="majorHAnsi"/>
            <w:noProof/>
            <w:spacing w:val="-2"/>
          </w:rPr>
          <w:t>Boj proti podvodom v oblasti DPH</w:t>
        </w:r>
        <w:r>
          <w:rPr>
            <w:noProof/>
            <w:webHidden/>
            <w:spacing w:val="-2"/>
          </w:rPr>
          <w:tab/>
        </w:r>
        <w:r>
          <w:rPr>
            <w:noProof/>
            <w:webHidden/>
            <w:spacing w:val="-2"/>
          </w:rPr>
          <w:fldChar w:fldCharType="begin"/>
        </w:r>
        <w:r>
          <w:rPr>
            <w:noProof/>
            <w:webHidden/>
            <w:spacing w:val="-2"/>
          </w:rPr>
          <w:instrText xml:space="preserve"> PAGEREF _Toc22547329 \h </w:instrText>
        </w:r>
        <w:r>
          <w:rPr>
            <w:noProof/>
            <w:webHidden/>
            <w:spacing w:val="-2"/>
          </w:rPr>
        </w:r>
        <w:r>
          <w:rPr>
            <w:noProof/>
            <w:webHidden/>
            <w:spacing w:val="-2"/>
          </w:rPr>
          <w:fldChar w:fldCharType="separate"/>
        </w:r>
        <w:r>
          <w:rPr>
            <w:noProof/>
            <w:webHidden/>
            <w:spacing w:val="-2"/>
          </w:rPr>
          <w:t>21</w:t>
        </w:r>
        <w:r>
          <w:rPr>
            <w:noProof/>
            <w:webHidden/>
            <w:spacing w:val="-2"/>
          </w:rPr>
          <w:fldChar w:fldCharType="end"/>
        </w:r>
      </w:hyperlink>
    </w:p>
    <w:p>
      <w:pPr>
        <w:pStyle w:val="TOC2"/>
        <w:tabs>
          <w:tab w:val="left" w:pos="720"/>
          <w:tab w:val="right" w:leader="dot" w:pos="9063"/>
        </w:tabs>
        <w:rPr>
          <w:rFonts w:eastAsiaTheme="minorEastAsia" w:cstheme="minorBidi"/>
          <w:b w:val="0"/>
          <w:bCs w:val="0"/>
          <w:noProof/>
          <w:spacing w:val="-2"/>
          <w:sz w:val="22"/>
          <w:szCs w:val="22"/>
          <w:lang w:val="en-US"/>
        </w:rPr>
      </w:pPr>
      <w:hyperlink w:anchor="_Toc22547330" w:history="1">
        <w:r>
          <w:rPr>
            <w:rStyle w:val="Hyperlink"/>
            <w:rFonts w:asciiTheme="majorHAnsi" w:hAnsiTheme="majorHAnsi"/>
            <w:noProof/>
            <w:spacing w:val="-2"/>
          </w:rPr>
          <w:t>3.2.</w:t>
        </w:r>
        <w:r>
          <w:rPr>
            <w:rFonts w:eastAsiaTheme="minorEastAsia" w:cstheme="minorBidi"/>
            <w:b w:val="0"/>
            <w:bCs w:val="0"/>
            <w:noProof/>
            <w:spacing w:val="-2"/>
            <w:sz w:val="22"/>
            <w:szCs w:val="22"/>
            <w:lang w:val="en-US"/>
          </w:rPr>
          <w:tab/>
        </w:r>
        <w:r>
          <w:rPr>
            <w:rStyle w:val="Hyperlink"/>
            <w:rFonts w:asciiTheme="majorHAnsi" w:hAnsiTheme="majorHAnsi"/>
            <w:noProof/>
            <w:spacing w:val="-2"/>
          </w:rPr>
          <w:t>Opatrenia členských štátov na boj proti podvodom – príjmy</w:t>
        </w:r>
        <w:r>
          <w:rPr>
            <w:noProof/>
            <w:webHidden/>
            <w:spacing w:val="-2"/>
          </w:rPr>
          <w:tab/>
        </w:r>
        <w:r>
          <w:rPr>
            <w:noProof/>
            <w:webHidden/>
            <w:spacing w:val="-2"/>
          </w:rPr>
          <w:fldChar w:fldCharType="begin"/>
        </w:r>
        <w:r>
          <w:rPr>
            <w:noProof/>
            <w:webHidden/>
            <w:spacing w:val="-2"/>
          </w:rPr>
          <w:instrText xml:space="preserve"> PAGEREF _Toc22547330 \h </w:instrText>
        </w:r>
        <w:r>
          <w:rPr>
            <w:noProof/>
            <w:webHidden/>
            <w:spacing w:val="-2"/>
          </w:rPr>
        </w:r>
        <w:r>
          <w:rPr>
            <w:noProof/>
            <w:webHidden/>
            <w:spacing w:val="-2"/>
          </w:rPr>
          <w:fldChar w:fldCharType="separate"/>
        </w:r>
        <w:r>
          <w:rPr>
            <w:noProof/>
            <w:webHidden/>
            <w:spacing w:val="-2"/>
          </w:rPr>
          <w:t>22</w:t>
        </w:r>
        <w:r>
          <w:rPr>
            <w:noProof/>
            <w:webHidden/>
            <w:spacing w:val="-2"/>
          </w:rPr>
          <w:fldChar w:fldCharType="end"/>
        </w:r>
      </w:hyperlink>
    </w:p>
    <w:p>
      <w:pPr>
        <w:pStyle w:val="TOC2"/>
        <w:tabs>
          <w:tab w:val="left" w:pos="720"/>
          <w:tab w:val="right" w:leader="dot" w:pos="9063"/>
        </w:tabs>
        <w:rPr>
          <w:rFonts w:eastAsiaTheme="minorEastAsia" w:cstheme="minorBidi"/>
          <w:b w:val="0"/>
          <w:bCs w:val="0"/>
          <w:noProof/>
          <w:spacing w:val="-2"/>
          <w:sz w:val="22"/>
          <w:szCs w:val="22"/>
          <w:lang w:val="en-US"/>
        </w:rPr>
      </w:pPr>
      <w:hyperlink w:anchor="_Toc22547331" w:history="1">
        <w:r>
          <w:rPr>
            <w:rStyle w:val="Hyperlink"/>
            <w:rFonts w:asciiTheme="majorHAnsi" w:hAnsiTheme="majorHAnsi"/>
            <w:noProof/>
            <w:spacing w:val="-2"/>
          </w:rPr>
          <w:t>3.3.</w:t>
        </w:r>
        <w:r>
          <w:rPr>
            <w:rFonts w:eastAsiaTheme="minorEastAsia" w:cstheme="minorBidi"/>
            <w:b w:val="0"/>
            <w:bCs w:val="0"/>
            <w:noProof/>
            <w:spacing w:val="-2"/>
            <w:sz w:val="22"/>
            <w:szCs w:val="22"/>
            <w:lang w:val="en-US"/>
          </w:rPr>
          <w:tab/>
        </w:r>
        <w:r>
          <w:rPr>
            <w:rStyle w:val="Hyperlink"/>
            <w:rFonts w:asciiTheme="majorHAnsi" w:hAnsiTheme="majorHAnsi"/>
            <w:noProof/>
            <w:spacing w:val="-2"/>
          </w:rPr>
          <w:t>Štatistika odhalených nezrovnalostí a podvodov – príjmy</w:t>
        </w:r>
        <w:r>
          <w:rPr>
            <w:noProof/>
            <w:webHidden/>
            <w:spacing w:val="-2"/>
          </w:rPr>
          <w:tab/>
        </w:r>
        <w:r>
          <w:rPr>
            <w:noProof/>
            <w:webHidden/>
            <w:spacing w:val="-2"/>
          </w:rPr>
          <w:fldChar w:fldCharType="begin"/>
        </w:r>
        <w:r>
          <w:rPr>
            <w:noProof/>
            <w:webHidden/>
            <w:spacing w:val="-2"/>
          </w:rPr>
          <w:instrText xml:space="preserve"> PAGEREF _Toc22547331 \h </w:instrText>
        </w:r>
        <w:r>
          <w:rPr>
            <w:noProof/>
            <w:webHidden/>
            <w:spacing w:val="-2"/>
          </w:rPr>
        </w:r>
        <w:r>
          <w:rPr>
            <w:noProof/>
            <w:webHidden/>
            <w:spacing w:val="-2"/>
          </w:rPr>
          <w:fldChar w:fldCharType="separate"/>
        </w:r>
        <w:r>
          <w:rPr>
            <w:noProof/>
            <w:webHidden/>
            <w:spacing w:val="-2"/>
          </w:rPr>
          <w:t>22</w:t>
        </w:r>
        <w:r>
          <w:rPr>
            <w:noProof/>
            <w:webHidden/>
            <w:spacing w:val="-2"/>
          </w:rPr>
          <w:fldChar w:fldCharType="end"/>
        </w:r>
      </w:hyperlink>
    </w:p>
    <w:p>
      <w:pPr>
        <w:pStyle w:val="TOC3"/>
        <w:tabs>
          <w:tab w:val="left" w:pos="960"/>
          <w:tab w:val="right" w:leader="dot" w:pos="9063"/>
        </w:tabs>
        <w:rPr>
          <w:rFonts w:eastAsiaTheme="minorEastAsia" w:cstheme="minorBidi"/>
          <w:noProof/>
          <w:spacing w:val="-2"/>
          <w:sz w:val="22"/>
          <w:szCs w:val="22"/>
          <w:lang w:val="en-US"/>
        </w:rPr>
      </w:pPr>
      <w:hyperlink w:anchor="_Toc22547332" w:history="1">
        <w:r>
          <w:rPr>
            <w:rStyle w:val="Hyperlink"/>
            <w:rFonts w:asciiTheme="majorHAnsi" w:hAnsiTheme="majorHAnsi"/>
            <w:noProof/>
            <w:spacing w:val="-2"/>
          </w:rPr>
          <w:t>3.3.1.</w:t>
        </w:r>
        <w:r>
          <w:rPr>
            <w:rFonts w:eastAsiaTheme="minorEastAsia" w:cstheme="minorBidi"/>
            <w:noProof/>
            <w:spacing w:val="-2"/>
            <w:sz w:val="22"/>
            <w:szCs w:val="22"/>
            <w:lang w:val="en-US"/>
          </w:rPr>
          <w:tab/>
        </w:r>
        <w:r>
          <w:rPr>
            <w:rStyle w:val="Hyperlink"/>
            <w:rFonts w:asciiTheme="majorHAnsi" w:hAnsiTheme="majorHAnsi"/>
            <w:noProof/>
            <w:spacing w:val="-2"/>
          </w:rPr>
          <w:t>Odhalené podvodné nezrovnalosti</w:t>
        </w:r>
        <w:r>
          <w:rPr>
            <w:noProof/>
            <w:webHidden/>
            <w:spacing w:val="-2"/>
          </w:rPr>
          <w:tab/>
        </w:r>
        <w:r>
          <w:rPr>
            <w:noProof/>
            <w:webHidden/>
            <w:spacing w:val="-2"/>
          </w:rPr>
          <w:fldChar w:fldCharType="begin"/>
        </w:r>
        <w:r>
          <w:rPr>
            <w:noProof/>
            <w:webHidden/>
            <w:spacing w:val="-2"/>
          </w:rPr>
          <w:instrText xml:space="preserve"> PAGEREF _Toc22547332 \h </w:instrText>
        </w:r>
        <w:r>
          <w:rPr>
            <w:noProof/>
            <w:webHidden/>
            <w:spacing w:val="-2"/>
          </w:rPr>
        </w:r>
        <w:r>
          <w:rPr>
            <w:noProof/>
            <w:webHidden/>
            <w:spacing w:val="-2"/>
          </w:rPr>
          <w:fldChar w:fldCharType="separate"/>
        </w:r>
        <w:r>
          <w:rPr>
            <w:noProof/>
            <w:webHidden/>
            <w:spacing w:val="-2"/>
          </w:rPr>
          <w:t>23</w:t>
        </w:r>
        <w:r>
          <w:rPr>
            <w:noProof/>
            <w:webHidden/>
            <w:spacing w:val="-2"/>
          </w:rPr>
          <w:fldChar w:fldCharType="end"/>
        </w:r>
      </w:hyperlink>
    </w:p>
    <w:p>
      <w:pPr>
        <w:pStyle w:val="TOC3"/>
        <w:tabs>
          <w:tab w:val="left" w:pos="960"/>
          <w:tab w:val="right" w:leader="dot" w:pos="9063"/>
        </w:tabs>
        <w:rPr>
          <w:rFonts w:eastAsiaTheme="minorEastAsia" w:cstheme="minorBidi"/>
          <w:noProof/>
          <w:spacing w:val="-2"/>
          <w:sz w:val="22"/>
          <w:szCs w:val="22"/>
          <w:lang w:val="en-US"/>
        </w:rPr>
      </w:pPr>
      <w:hyperlink w:anchor="_Toc22547333" w:history="1">
        <w:r>
          <w:rPr>
            <w:rStyle w:val="Hyperlink"/>
            <w:rFonts w:asciiTheme="majorHAnsi" w:hAnsiTheme="majorHAnsi"/>
            <w:noProof/>
            <w:spacing w:val="-2"/>
          </w:rPr>
          <w:t>3.3.2.</w:t>
        </w:r>
        <w:r>
          <w:rPr>
            <w:rFonts w:eastAsiaTheme="minorEastAsia" w:cstheme="minorBidi"/>
            <w:noProof/>
            <w:spacing w:val="-2"/>
            <w:sz w:val="22"/>
            <w:szCs w:val="22"/>
            <w:lang w:val="en-US"/>
          </w:rPr>
          <w:tab/>
        </w:r>
        <w:r>
          <w:rPr>
            <w:rStyle w:val="Hyperlink"/>
            <w:rFonts w:asciiTheme="majorHAnsi" w:hAnsiTheme="majorHAnsi"/>
            <w:noProof/>
            <w:spacing w:val="-2"/>
          </w:rPr>
          <w:t>Odhalené nepodvodné nezrovnalosti</w:t>
        </w:r>
        <w:r>
          <w:rPr>
            <w:noProof/>
            <w:webHidden/>
            <w:spacing w:val="-2"/>
          </w:rPr>
          <w:tab/>
        </w:r>
        <w:r>
          <w:rPr>
            <w:noProof/>
            <w:webHidden/>
            <w:spacing w:val="-2"/>
          </w:rPr>
          <w:fldChar w:fldCharType="begin"/>
        </w:r>
        <w:r>
          <w:rPr>
            <w:noProof/>
            <w:webHidden/>
            <w:spacing w:val="-2"/>
          </w:rPr>
          <w:instrText xml:space="preserve"> PAGEREF _Toc22547333 \h </w:instrText>
        </w:r>
        <w:r>
          <w:rPr>
            <w:noProof/>
            <w:webHidden/>
            <w:spacing w:val="-2"/>
          </w:rPr>
        </w:r>
        <w:r>
          <w:rPr>
            <w:noProof/>
            <w:webHidden/>
            <w:spacing w:val="-2"/>
          </w:rPr>
          <w:fldChar w:fldCharType="separate"/>
        </w:r>
        <w:r>
          <w:rPr>
            <w:noProof/>
            <w:webHidden/>
            <w:spacing w:val="-2"/>
          </w:rPr>
          <w:t>23</w:t>
        </w:r>
        <w:r>
          <w:rPr>
            <w:noProof/>
            <w:webHidden/>
            <w:spacing w:val="-2"/>
          </w:rPr>
          <w:fldChar w:fldCharType="end"/>
        </w:r>
      </w:hyperlink>
    </w:p>
    <w:p>
      <w:pPr>
        <w:pStyle w:val="TOC1"/>
        <w:tabs>
          <w:tab w:val="left" w:pos="480"/>
          <w:tab w:val="right" w:leader="dot" w:pos="9063"/>
        </w:tabs>
        <w:rPr>
          <w:rFonts w:asciiTheme="minorHAnsi" w:eastAsiaTheme="minorEastAsia" w:hAnsiTheme="minorHAnsi" w:cstheme="minorBidi"/>
          <w:b w:val="0"/>
          <w:bCs w:val="0"/>
          <w:caps w:val="0"/>
          <w:noProof/>
          <w:spacing w:val="-2"/>
          <w:sz w:val="22"/>
          <w:szCs w:val="22"/>
          <w:lang w:val="en-US"/>
        </w:rPr>
      </w:pPr>
      <w:hyperlink w:anchor="_Toc22547334" w:history="1">
        <w:r>
          <w:rPr>
            <w:rStyle w:val="Hyperlink"/>
            <w:noProof/>
            <w:spacing w:val="-2"/>
          </w:rPr>
          <w:t>4.</w:t>
        </w:r>
        <w:r>
          <w:rPr>
            <w:rFonts w:asciiTheme="minorHAnsi" w:eastAsiaTheme="minorEastAsia" w:hAnsiTheme="minorHAnsi" w:cstheme="minorBidi"/>
            <w:b w:val="0"/>
            <w:bCs w:val="0"/>
            <w:caps w:val="0"/>
            <w:noProof/>
            <w:spacing w:val="-2"/>
            <w:sz w:val="22"/>
            <w:szCs w:val="22"/>
            <w:lang w:val="en-US"/>
          </w:rPr>
          <w:tab/>
        </w:r>
        <w:r>
          <w:rPr>
            <w:rStyle w:val="Hyperlink"/>
            <w:noProof/>
            <w:spacing w:val="-2"/>
          </w:rPr>
          <w:t>Sektorové politiky a opatrenia na boj proti podvodom a ich výsledky – výdavky</w:t>
        </w:r>
        <w:r>
          <w:rPr>
            <w:noProof/>
            <w:webHidden/>
            <w:spacing w:val="-2"/>
          </w:rPr>
          <w:tab/>
        </w:r>
        <w:r>
          <w:rPr>
            <w:noProof/>
            <w:webHidden/>
            <w:spacing w:val="-2"/>
          </w:rPr>
          <w:fldChar w:fldCharType="begin"/>
        </w:r>
        <w:r>
          <w:rPr>
            <w:noProof/>
            <w:webHidden/>
            <w:spacing w:val="-2"/>
          </w:rPr>
          <w:instrText xml:space="preserve"> PAGEREF _Toc22547334 \h </w:instrText>
        </w:r>
        <w:r>
          <w:rPr>
            <w:noProof/>
            <w:webHidden/>
            <w:spacing w:val="-2"/>
          </w:rPr>
        </w:r>
        <w:r>
          <w:rPr>
            <w:noProof/>
            <w:webHidden/>
            <w:spacing w:val="-2"/>
          </w:rPr>
          <w:fldChar w:fldCharType="separate"/>
        </w:r>
        <w:r>
          <w:rPr>
            <w:noProof/>
            <w:webHidden/>
            <w:spacing w:val="-2"/>
          </w:rPr>
          <w:t>23</w:t>
        </w:r>
        <w:r>
          <w:rPr>
            <w:noProof/>
            <w:webHidden/>
            <w:spacing w:val="-2"/>
          </w:rPr>
          <w:fldChar w:fldCharType="end"/>
        </w:r>
      </w:hyperlink>
    </w:p>
    <w:p>
      <w:pPr>
        <w:pStyle w:val="TOC2"/>
        <w:tabs>
          <w:tab w:val="left" w:pos="720"/>
          <w:tab w:val="right" w:leader="dot" w:pos="9063"/>
        </w:tabs>
        <w:rPr>
          <w:rFonts w:eastAsiaTheme="minorEastAsia" w:cstheme="minorBidi"/>
          <w:b w:val="0"/>
          <w:bCs w:val="0"/>
          <w:noProof/>
          <w:spacing w:val="-2"/>
          <w:sz w:val="22"/>
          <w:szCs w:val="22"/>
          <w:lang w:val="en-US"/>
        </w:rPr>
      </w:pPr>
      <w:hyperlink w:anchor="_Toc22547335" w:history="1">
        <w:r>
          <w:rPr>
            <w:rStyle w:val="Hyperlink"/>
            <w:rFonts w:asciiTheme="majorHAnsi" w:hAnsiTheme="majorHAnsi"/>
            <w:noProof/>
            <w:spacing w:val="-2"/>
          </w:rPr>
          <w:t>4.1.</w:t>
        </w:r>
        <w:r>
          <w:rPr>
            <w:rFonts w:eastAsiaTheme="minorEastAsia" w:cstheme="minorBidi"/>
            <w:b w:val="0"/>
            <w:bCs w:val="0"/>
            <w:noProof/>
            <w:spacing w:val="-2"/>
            <w:sz w:val="22"/>
            <w:szCs w:val="22"/>
            <w:lang w:val="en-US"/>
          </w:rPr>
          <w:tab/>
        </w:r>
        <w:r>
          <w:rPr>
            <w:rStyle w:val="Hyperlink"/>
            <w:rFonts w:asciiTheme="majorHAnsi" w:hAnsiTheme="majorHAnsi"/>
            <w:noProof/>
            <w:spacing w:val="-2"/>
          </w:rPr>
          <w:t>Sektorové politiky a opatrenia členských štátov na boj proti podvodom a opatrenia týkajúce sa niekoľkých výdavkových sektorov</w:t>
        </w:r>
        <w:r>
          <w:rPr>
            <w:noProof/>
            <w:webHidden/>
            <w:spacing w:val="-2"/>
          </w:rPr>
          <w:tab/>
        </w:r>
        <w:r>
          <w:rPr>
            <w:noProof/>
            <w:webHidden/>
            <w:spacing w:val="-2"/>
          </w:rPr>
          <w:fldChar w:fldCharType="begin"/>
        </w:r>
        <w:r>
          <w:rPr>
            <w:noProof/>
            <w:webHidden/>
            <w:spacing w:val="-2"/>
          </w:rPr>
          <w:instrText xml:space="preserve"> PAGEREF _Toc22547335 \h </w:instrText>
        </w:r>
        <w:r>
          <w:rPr>
            <w:noProof/>
            <w:webHidden/>
            <w:spacing w:val="-2"/>
          </w:rPr>
        </w:r>
        <w:r>
          <w:rPr>
            <w:noProof/>
            <w:webHidden/>
            <w:spacing w:val="-2"/>
          </w:rPr>
          <w:fldChar w:fldCharType="separate"/>
        </w:r>
        <w:r>
          <w:rPr>
            <w:noProof/>
            <w:webHidden/>
            <w:spacing w:val="-2"/>
          </w:rPr>
          <w:t>23</w:t>
        </w:r>
        <w:r>
          <w:rPr>
            <w:noProof/>
            <w:webHidden/>
            <w:spacing w:val="-2"/>
          </w:rPr>
          <w:fldChar w:fldCharType="end"/>
        </w:r>
      </w:hyperlink>
    </w:p>
    <w:p>
      <w:pPr>
        <w:pStyle w:val="TOC2"/>
        <w:tabs>
          <w:tab w:val="left" w:pos="720"/>
          <w:tab w:val="right" w:leader="dot" w:pos="9063"/>
        </w:tabs>
        <w:rPr>
          <w:rFonts w:eastAsiaTheme="minorEastAsia" w:cstheme="minorBidi"/>
          <w:b w:val="0"/>
          <w:bCs w:val="0"/>
          <w:noProof/>
          <w:spacing w:val="-2"/>
          <w:sz w:val="22"/>
          <w:szCs w:val="22"/>
          <w:lang w:val="en-US"/>
        </w:rPr>
      </w:pPr>
      <w:hyperlink w:anchor="_Toc22547336" w:history="1">
        <w:r>
          <w:rPr>
            <w:rStyle w:val="Hyperlink"/>
            <w:rFonts w:asciiTheme="majorHAnsi" w:hAnsiTheme="majorHAnsi"/>
            <w:noProof/>
            <w:spacing w:val="-2"/>
          </w:rPr>
          <w:t>4.2.</w:t>
        </w:r>
        <w:r>
          <w:rPr>
            <w:rFonts w:eastAsiaTheme="minorEastAsia" w:cstheme="minorBidi"/>
            <w:b w:val="0"/>
            <w:bCs w:val="0"/>
            <w:noProof/>
            <w:spacing w:val="-2"/>
            <w:sz w:val="22"/>
            <w:szCs w:val="22"/>
            <w:lang w:val="en-US"/>
          </w:rPr>
          <w:tab/>
        </w:r>
        <w:r>
          <w:rPr>
            <w:rStyle w:val="Hyperlink"/>
            <w:rFonts w:asciiTheme="majorHAnsi" w:hAnsiTheme="majorHAnsi"/>
            <w:noProof/>
            <w:spacing w:val="-2"/>
          </w:rPr>
          <w:t>Poľnohospodárstvo – sektorové politiky a opatrenia na boj proti podvodom a ich výsledky</w:t>
        </w:r>
        <w:r>
          <w:rPr>
            <w:noProof/>
            <w:webHidden/>
            <w:spacing w:val="-2"/>
          </w:rPr>
          <w:tab/>
        </w:r>
        <w:r>
          <w:rPr>
            <w:noProof/>
            <w:webHidden/>
            <w:spacing w:val="-2"/>
          </w:rPr>
          <w:fldChar w:fldCharType="begin"/>
        </w:r>
        <w:r>
          <w:rPr>
            <w:noProof/>
            <w:webHidden/>
            <w:spacing w:val="-2"/>
          </w:rPr>
          <w:instrText xml:space="preserve"> PAGEREF _Toc22547336 \h </w:instrText>
        </w:r>
        <w:r>
          <w:rPr>
            <w:noProof/>
            <w:webHidden/>
            <w:spacing w:val="-2"/>
          </w:rPr>
        </w:r>
        <w:r>
          <w:rPr>
            <w:noProof/>
            <w:webHidden/>
            <w:spacing w:val="-2"/>
          </w:rPr>
          <w:fldChar w:fldCharType="separate"/>
        </w:r>
        <w:r>
          <w:rPr>
            <w:noProof/>
            <w:webHidden/>
            <w:spacing w:val="-2"/>
          </w:rPr>
          <w:t>24</w:t>
        </w:r>
        <w:r>
          <w:rPr>
            <w:noProof/>
            <w:webHidden/>
            <w:spacing w:val="-2"/>
          </w:rPr>
          <w:fldChar w:fldCharType="end"/>
        </w:r>
      </w:hyperlink>
    </w:p>
    <w:p>
      <w:pPr>
        <w:pStyle w:val="TOC3"/>
        <w:tabs>
          <w:tab w:val="left" w:pos="960"/>
          <w:tab w:val="right" w:leader="dot" w:pos="9063"/>
        </w:tabs>
        <w:rPr>
          <w:rFonts w:eastAsiaTheme="minorEastAsia" w:cstheme="minorBidi"/>
          <w:noProof/>
          <w:spacing w:val="-2"/>
          <w:sz w:val="22"/>
          <w:szCs w:val="22"/>
          <w:lang w:val="en-US"/>
        </w:rPr>
      </w:pPr>
      <w:hyperlink w:anchor="_Toc22547337" w:history="1">
        <w:r>
          <w:rPr>
            <w:rStyle w:val="Hyperlink"/>
            <w:rFonts w:asciiTheme="majorHAnsi" w:hAnsiTheme="majorHAnsi"/>
            <w:noProof/>
            <w:spacing w:val="-2"/>
          </w:rPr>
          <w:t>4.2.1.</w:t>
        </w:r>
        <w:r>
          <w:rPr>
            <w:rFonts w:eastAsiaTheme="minorEastAsia" w:cstheme="minorBidi"/>
            <w:noProof/>
            <w:spacing w:val="-2"/>
            <w:sz w:val="22"/>
            <w:szCs w:val="22"/>
            <w:lang w:val="en-US"/>
          </w:rPr>
          <w:tab/>
        </w:r>
        <w:r>
          <w:rPr>
            <w:rStyle w:val="Hyperlink"/>
            <w:rFonts w:asciiTheme="majorHAnsi" w:hAnsiTheme="majorHAnsi"/>
            <w:noProof/>
            <w:spacing w:val="-2"/>
          </w:rPr>
          <w:t>Poľnohospodárstvo – opatrenia členských štátov na boj proti podvodom</w:t>
        </w:r>
        <w:r>
          <w:rPr>
            <w:noProof/>
            <w:webHidden/>
            <w:spacing w:val="-2"/>
          </w:rPr>
          <w:tab/>
        </w:r>
        <w:r>
          <w:rPr>
            <w:noProof/>
            <w:webHidden/>
            <w:spacing w:val="-2"/>
          </w:rPr>
          <w:fldChar w:fldCharType="begin"/>
        </w:r>
        <w:r>
          <w:rPr>
            <w:noProof/>
            <w:webHidden/>
            <w:spacing w:val="-2"/>
          </w:rPr>
          <w:instrText xml:space="preserve"> PAGEREF _Toc22547337 \h </w:instrText>
        </w:r>
        <w:r>
          <w:rPr>
            <w:noProof/>
            <w:webHidden/>
            <w:spacing w:val="-2"/>
          </w:rPr>
        </w:r>
        <w:r>
          <w:rPr>
            <w:noProof/>
            <w:webHidden/>
            <w:spacing w:val="-2"/>
          </w:rPr>
          <w:fldChar w:fldCharType="separate"/>
        </w:r>
        <w:r>
          <w:rPr>
            <w:noProof/>
            <w:webHidden/>
            <w:spacing w:val="-2"/>
          </w:rPr>
          <w:t>24</w:t>
        </w:r>
        <w:r>
          <w:rPr>
            <w:noProof/>
            <w:webHidden/>
            <w:spacing w:val="-2"/>
          </w:rPr>
          <w:fldChar w:fldCharType="end"/>
        </w:r>
      </w:hyperlink>
    </w:p>
    <w:p>
      <w:pPr>
        <w:pStyle w:val="TOC3"/>
        <w:tabs>
          <w:tab w:val="left" w:pos="960"/>
          <w:tab w:val="right" w:leader="dot" w:pos="9063"/>
        </w:tabs>
        <w:rPr>
          <w:rFonts w:eastAsiaTheme="minorEastAsia" w:cstheme="minorBidi"/>
          <w:noProof/>
          <w:spacing w:val="-2"/>
          <w:sz w:val="22"/>
          <w:szCs w:val="22"/>
          <w:lang w:val="en-US"/>
        </w:rPr>
      </w:pPr>
      <w:hyperlink w:anchor="_Toc22547338" w:history="1">
        <w:r>
          <w:rPr>
            <w:rStyle w:val="Hyperlink"/>
            <w:rFonts w:asciiTheme="majorHAnsi" w:hAnsiTheme="majorHAnsi"/>
            <w:noProof/>
            <w:spacing w:val="-2"/>
          </w:rPr>
          <w:t>4.2.2.</w:t>
        </w:r>
        <w:r>
          <w:rPr>
            <w:rFonts w:eastAsiaTheme="minorEastAsia" w:cstheme="minorBidi"/>
            <w:noProof/>
            <w:spacing w:val="-2"/>
            <w:sz w:val="22"/>
            <w:szCs w:val="22"/>
            <w:lang w:val="en-US"/>
          </w:rPr>
          <w:tab/>
        </w:r>
        <w:r>
          <w:rPr>
            <w:rStyle w:val="Hyperlink"/>
            <w:rFonts w:asciiTheme="majorHAnsi" w:hAnsiTheme="majorHAnsi"/>
            <w:noProof/>
            <w:spacing w:val="-2"/>
          </w:rPr>
          <w:t>Poľnohospodárstvo – štatistiky o odhalených nezrovnalostiach a podvodoch</w:t>
        </w:r>
        <w:r>
          <w:rPr>
            <w:noProof/>
            <w:webHidden/>
            <w:spacing w:val="-2"/>
          </w:rPr>
          <w:tab/>
        </w:r>
        <w:r>
          <w:rPr>
            <w:noProof/>
            <w:webHidden/>
            <w:spacing w:val="-2"/>
          </w:rPr>
          <w:fldChar w:fldCharType="begin"/>
        </w:r>
        <w:r>
          <w:rPr>
            <w:noProof/>
            <w:webHidden/>
            <w:spacing w:val="-2"/>
          </w:rPr>
          <w:instrText xml:space="preserve"> PAGEREF _Toc22547338 \h </w:instrText>
        </w:r>
        <w:r>
          <w:rPr>
            <w:noProof/>
            <w:webHidden/>
            <w:spacing w:val="-2"/>
          </w:rPr>
        </w:r>
        <w:r>
          <w:rPr>
            <w:noProof/>
            <w:webHidden/>
            <w:spacing w:val="-2"/>
          </w:rPr>
          <w:fldChar w:fldCharType="separate"/>
        </w:r>
        <w:r>
          <w:rPr>
            <w:noProof/>
            <w:webHidden/>
            <w:spacing w:val="-2"/>
          </w:rPr>
          <w:t>24</w:t>
        </w:r>
        <w:r>
          <w:rPr>
            <w:noProof/>
            <w:webHidden/>
            <w:spacing w:val="-2"/>
          </w:rPr>
          <w:fldChar w:fldCharType="end"/>
        </w:r>
      </w:hyperlink>
    </w:p>
    <w:p>
      <w:pPr>
        <w:pStyle w:val="TOC3"/>
        <w:tabs>
          <w:tab w:val="left" w:pos="1200"/>
          <w:tab w:val="right" w:leader="dot" w:pos="9063"/>
        </w:tabs>
        <w:rPr>
          <w:rFonts w:eastAsiaTheme="minorEastAsia" w:cstheme="minorBidi"/>
          <w:noProof/>
          <w:spacing w:val="-2"/>
          <w:sz w:val="22"/>
          <w:szCs w:val="22"/>
          <w:lang w:val="en-US"/>
        </w:rPr>
      </w:pPr>
      <w:hyperlink w:anchor="_Toc22547339" w:history="1">
        <w:r>
          <w:rPr>
            <w:rStyle w:val="Hyperlink"/>
            <w:rFonts w:asciiTheme="majorHAnsi" w:hAnsiTheme="majorHAnsi"/>
            <w:noProof/>
            <w:spacing w:val="-2"/>
          </w:rPr>
          <w:t>4.2.2.1.</w:t>
        </w:r>
        <w:r>
          <w:rPr>
            <w:rFonts w:eastAsiaTheme="minorEastAsia" w:cstheme="minorBidi"/>
            <w:noProof/>
            <w:spacing w:val="-2"/>
            <w:sz w:val="22"/>
            <w:szCs w:val="22"/>
            <w:lang w:val="en-US"/>
          </w:rPr>
          <w:tab/>
        </w:r>
        <w:r>
          <w:rPr>
            <w:rStyle w:val="Hyperlink"/>
            <w:rFonts w:asciiTheme="majorHAnsi" w:hAnsiTheme="majorHAnsi"/>
            <w:noProof/>
            <w:spacing w:val="-2"/>
          </w:rPr>
          <w:t>Odhalené podvodné nezrovnalosti</w:t>
        </w:r>
        <w:r>
          <w:rPr>
            <w:noProof/>
            <w:webHidden/>
            <w:spacing w:val="-2"/>
          </w:rPr>
          <w:tab/>
        </w:r>
        <w:r>
          <w:rPr>
            <w:noProof/>
            <w:webHidden/>
            <w:spacing w:val="-2"/>
          </w:rPr>
          <w:fldChar w:fldCharType="begin"/>
        </w:r>
        <w:r>
          <w:rPr>
            <w:noProof/>
            <w:webHidden/>
            <w:spacing w:val="-2"/>
          </w:rPr>
          <w:instrText xml:space="preserve"> PAGEREF _Toc22547339 \h </w:instrText>
        </w:r>
        <w:r>
          <w:rPr>
            <w:noProof/>
            <w:webHidden/>
            <w:spacing w:val="-2"/>
          </w:rPr>
        </w:r>
        <w:r>
          <w:rPr>
            <w:noProof/>
            <w:webHidden/>
            <w:spacing w:val="-2"/>
          </w:rPr>
          <w:fldChar w:fldCharType="separate"/>
        </w:r>
        <w:r>
          <w:rPr>
            <w:noProof/>
            <w:webHidden/>
            <w:spacing w:val="-2"/>
          </w:rPr>
          <w:t>24</w:t>
        </w:r>
        <w:r>
          <w:rPr>
            <w:noProof/>
            <w:webHidden/>
            <w:spacing w:val="-2"/>
          </w:rPr>
          <w:fldChar w:fldCharType="end"/>
        </w:r>
      </w:hyperlink>
    </w:p>
    <w:p>
      <w:pPr>
        <w:pStyle w:val="TOC3"/>
        <w:tabs>
          <w:tab w:val="left" w:pos="1200"/>
          <w:tab w:val="right" w:leader="dot" w:pos="9063"/>
        </w:tabs>
        <w:rPr>
          <w:rFonts w:eastAsiaTheme="minorEastAsia" w:cstheme="minorBidi"/>
          <w:noProof/>
          <w:spacing w:val="-2"/>
          <w:sz w:val="22"/>
          <w:szCs w:val="22"/>
          <w:lang w:val="en-US"/>
        </w:rPr>
      </w:pPr>
      <w:hyperlink w:anchor="_Toc22547340" w:history="1">
        <w:r>
          <w:rPr>
            <w:rStyle w:val="Hyperlink"/>
            <w:rFonts w:asciiTheme="majorHAnsi" w:hAnsiTheme="majorHAnsi"/>
            <w:noProof/>
            <w:spacing w:val="-2"/>
          </w:rPr>
          <w:t>4.2.2.2.</w:t>
        </w:r>
        <w:r>
          <w:rPr>
            <w:rFonts w:eastAsiaTheme="minorEastAsia" w:cstheme="minorBidi"/>
            <w:noProof/>
            <w:spacing w:val="-2"/>
            <w:sz w:val="22"/>
            <w:szCs w:val="22"/>
            <w:lang w:val="en-US"/>
          </w:rPr>
          <w:tab/>
        </w:r>
        <w:r>
          <w:rPr>
            <w:rStyle w:val="Hyperlink"/>
            <w:rFonts w:asciiTheme="majorHAnsi" w:hAnsiTheme="majorHAnsi"/>
            <w:noProof/>
            <w:spacing w:val="-2"/>
          </w:rPr>
          <w:t>Odhalené nepodvodné nezrovnalosti</w:t>
        </w:r>
        <w:r>
          <w:rPr>
            <w:noProof/>
            <w:webHidden/>
            <w:spacing w:val="-2"/>
          </w:rPr>
          <w:tab/>
        </w:r>
        <w:r>
          <w:rPr>
            <w:noProof/>
            <w:webHidden/>
            <w:spacing w:val="-2"/>
          </w:rPr>
          <w:fldChar w:fldCharType="begin"/>
        </w:r>
        <w:r>
          <w:rPr>
            <w:noProof/>
            <w:webHidden/>
            <w:spacing w:val="-2"/>
          </w:rPr>
          <w:instrText xml:space="preserve"> PAGEREF _Toc22547340 \h </w:instrText>
        </w:r>
        <w:r>
          <w:rPr>
            <w:noProof/>
            <w:webHidden/>
            <w:spacing w:val="-2"/>
          </w:rPr>
        </w:r>
        <w:r>
          <w:rPr>
            <w:noProof/>
            <w:webHidden/>
            <w:spacing w:val="-2"/>
          </w:rPr>
          <w:fldChar w:fldCharType="separate"/>
        </w:r>
        <w:r>
          <w:rPr>
            <w:noProof/>
            <w:webHidden/>
            <w:spacing w:val="-2"/>
          </w:rPr>
          <w:t>25</w:t>
        </w:r>
        <w:r>
          <w:rPr>
            <w:noProof/>
            <w:webHidden/>
            <w:spacing w:val="-2"/>
          </w:rPr>
          <w:fldChar w:fldCharType="end"/>
        </w:r>
      </w:hyperlink>
    </w:p>
    <w:p>
      <w:pPr>
        <w:pStyle w:val="TOC2"/>
        <w:tabs>
          <w:tab w:val="left" w:pos="720"/>
          <w:tab w:val="right" w:leader="dot" w:pos="9063"/>
        </w:tabs>
        <w:rPr>
          <w:rFonts w:eastAsiaTheme="minorEastAsia" w:cstheme="minorBidi"/>
          <w:b w:val="0"/>
          <w:bCs w:val="0"/>
          <w:noProof/>
          <w:spacing w:val="-2"/>
          <w:sz w:val="22"/>
          <w:szCs w:val="22"/>
          <w:lang w:val="en-US"/>
        </w:rPr>
      </w:pPr>
      <w:hyperlink w:anchor="_Toc22547341" w:history="1">
        <w:r>
          <w:rPr>
            <w:rStyle w:val="Hyperlink"/>
            <w:rFonts w:asciiTheme="majorHAnsi" w:hAnsiTheme="majorHAnsi"/>
            <w:noProof/>
            <w:spacing w:val="-2"/>
          </w:rPr>
          <w:t>4.3.</w:t>
        </w:r>
        <w:r>
          <w:rPr>
            <w:rFonts w:eastAsiaTheme="minorEastAsia" w:cstheme="minorBidi"/>
            <w:b w:val="0"/>
            <w:bCs w:val="0"/>
            <w:noProof/>
            <w:spacing w:val="-2"/>
            <w:sz w:val="22"/>
            <w:szCs w:val="22"/>
            <w:lang w:val="en-US"/>
          </w:rPr>
          <w:tab/>
        </w:r>
        <w:r>
          <w:rPr>
            <w:rStyle w:val="Hyperlink"/>
            <w:rFonts w:asciiTheme="majorHAnsi" w:hAnsiTheme="majorHAnsi"/>
            <w:noProof/>
            <w:spacing w:val="-2"/>
          </w:rPr>
          <w:t>Politika súdržnosti a rybárstvo – sektorové politiky a opatrenia na boj proti podvodom a ich výsledky</w:t>
        </w:r>
        <w:r>
          <w:rPr>
            <w:noProof/>
            <w:webHidden/>
            <w:spacing w:val="-2"/>
          </w:rPr>
          <w:tab/>
        </w:r>
        <w:r>
          <w:rPr>
            <w:noProof/>
            <w:webHidden/>
            <w:spacing w:val="-2"/>
          </w:rPr>
          <w:fldChar w:fldCharType="begin"/>
        </w:r>
        <w:r>
          <w:rPr>
            <w:noProof/>
            <w:webHidden/>
            <w:spacing w:val="-2"/>
          </w:rPr>
          <w:instrText xml:space="preserve"> PAGEREF _Toc22547341 \h </w:instrText>
        </w:r>
        <w:r>
          <w:rPr>
            <w:noProof/>
            <w:webHidden/>
            <w:spacing w:val="-2"/>
          </w:rPr>
        </w:r>
        <w:r>
          <w:rPr>
            <w:noProof/>
            <w:webHidden/>
            <w:spacing w:val="-2"/>
          </w:rPr>
          <w:fldChar w:fldCharType="separate"/>
        </w:r>
        <w:r>
          <w:rPr>
            <w:noProof/>
            <w:webHidden/>
            <w:spacing w:val="-2"/>
          </w:rPr>
          <w:t>26</w:t>
        </w:r>
        <w:r>
          <w:rPr>
            <w:noProof/>
            <w:webHidden/>
            <w:spacing w:val="-2"/>
          </w:rPr>
          <w:fldChar w:fldCharType="end"/>
        </w:r>
      </w:hyperlink>
    </w:p>
    <w:p>
      <w:pPr>
        <w:pStyle w:val="TOC3"/>
        <w:tabs>
          <w:tab w:val="left" w:pos="960"/>
          <w:tab w:val="right" w:leader="dot" w:pos="9063"/>
        </w:tabs>
        <w:rPr>
          <w:rFonts w:eastAsiaTheme="minorEastAsia" w:cstheme="minorBidi"/>
          <w:noProof/>
          <w:spacing w:val="-2"/>
          <w:sz w:val="22"/>
          <w:szCs w:val="22"/>
          <w:lang w:val="en-US"/>
        </w:rPr>
      </w:pPr>
      <w:hyperlink w:anchor="_Toc22547342" w:history="1">
        <w:r>
          <w:rPr>
            <w:rStyle w:val="Hyperlink"/>
            <w:rFonts w:asciiTheme="majorHAnsi" w:hAnsiTheme="majorHAnsi"/>
            <w:noProof/>
            <w:spacing w:val="-2"/>
          </w:rPr>
          <w:t>4.3.1.</w:t>
        </w:r>
        <w:r>
          <w:rPr>
            <w:rFonts w:eastAsiaTheme="minorEastAsia" w:cstheme="minorBidi"/>
            <w:noProof/>
            <w:spacing w:val="-2"/>
            <w:sz w:val="22"/>
            <w:szCs w:val="22"/>
            <w:lang w:val="en-US"/>
          </w:rPr>
          <w:tab/>
        </w:r>
        <w:r>
          <w:rPr>
            <w:rStyle w:val="Hyperlink"/>
            <w:rFonts w:asciiTheme="majorHAnsi" w:hAnsiTheme="majorHAnsi"/>
            <w:noProof/>
            <w:spacing w:val="-2"/>
          </w:rPr>
          <w:t>Politika súdržnosti a rybárstvo – opatrenia členských štátov na boj proti podvodom</w:t>
        </w:r>
        <w:r>
          <w:rPr>
            <w:noProof/>
            <w:webHidden/>
            <w:spacing w:val="-2"/>
          </w:rPr>
          <w:tab/>
        </w:r>
        <w:r>
          <w:rPr>
            <w:noProof/>
            <w:webHidden/>
            <w:spacing w:val="-2"/>
          </w:rPr>
          <w:fldChar w:fldCharType="begin"/>
        </w:r>
        <w:r>
          <w:rPr>
            <w:noProof/>
            <w:webHidden/>
            <w:spacing w:val="-2"/>
          </w:rPr>
          <w:instrText xml:space="preserve"> PAGEREF _Toc22547342 \h </w:instrText>
        </w:r>
        <w:r>
          <w:rPr>
            <w:noProof/>
            <w:webHidden/>
            <w:spacing w:val="-2"/>
          </w:rPr>
        </w:r>
        <w:r>
          <w:rPr>
            <w:noProof/>
            <w:webHidden/>
            <w:spacing w:val="-2"/>
          </w:rPr>
          <w:fldChar w:fldCharType="separate"/>
        </w:r>
        <w:r>
          <w:rPr>
            <w:noProof/>
            <w:webHidden/>
            <w:spacing w:val="-2"/>
          </w:rPr>
          <w:t>26</w:t>
        </w:r>
        <w:r>
          <w:rPr>
            <w:noProof/>
            <w:webHidden/>
            <w:spacing w:val="-2"/>
          </w:rPr>
          <w:fldChar w:fldCharType="end"/>
        </w:r>
      </w:hyperlink>
    </w:p>
    <w:p>
      <w:pPr>
        <w:pStyle w:val="TOC3"/>
        <w:tabs>
          <w:tab w:val="left" w:pos="960"/>
          <w:tab w:val="right" w:leader="dot" w:pos="9063"/>
        </w:tabs>
        <w:rPr>
          <w:rFonts w:eastAsiaTheme="minorEastAsia" w:cstheme="minorBidi"/>
          <w:noProof/>
          <w:spacing w:val="-2"/>
          <w:sz w:val="22"/>
          <w:szCs w:val="22"/>
          <w:lang w:val="en-US"/>
        </w:rPr>
      </w:pPr>
      <w:hyperlink w:anchor="_Toc22547343" w:history="1">
        <w:r>
          <w:rPr>
            <w:rStyle w:val="Hyperlink"/>
            <w:rFonts w:asciiTheme="majorHAnsi" w:hAnsiTheme="majorHAnsi"/>
            <w:noProof/>
            <w:spacing w:val="-2"/>
          </w:rPr>
          <w:t>4.3.2.</w:t>
        </w:r>
        <w:r>
          <w:rPr>
            <w:rFonts w:eastAsiaTheme="minorEastAsia" w:cstheme="minorBidi"/>
            <w:noProof/>
            <w:spacing w:val="-2"/>
            <w:sz w:val="22"/>
            <w:szCs w:val="22"/>
            <w:lang w:val="en-US"/>
          </w:rPr>
          <w:tab/>
        </w:r>
        <w:r>
          <w:rPr>
            <w:rStyle w:val="Hyperlink"/>
            <w:rFonts w:asciiTheme="majorHAnsi" w:hAnsiTheme="majorHAnsi"/>
            <w:noProof/>
            <w:spacing w:val="-2"/>
          </w:rPr>
          <w:t>Politika súdržnosti a rybárstvo – štatistiky o odhalených nezrovnalostiach a podvodoch</w:t>
        </w:r>
        <w:r>
          <w:rPr>
            <w:noProof/>
            <w:webHidden/>
            <w:spacing w:val="-2"/>
          </w:rPr>
          <w:tab/>
        </w:r>
        <w:r>
          <w:rPr>
            <w:noProof/>
            <w:webHidden/>
            <w:spacing w:val="-2"/>
          </w:rPr>
          <w:fldChar w:fldCharType="begin"/>
        </w:r>
        <w:r>
          <w:rPr>
            <w:noProof/>
            <w:webHidden/>
            <w:spacing w:val="-2"/>
          </w:rPr>
          <w:instrText xml:space="preserve"> PAGEREF _Toc22547343 \h </w:instrText>
        </w:r>
        <w:r>
          <w:rPr>
            <w:noProof/>
            <w:webHidden/>
            <w:spacing w:val="-2"/>
          </w:rPr>
        </w:r>
        <w:r>
          <w:rPr>
            <w:noProof/>
            <w:webHidden/>
            <w:spacing w:val="-2"/>
          </w:rPr>
          <w:fldChar w:fldCharType="separate"/>
        </w:r>
        <w:r>
          <w:rPr>
            <w:noProof/>
            <w:webHidden/>
            <w:spacing w:val="-2"/>
          </w:rPr>
          <w:t>27</w:t>
        </w:r>
        <w:r>
          <w:rPr>
            <w:noProof/>
            <w:webHidden/>
            <w:spacing w:val="-2"/>
          </w:rPr>
          <w:fldChar w:fldCharType="end"/>
        </w:r>
      </w:hyperlink>
    </w:p>
    <w:p>
      <w:pPr>
        <w:pStyle w:val="TOC3"/>
        <w:tabs>
          <w:tab w:val="left" w:pos="1200"/>
          <w:tab w:val="right" w:leader="dot" w:pos="9063"/>
        </w:tabs>
        <w:rPr>
          <w:rFonts w:eastAsiaTheme="minorEastAsia" w:cstheme="minorBidi"/>
          <w:noProof/>
          <w:spacing w:val="-2"/>
          <w:sz w:val="22"/>
          <w:szCs w:val="22"/>
          <w:lang w:val="en-US"/>
        </w:rPr>
      </w:pPr>
      <w:hyperlink w:anchor="_Toc22547344" w:history="1">
        <w:r>
          <w:rPr>
            <w:rStyle w:val="Hyperlink"/>
            <w:rFonts w:asciiTheme="majorHAnsi" w:hAnsiTheme="majorHAnsi"/>
            <w:noProof/>
            <w:spacing w:val="-2"/>
          </w:rPr>
          <w:t>4.3.2.1.</w:t>
        </w:r>
        <w:r>
          <w:rPr>
            <w:rFonts w:eastAsiaTheme="minorEastAsia" w:cstheme="minorBidi"/>
            <w:noProof/>
            <w:spacing w:val="-2"/>
            <w:sz w:val="22"/>
            <w:szCs w:val="22"/>
            <w:lang w:val="en-US"/>
          </w:rPr>
          <w:tab/>
        </w:r>
        <w:r>
          <w:rPr>
            <w:rStyle w:val="Hyperlink"/>
            <w:rFonts w:asciiTheme="majorHAnsi" w:hAnsiTheme="majorHAnsi"/>
            <w:noProof/>
            <w:spacing w:val="-2"/>
          </w:rPr>
          <w:t>Odhalené podvodné nezrovnalosti</w:t>
        </w:r>
        <w:r>
          <w:rPr>
            <w:noProof/>
            <w:webHidden/>
            <w:spacing w:val="-2"/>
          </w:rPr>
          <w:tab/>
        </w:r>
        <w:r>
          <w:rPr>
            <w:noProof/>
            <w:webHidden/>
            <w:spacing w:val="-2"/>
          </w:rPr>
          <w:fldChar w:fldCharType="begin"/>
        </w:r>
        <w:r>
          <w:rPr>
            <w:noProof/>
            <w:webHidden/>
            <w:spacing w:val="-2"/>
          </w:rPr>
          <w:instrText xml:space="preserve"> PAGEREF _Toc22547344 \h </w:instrText>
        </w:r>
        <w:r>
          <w:rPr>
            <w:noProof/>
            <w:webHidden/>
            <w:spacing w:val="-2"/>
          </w:rPr>
        </w:r>
        <w:r>
          <w:rPr>
            <w:noProof/>
            <w:webHidden/>
            <w:spacing w:val="-2"/>
          </w:rPr>
          <w:fldChar w:fldCharType="separate"/>
        </w:r>
        <w:r>
          <w:rPr>
            <w:noProof/>
            <w:webHidden/>
            <w:spacing w:val="-2"/>
          </w:rPr>
          <w:t>27</w:t>
        </w:r>
        <w:r>
          <w:rPr>
            <w:noProof/>
            <w:webHidden/>
            <w:spacing w:val="-2"/>
          </w:rPr>
          <w:fldChar w:fldCharType="end"/>
        </w:r>
      </w:hyperlink>
    </w:p>
    <w:p>
      <w:pPr>
        <w:pStyle w:val="TOC3"/>
        <w:tabs>
          <w:tab w:val="left" w:pos="1200"/>
          <w:tab w:val="right" w:leader="dot" w:pos="9063"/>
        </w:tabs>
        <w:rPr>
          <w:rFonts w:eastAsiaTheme="minorEastAsia" w:cstheme="minorBidi"/>
          <w:noProof/>
          <w:spacing w:val="-2"/>
          <w:sz w:val="22"/>
          <w:szCs w:val="22"/>
          <w:lang w:val="en-US"/>
        </w:rPr>
      </w:pPr>
      <w:hyperlink w:anchor="_Toc22547345" w:history="1">
        <w:r>
          <w:rPr>
            <w:rStyle w:val="Hyperlink"/>
            <w:rFonts w:asciiTheme="majorHAnsi" w:hAnsiTheme="majorHAnsi"/>
            <w:noProof/>
            <w:spacing w:val="-2"/>
          </w:rPr>
          <w:t>4.3.2.2.</w:t>
        </w:r>
        <w:r>
          <w:rPr>
            <w:rFonts w:eastAsiaTheme="minorEastAsia" w:cstheme="minorBidi"/>
            <w:noProof/>
            <w:spacing w:val="-2"/>
            <w:sz w:val="22"/>
            <w:szCs w:val="22"/>
            <w:lang w:val="en-US"/>
          </w:rPr>
          <w:tab/>
        </w:r>
        <w:r>
          <w:rPr>
            <w:rStyle w:val="Hyperlink"/>
            <w:rFonts w:asciiTheme="majorHAnsi" w:hAnsiTheme="majorHAnsi"/>
            <w:noProof/>
            <w:spacing w:val="-2"/>
          </w:rPr>
          <w:t>Odhalené nepodvodné nezrovnalosti</w:t>
        </w:r>
        <w:r>
          <w:rPr>
            <w:noProof/>
            <w:webHidden/>
            <w:spacing w:val="-2"/>
          </w:rPr>
          <w:tab/>
        </w:r>
        <w:r>
          <w:rPr>
            <w:noProof/>
            <w:webHidden/>
            <w:spacing w:val="-2"/>
          </w:rPr>
          <w:fldChar w:fldCharType="begin"/>
        </w:r>
        <w:r>
          <w:rPr>
            <w:noProof/>
            <w:webHidden/>
            <w:spacing w:val="-2"/>
          </w:rPr>
          <w:instrText xml:space="preserve"> PAGEREF _Toc22547345 \h </w:instrText>
        </w:r>
        <w:r>
          <w:rPr>
            <w:noProof/>
            <w:webHidden/>
            <w:spacing w:val="-2"/>
          </w:rPr>
        </w:r>
        <w:r>
          <w:rPr>
            <w:noProof/>
            <w:webHidden/>
            <w:spacing w:val="-2"/>
          </w:rPr>
          <w:fldChar w:fldCharType="separate"/>
        </w:r>
        <w:r>
          <w:rPr>
            <w:noProof/>
            <w:webHidden/>
            <w:spacing w:val="-2"/>
          </w:rPr>
          <w:t>27</w:t>
        </w:r>
        <w:r>
          <w:rPr>
            <w:noProof/>
            <w:webHidden/>
            <w:spacing w:val="-2"/>
          </w:rPr>
          <w:fldChar w:fldCharType="end"/>
        </w:r>
      </w:hyperlink>
    </w:p>
    <w:p>
      <w:pPr>
        <w:pStyle w:val="TOC2"/>
        <w:tabs>
          <w:tab w:val="left" w:pos="720"/>
          <w:tab w:val="right" w:leader="dot" w:pos="9063"/>
        </w:tabs>
        <w:rPr>
          <w:rFonts w:eastAsiaTheme="minorEastAsia" w:cstheme="minorBidi"/>
          <w:b w:val="0"/>
          <w:bCs w:val="0"/>
          <w:noProof/>
          <w:spacing w:val="-2"/>
          <w:sz w:val="22"/>
          <w:szCs w:val="22"/>
          <w:lang w:val="en-US"/>
        </w:rPr>
      </w:pPr>
      <w:hyperlink w:anchor="_Toc22547346" w:history="1">
        <w:r>
          <w:rPr>
            <w:rStyle w:val="Hyperlink"/>
            <w:rFonts w:asciiTheme="majorHAnsi" w:hAnsiTheme="majorHAnsi"/>
            <w:noProof/>
            <w:spacing w:val="-2"/>
          </w:rPr>
          <w:t>4.4.</w:t>
        </w:r>
        <w:r>
          <w:rPr>
            <w:rFonts w:eastAsiaTheme="minorEastAsia" w:cstheme="minorBidi"/>
            <w:b w:val="0"/>
            <w:bCs w:val="0"/>
            <w:noProof/>
            <w:spacing w:val="-2"/>
            <w:sz w:val="22"/>
            <w:szCs w:val="22"/>
            <w:lang w:val="en-US"/>
          </w:rPr>
          <w:tab/>
        </w:r>
        <w:r>
          <w:rPr>
            <w:rStyle w:val="Hyperlink"/>
            <w:rFonts w:asciiTheme="majorHAnsi" w:hAnsiTheme="majorHAnsi"/>
            <w:noProof/>
            <w:spacing w:val="-2"/>
          </w:rPr>
          <w:t>Nepriame riadenie (predvstupová politika) – štatistiky o odhalených nezrovnalostiach a podvodoch</w:t>
        </w:r>
        <w:r>
          <w:rPr>
            <w:noProof/>
            <w:webHidden/>
            <w:spacing w:val="-2"/>
          </w:rPr>
          <w:tab/>
        </w:r>
        <w:r>
          <w:rPr>
            <w:noProof/>
            <w:webHidden/>
            <w:spacing w:val="-2"/>
          </w:rPr>
          <w:fldChar w:fldCharType="begin"/>
        </w:r>
        <w:r>
          <w:rPr>
            <w:noProof/>
            <w:webHidden/>
            <w:spacing w:val="-2"/>
          </w:rPr>
          <w:instrText xml:space="preserve"> PAGEREF _Toc22547346 \h </w:instrText>
        </w:r>
        <w:r>
          <w:rPr>
            <w:noProof/>
            <w:webHidden/>
            <w:spacing w:val="-2"/>
          </w:rPr>
        </w:r>
        <w:r>
          <w:rPr>
            <w:noProof/>
            <w:webHidden/>
            <w:spacing w:val="-2"/>
          </w:rPr>
          <w:fldChar w:fldCharType="separate"/>
        </w:r>
        <w:r>
          <w:rPr>
            <w:noProof/>
            <w:webHidden/>
            <w:spacing w:val="-2"/>
          </w:rPr>
          <w:t>27</w:t>
        </w:r>
        <w:r>
          <w:rPr>
            <w:noProof/>
            <w:webHidden/>
            <w:spacing w:val="-2"/>
          </w:rPr>
          <w:fldChar w:fldCharType="end"/>
        </w:r>
      </w:hyperlink>
    </w:p>
    <w:p>
      <w:pPr>
        <w:pStyle w:val="TOC2"/>
        <w:tabs>
          <w:tab w:val="left" w:pos="720"/>
          <w:tab w:val="right" w:leader="dot" w:pos="9063"/>
        </w:tabs>
        <w:rPr>
          <w:rFonts w:eastAsiaTheme="minorEastAsia" w:cstheme="minorBidi"/>
          <w:b w:val="0"/>
          <w:bCs w:val="0"/>
          <w:noProof/>
          <w:spacing w:val="-2"/>
          <w:sz w:val="22"/>
          <w:szCs w:val="22"/>
          <w:lang w:val="en-US"/>
        </w:rPr>
      </w:pPr>
      <w:hyperlink w:anchor="_Toc22547347" w:history="1">
        <w:r>
          <w:rPr>
            <w:rStyle w:val="Hyperlink"/>
            <w:rFonts w:asciiTheme="majorHAnsi" w:hAnsiTheme="majorHAnsi"/>
            <w:noProof/>
            <w:spacing w:val="-2"/>
          </w:rPr>
          <w:t>4.5.</w:t>
        </w:r>
        <w:r>
          <w:rPr>
            <w:rFonts w:eastAsiaTheme="minorEastAsia" w:cstheme="minorBidi"/>
            <w:b w:val="0"/>
            <w:bCs w:val="0"/>
            <w:noProof/>
            <w:spacing w:val="-2"/>
            <w:sz w:val="22"/>
            <w:szCs w:val="22"/>
            <w:lang w:val="en-US"/>
          </w:rPr>
          <w:tab/>
        </w:r>
        <w:r>
          <w:rPr>
            <w:rStyle w:val="Hyperlink"/>
            <w:rFonts w:asciiTheme="majorHAnsi" w:hAnsiTheme="majorHAnsi"/>
            <w:noProof/>
            <w:spacing w:val="-2"/>
          </w:rPr>
          <w:t>Priame riadenie – sektorové politiky a opatrenia na boj proti podvodom a ich výsledky</w:t>
        </w:r>
        <w:r>
          <w:rPr>
            <w:noProof/>
            <w:webHidden/>
            <w:spacing w:val="-2"/>
          </w:rPr>
          <w:tab/>
        </w:r>
        <w:r>
          <w:rPr>
            <w:noProof/>
            <w:webHidden/>
            <w:spacing w:val="-2"/>
          </w:rPr>
          <w:fldChar w:fldCharType="begin"/>
        </w:r>
        <w:r>
          <w:rPr>
            <w:noProof/>
            <w:webHidden/>
            <w:spacing w:val="-2"/>
          </w:rPr>
          <w:instrText xml:space="preserve"> PAGEREF _Toc22547347 \h </w:instrText>
        </w:r>
        <w:r>
          <w:rPr>
            <w:noProof/>
            <w:webHidden/>
            <w:spacing w:val="-2"/>
          </w:rPr>
        </w:r>
        <w:r>
          <w:rPr>
            <w:noProof/>
            <w:webHidden/>
            <w:spacing w:val="-2"/>
          </w:rPr>
          <w:fldChar w:fldCharType="separate"/>
        </w:r>
        <w:r>
          <w:rPr>
            <w:noProof/>
            <w:webHidden/>
            <w:spacing w:val="-2"/>
          </w:rPr>
          <w:t>28</w:t>
        </w:r>
        <w:r>
          <w:rPr>
            <w:noProof/>
            <w:webHidden/>
            <w:spacing w:val="-2"/>
          </w:rPr>
          <w:fldChar w:fldCharType="end"/>
        </w:r>
      </w:hyperlink>
    </w:p>
    <w:p>
      <w:pPr>
        <w:pStyle w:val="TOC3"/>
        <w:tabs>
          <w:tab w:val="left" w:pos="960"/>
          <w:tab w:val="right" w:leader="dot" w:pos="9063"/>
        </w:tabs>
        <w:rPr>
          <w:rFonts w:eastAsiaTheme="minorEastAsia" w:cstheme="minorBidi"/>
          <w:noProof/>
          <w:spacing w:val="-2"/>
          <w:sz w:val="22"/>
          <w:szCs w:val="22"/>
          <w:lang w:val="en-US"/>
        </w:rPr>
      </w:pPr>
      <w:hyperlink w:anchor="_Toc22547348" w:history="1">
        <w:r>
          <w:rPr>
            <w:rStyle w:val="Hyperlink"/>
            <w:rFonts w:asciiTheme="majorHAnsi" w:hAnsiTheme="majorHAnsi"/>
            <w:noProof/>
            <w:spacing w:val="-2"/>
          </w:rPr>
          <w:t>4.5.1.</w:t>
        </w:r>
        <w:r>
          <w:rPr>
            <w:rFonts w:eastAsiaTheme="minorEastAsia" w:cstheme="minorBidi"/>
            <w:noProof/>
            <w:spacing w:val="-2"/>
            <w:sz w:val="22"/>
            <w:szCs w:val="22"/>
            <w:lang w:val="en-US"/>
          </w:rPr>
          <w:tab/>
        </w:r>
        <w:r>
          <w:rPr>
            <w:rStyle w:val="Hyperlink"/>
            <w:rFonts w:asciiTheme="majorHAnsi" w:hAnsiTheme="majorHAnsi"/>
            <w:noProof/>
            <w:spacing w:val="-2"/>
          </w:rPr>
          <w:t>Priame riadenie – štatistiky o odhalených nezrovnalostiach a podvodoch</w:t>
        </w:r>
        <w:r>
          <w:rPr>
            <w:noProof/>
            <w:webHidden/>
            <w:spacing w:val="-2"/>
          </w:rPr>
          <w:tab/>
        </w:r>
        <w:r>
          <w:rPr>
            <w:noProof/>
            <w:webHidden/>
            <w:spacing w:val="-2"/>
          </w:rPr>
          <w:fldChar w:fldCharType="begin"/>
        </w:r>
        <w:r>
          <w:rPr>
            <w:noProof/>
            <w:webHidden/>
            <w:spacing w:val="-2"/>
          </w:rPr>
          <w:instrText xml:space="preserve"> PAGEREF _Toc22547348 \h </w:instrText>
        </w:r>
        <w:r>
          <w:rPr>
            <w:noProof/>
            <w:webHidden/>
            <w:spacing w:val="-2"/>
          </w:rPr>
        </w:r>
        <w:r>
          <w:rPr>
            <w:noProof/>
            <w:webHidden/>
            <w:spacing w:val="-2"/>
          </w:rPr>
          <w:fldChar w:fldCharType="separate"/>
        </w:r>
        <w:r>
          <w:rPr>
            <w:noProof/>
            <w:webHidden/>
            <w:spacing w:val="-2"/>
          </w:rPr>
          <w:t>28</w:t>
        </w:r>
        <w:r>
          <w:rPr>
            <w:noProof/>
            <w:webHidden/>
            <w:spacing w:val="-2"/>
          </w:rPr>
          <w:fldChar w:fldCharType="end"/>
        </w:r>
      </w:hyperlink>
    </w:p>
    <w:p>
      <w:pPr>
        <w:pStyle w:val="TOC3"/>
        <w:tabs>
          <w:tab w:val="left" w:pos="1200"/>
          <w:tab w:val="right" w:leader="dot" w:pos="9063"/>
        </w:tabs>
        <w:rPr>
          <w:rFonts w:eastAsiaTheme="minorEastAsia" w:cstheme="minorBidi"/>
          <w:noProof/>
          <w:spacing w:val="-2"/>
          <w:sz w:val="22"/>
          <w:szCs w:val="22"/>
          <w:lang w:val="en-US"/>
        </w:rPr>
      </w:pPr>
      <w:hyperlink w:anchor="_Toc22547349" w:history="1">
        <w:r>
          <w:rPr>
            <w:rStyle w:val="Hyperlink"/>
            <w:rFonts w:asciiTheme="majorHAnsi" w:hAnsiTheme="majorHAnsi"/>
            <w:noProof/>
            <w:spacing w:val="-2"/>
          </w:rPr>
          <w:t>4.5.1.1.</w:t>
        </w:r>
        <w:r>
          <w:rPr>
            <w:rFonts w:eastAsiaTheme="minorEastAsia" w:cstheme="minorBidi"/>
            <w:noProof/>
            <w:spacing w:val="-2"/>
            <w:sz w:val="22"/>
            <w:szCs w:val="22"/>
            <w:lang w:val="en-US"/>
          </w:rPr>
          <w:tab/>
        </w:r>
        <w:r>
          <w:rPr>
            <w:rStyle w:val="Hyperlink"/>
            <w:rFonts w:asciiTheme="majorHAnsi" w:hAnsiTheme="majorHAnsi"/>
            <w:noProof/>
            <w:spacing w:val="-2"/>
          </w:rPr>
          <w:t>Odhalené podvodné nezrovnalosti</w:t>
        </w:r>
        <w:r>
          <w:rPr>
            <w:noProof/>
            <w:webHidden/>
            <w:spacing w:val="-2"/>
          </w:rPr>
          <w:tab/>
        </w:r>
        <w:r>
          <w:rPr>
            <w:noProof/>
            <w:webHidden/>
            <w:spacing w:val="-2"/>
          </w:rPr>
          <w:fldChar w:fldCharType="begin"/>
        </w:r>
        <w:r>
          <w:rPr>
            <w:noProof/>
            <w:webHidden/>
            <w:spacing w:val="-2"/>
          </w:rPr>
          <w:instrText xml:space="preserve"> PAGEREF _Toc22547349 \h </w:instrText>
        </w:r>
        <w:r>
          <w:rPr>
            <w:noProof/>
            <w:webHidden/>
            <w:spacing w:val="-2"/>
          </w:rPr>
        </w:r>
        <w:r>
          <w:rPr>
            <w:noProof/>
            <w:webHidden/>
            <w:spacing w:val="-2"/>
          </w:rPr>
          <w:fldChar w:fldCharType="separate"/>
        </w:r>
        <w:r>
          <w:rPr>
            <w:noProof/>
            <w:webHidden/>
            <w:spacing w:val="-2"/>
          </w:rPr>
          <w:t>28</w:t>
        </w:r>
        <w:r>
          <w:rPr>
            <w:noProof/>
            <w:webHidden/>
            <w:spacing w:val="-2"/>
          </w:rPr>
          <w:fldChar w:fldCharType="end"/>
        </w:r>
      </w:hyperlink>
    </w:p>
    <w:p>
      <w:pPr>
        <w:pStyle w:val="TOC3"/>
        <w:tabs>
          <w:tab w:val="left" w:pos="1200"/>
          <w:tab w:val="right" w:leader="dot" w:pos="9063"/>
        </w:tabs>
        <w:rPr>
          <w:rFonts w:eastAsiaTheme="minorEastAsia" w:cstheme="minorBidi"/>
          <w:noProof/>
          <w:spacing w:val="-2"/>
          <w:sz w:val="22"/>
          <w:szCs w:val="22"/>
          <w:lang w:val="en-US"/>
        </w:rPr>
      </w:pPr>
      <w:hyperlink w:anchor="_Toc22547350" w:history="1">
        <w:r>
          <w:rPr>
            <w:rStyle w:val="Hyperlink"/>
            <w:rFonts w:asciiTheme="majorHAnsi" w:hAnsiTheme="majorHAnsi"/>
            <w:noProof/>
            <w:spacing w:val="-2"/>
          </w:rPr>
          <w:t>4.5.1.2.</w:t>
        </w:r>
        <w:r>
          <w:rPr>
            <w:rFonts w:eastAsiaTheme="minorEastAsia" w:cstheme="minorBidi"/>
            <w:noProof/>
            <w:spacing w:val="-2"/>
            <w:sz w:val="22"/>
            <w:szCs w:val="22"/>
            <w:lang w:val="en-US"/>
          </w:rPr>
          <w:tab/>
        </w:r>
        <w:r>
          <w:rPr>
            <w:rStyle w:val="Hyperlink"/>
            <w:rFonts w:asciiTheme="majorHAnsi" w:hAnsiTheme="majorHAnsi"/>
            <w:noProof/>
            <w:spacing w:val="-2"/>
          </w:rPr>
          <w:t>Odhalené nepodvodné nezrovnalosti</w:t>
        </w:r>
        <w:r>
          <w:rPr>
            <w:noProof/>
            <w:webHidden/>
            <w:spacing w:val="-2"/>
          </w:rPr>
          <w:tab/>
        </w:r>
        <w:r>
          <w:rPr>
            <w:noProof/>
            <w:webHidden/>
            <w:spacing w:val="-2"/>
          </w:rPr>
          <w:fldChar w:fldCharType="begin"/>
        </w:r>
        <w:r>
          <w:rPr>
            <w:noProof/>
            <w:webHidden/>
            <w:spacing w:val="-2"/>
          </w:rPr>
          <w:instrText xml:space="preserve"> PAGEREF _Toc22547350 \h </w:instrText>
        </w:r>
        <w:r>
          <w:rPr>
            <w:noProof/>
            <w:webHidden/>
            <w:spacing w:val="-2"/>
          </w:rPr>
        </w:r>
        <w:r>
          <w:rPr>
            <w:noProof/>
            <w:webHidden/>
            <w:spacing w:val="-2"/>
          </w:rPr>
          <w:fldChar w:fldCharType="separate"/>
        </w:r>
        <w:r>
          <w:rPr>
            <w:noProof/>
            <w:webHidden/>
            <w:spacing w:val="-2"/>
          </w:rPr>
          <w:t>28</w:t>
        </w:r>
        <w:r>
          <w:rPr>
            <w:noProof/>
            <w:webHidden/>
            <w:spacing w:val="-2"/>
          </w:rPr>
          <w:fldChar w:fldCharType="end"/>
        </w:r>
      </w:hyperlink>
    </w:p>
    <w:p>
      <w:pPr>
        <w:pStyle w:val="TOC1"/>
        <w:tabs>
          <w:tab w:val="left" w:pos="480"/>
          <w:tab w:val="right" w:leader="dot" w:pos="9063"/>
        </w:tabs>
        <w:rPr>
          <w:rFonts w:asciiTheme="minorHAnsi" w:eastAsiaTheme="minorEastAsia" w:hAnsiTheme="minorHAnsi" w:cstheme="minorBidi"/>
          <w:b w:val="0"/>
          <w:bCs w:val="0"/>
          <w:caps w:val="0"/>
          <w:noProof/>
          <w:spacing w:val="-2"/>
          <w:sz w:val="22"/>
          <w:szCs w:val="22"/>
          <w:lang w:val="en-US"/>
        </w:rPr>
      </w:pPr>
      <w:hyperlink w:anchor="_Toc22547351" w:history="1">
        <w:r>
          <w:rPr>
            <w:rStyle w:val="Hyperlink"/>
            <w:noProof/>
            <w:spacing w:val="-2"/>
          </w:rPr>
          <w:t>5.</w:t>
        </w:r>
        <w:r>
          <w:rPr>
            <w:rFonts w:asciiTheme="minorHAnsi" w:eastAsiaTheme="minorEastAsia" w:hAnsiTheme="minorHAnsi" w:cstheme="minorBidi"/>
            <w:b w:val="0"/>
            <w:bCs w:val="0"/>
            <w:caps w:val="0"/>
            <w:noProof/>
            <w:spacing w:val="-2"/>
            <w:sz w:val="22"/>
            <w:szCs w:val="22"/>
            <w:lang w:val="en-US"/>
          </w:rPr>
          <w:tab/>
        </w:r>
        <w:r>
          <w:rPr>
            <w:rStyle w:val="Hyperlink"/>
            <w:noProof/>
            <w:spacing w:val="-2"/>
          </w:rPr>
          <w:t>Vymáhanie finančných prostriedkov a iné preventívne a nápravné opatrenia</w:t>
        </w:r>
        <w:r>
          <w:rPr>
            <w:noProof/>
            <w:webHidden/>
            <w:spacing w:val="-2"/>
          </w:rPr>
          <w:tab/>
        </w:r>
        <w:r>
          <w:rPr>
            <w:noProof/>
            <w:webHidden/>
            <w:spacing w:val="-2"/>
          </w:rPr>
          <w:fldChar w:fldCharType="begin"/>
        </w:r>
        <w:r>
          <w:rPr>
            <w:noProof/>
            <w:webHidden/>
            <w:spacing w:val="-2"/>
          </w:rPr>
          <w:instrText xml:space="preserve"> PAGEREF _Toc22547351 \h </w:instrText>
        </w:r>
        <w:r>
          <w:rPr>
            <w:noProof/>
            <w:webHidden/>
            <w:spacing w:val="-2"/>
          </w:rPr>
        </w:r>
        <w:r>
          <w:rPr>
            <w:noProof/>
            <w:webHidden/>
            <w:spacing w:val="-2"/>
          </w:rPr>
          <w:fldChar w:fldCharType="separate"/>
        </w:r>
        <w:r>
          <w:rPr>
            <w:noProof/>
            <w:webHidden/>
            <w:spacing w:val="-2"/>
          </w:rPr>
          <w:t>28</w:t>
        </w:r>
        <w:r>
          <w:rPr>
            <w:noProof/>
            <w:webHidden/>
            <w:spacing w:val="-2"/>
          </w:rPr>
          <w:fldChar w:fldCharType="end"/>
        </w:r>
      </w:hyperlink>
    </w:p>
    <w:p>
      <w:pPr>
        <w:pStyle w:val="TOC1"/>
        <w:tabs>
          <w:tab w:val="left" w:pos="480"/>
          <w:tab w:val="right" w:leader="dot" w:pos="9063"/>
        </w:tabs>
        <w:rPr>
          <w:rFonts w:asciiTheme="minorHAnsi" w:eastAsiaTheme="minorEastAsia" w:hAnsiTheme="minorHAnsi" w:cstheme="minorBidi"/>
          <w:b w:val="0"/>
          <w:bCs w:val="0"/>
          <w:caps w:val="0"/>
          <w:noProof/>
          <w:spacing w:val="-2"/>
          <w:sz w:val="22"/>
          <w:szCs w:val="22"/>
          <w:lang w:val="en-US"/>
        </w:rPr>
      </w:pPr>
      <w:hyperlink w:anchor="_Toc22547352" w:history="1">
        <w:r>
          <w:rPr>
            <w:rStyle w:val="Hyperlink"/>
            <w:noProof/>
            <w:spacing w:val="-2"/>
          </w:rPr>
          <w:t>6.</w:t>
        </w:r>
        <w:r>
          <w:rPr>
            <w:rFonts w:asciiTheme="minorHAnsi" w:eastAsiaTheme="minorEastAsia" w:hAnsiTheme="minorHAnsi" w:cstheme="minorBidi"/>
            <w:b w:val="0"/>
            <w:bCs w:val="0"/>
            <w:caps w:val="0"/>
            <w:noProof/>
            <w:spacing w:val="-2"/>
            <w:sz w:val="22"/>
            <w:szCs w:val="22"/>
            <w:lang w:val="en-US"/>
          </w:rPr>
          <w:tab/>
        </w:r>
        <w:r>
          <w:rPr>
            <w:rStyle w:val="Hyperlink"/>
            <w:noProof/>
            <w:spacing w:val="-2"/>
          </w:rPr>
          <w:t>Spolupráca s členskými štátmi</w:t>
        </w:r>
        <w:r>
          <w:rPr>
            <w:noProof/>
            <w:webHidden/>
            <w:spacing w:val="-2"/>
          </w:rPr>
          <w:tab/>
        </w:r>
        <w:r>
          <w:rPr>
            <w:noProof/>
            <w:webHidden/>
            <w:spacing w:val="-2"/>
          </w:rPr>
          <w:fldChar w:fldCharType="begin"/>
        </w:r>
        <w:r>
          <w:rPr>
            <w:noProof/>
            <w:webHidden/>
            <w:spacing w:val="-2"/>
          </w:rPr>
          <w:instrText xml:space="preserve"> PAGEREF _Toc22547352 \h </w:instrText>
        </w:r>
        <w:r>
          <w:rPr>
            <w:noProof/>
            <w:webHidden/>
            <w:spacing w:val="-2"/>
          </w:rPr>
        </w:r>
        <w:r>
          <w:rPr>
            <w:noProof/>
            <w:webHidden/>
            <w:spacing w:val="-2"/>
          </w:rPr>
          <w:fldChar w:fldCharType="separate"/>
        </w:r>
        <w:r>
          <w:rPr>
            <w:noProof/>
            <w:webHidden/>
            <w:spacing w:val="-2"/>
          </w:rPr>
          <w:t>28</w:t>
        </w:r>
        <w:r>
          <w:rPr>
            <w:noProof/>
            <w:webHidden/>
            <w:spacing w:val="-2"/>
          </w:rPr>
          <w:fldChar w:fldCharType="end"/>
        </w:r>
      </w:hyperlink>
    </w:p>
    <w:p>
      <w:pPr>
        <w:pStyle w:val="TOC1"/>
        <w:tabs>
          <w:tab w:val="left" w:pos="480"/>
          <w:tab w:val="right" w:leader="dot" w:pos="9063"/>
        </w:tabs>
        <w:rPr>
          <w:rFonts w:asciiTheme="minorHAnsi" w:eastAsiaTheme="minorEastAsia" w:hAnsiTheme="minorHAnsi" w:cstheme="minorBidi"/>
          <w:b w:val="0"/>
          <w:bCs w:val="0"/>
          <w:caps w:val="0"/>
          <w:noProof/>
          <w:spacing w:val="-2"/>
          <w:sz w:val="22"/>
          <w:szCs w:val="22"/>
          <w:lang w:val="en-US"/>
        </w:rPr>
      </w:pPr>
      <w:hyperlink w:anchor="_Toc22547353" w:history="1">
        <w:r>
          <w:rPr>
            <w:rStyle w:val="Hyperlink"/>
            <w:noProof/>
            <w:spacing w:val="-2"/>
          </w:rPr>
          <w:t>7.</w:t>
        </w:r>
        <w:r>
          <w:rPr>
            <w:rFonts w:asciiTheme="minorHAnsi" w:eastAsiaTheme="minorEastAsia" w:hAnsiTheme="minorHAnsi" w:cstheme="minorBidi"/>
            <w:b w:val="0"/>
            <w:bCs w:val="0"/>
            <w:caps w:val="0"/>
            <w:noProof/>
            <w:spacing w:val="-2"/>
            <w:sz w:val="22"/>
            <w:szCs w:val="22"/>
            <w:lang w:val="en-US"/>
          </w:rPr>
          <w:tab/>
        </w:r>
        <w:r>
          <w:rPr>
            <w:rStyle w:val="Hyperlink"/>
            <w:noProof/>
            <w:spacing w:val="-2"/>
          </w:rPr>
          <w:t>Systém včasného odhaľovania rizika a vylúčenia (EDES)</w:t>
        </w:r>
        <w:r>
          <w:rPr>
            <w:noProof/>
            <w:webHidden/>
            <w:spacing w:val="-2"/>
          </w:rPr>
          <w:tab/>
        </w:r>
        <w:r>
          <w:rPr>
            <w:noProof/>
            <w:webHidden/>
            <w:spacing w:val="-2"/>
          </w:rPr>
          <w:fldChar w:fldCharType="begin"/>
        </w:r>
        <w:r>
          <w:rPr>
            <w:noProof/>
            <w:webHidden/>
            <w:spacing w:val="-2"/>
          </w:rPr>
          <w:instrText xml:space="preserve"> PAGEREF _Toc22547353 \h </w:instrText>
        </w:r>
        <w:r>
          <w:rPr>
            <w:noProof/>
            <w:webHidden/>
            <w:spacing w:val="-2"/>
          </w:rPr>
        </w:r>
        <w:r>
          <w:rPr>
            <w:noProof/>
            <w:webHidden/>
            <w:spacing w:val="-2"/>
          </w:rPr>
          <w:fldChar w:fldCharType="separate"/>
        </w:r>
        <w:r>
          <w:rPr>
            <w:noProof/>
            <w:webHidden/>
            <w:spacing w:val="-2"/>
          </w:rPr>
          <w:t>29</w:t>
        </w:r>
        <w:r>
          <w:rPr>
            <w:noProof/>
            <w:webHidden/>
            <w:spacing w:val="-2"/>
          </w:rPr>
          <w:fldChar w:fldCharType="end"/>
        </w:r>
      </w:hyperlink>
    </w:p>
    <w:p>
      <w:pPr>
        <w:pStyle w:val="TOC1"/>
        <w:tabs>
          <w:tab w:val="left" w:pos="480"/>
          <w:tab w:val="right" w:leader="dot" w:pos="9063"/>
        </w:tabs>
        <w:rPr>
          <w:rFonts w:asciiTheme="minorHAnsi" w:eastAsiaTheme="minorEastAsia" w:hAnsiTheme="minorHAnsi" w:cstheme="minorBidi"/>
          <w:b w:val="0"/>
          <w:bCs w:val="0"/>
          <w:caps w:val="0"/>
          <w:noProof/>
          <w:spacing w:val="-2"/>
          <w:sz w:val="22"/>
          <w:szCs w:val="22"/>
          <w:lang w:val="en-US"/>
        </w:rPr>
      </w:pPr>
      <w:hyperlink w:anchor="_Toc22547354" w:history="1">
        <w:r>
          <w:rPr>
            <w:rStyle w:val="Hyperlink"/>
            <w:noProof/>
            <w:spacing w:val="-2"/>
          </w:rPr>
          <w:t>8.</w:t>
        </w:r>
        <w:r>
          <w:rPr>
            <w:rFonts w:asciiTheme="minorHAnsi" w:eastAsiaTheme="minorEastAsia" w:hAnsiTheme="minorHAnsi" w:cstheme="minorBidi"/>
            <w:b w:val="0"/>
            <w:bCs w:val="0"/>
            <w:caps w:val="0"/>
            <w:noProof/>
            <w:spacing w:val="-2"/>
            <w:sz w:val="22"/>
            <w:szCs w:val="22"/>
            <w:lang w:val="en-US"/>
          </w:rPr>
          <w:tab/>
        </w:r>
        <w:r>
          <w:rPr>
            <w:rStyle w:val="Hyperlink"/>
            <w:noProof/>
            <w:spacing w:val="-2"/>
          </w:rPr>
          <w:t>Činnosti v nadväznosti na uznesenie Európskeho parlamentu o výročnej správe za rok 2017</w:t>
        </w:r>
        <w:r>
          <w:rPr>
            <w:noProof/>
            <w:webHidden/>
            <w:spacing w:val="-2"/>
          </w:rPr>
          <w:tab/>
        </w:r>
        <w:r>
          <w:rPr>
            <w:noProof/>
            <w:webHidden/>
            <w:spacing w:val="-2"/>
          </w:rPr>
          <w:fldChar w:fldCharType="begin"/>
        </w:r>
        <w:r>
          <w:rPr>
            <w:noProof/>
            <w:webHidden/>
            <w:spacing w:val="-2"/>
          </w:rPr>
          <w:instrText xml:space="preserve"> PAGEREF _Toc22547354 \h </w:instrText>
        </w:r>
        <w:r>
          <w:rPr>
            <w:noProof/>
            <w:webHidden/>
            <w:spacing w:val="-2"/>
          </w:rPr>
        </w:r>
        <w:r>
          <w:rPr>
            <w:noProof/>
            <w:webHidden/>
            <w:spacing w:val="-2"/>
          </w:rPr>
          <w:fldChar w:fldCharType="separate"/>
        </w:r>
        <w:r>
          <w:rPr>
            <w:noProof/>
            <w:webHidden/>
            <w:spacing w:val="-2"/>
          </w:rPr>
          <w:t>30</w:t>
        </w:r>
        <w:r>
          <w:rPr>
            <w:noProof/>
            <w:webHidden/>
            <w:spacing w:val="-2"/>
          </w:rPr>
          <w:fldChar w:fldCharType="end"/>
        </w:r>
      </w:hyperlink>
    </w:p>
    <w:p>
      <w:pPr>
        <w:pStyle w:val="TOC1"/>
        <w:tabs>
          <w:tab w:val="left" w:pos="480"/>
          <w:tab w:val="right" w:leader="dot" w:pos="9063"/>
        </w:tabs>
        <w:rPr>
          <w:rFonts w:asciiTheme="minorHAnsi" w:eastAsiaTheme="minorEastAsia" w:hAnsiTheme="minorHAnsi" w:cstheme="minorBidi"/>
          <w:b w:val="0"/>
          <w:bCs w:val="0"/>
          <w:caps w:val="0"/>
          <w:noProof/>
          <w:spacing w:val="-2"/>
          <w:sz w:val="22"/>
          <w:szCs w:val="22"/>
          <w:lang w:val="en-US"/>
        </w:rPr>
      </w:pPr>
      <w:hyperlink w:anchor="_Toc22547355" w:history="1">
        <w:r>
          <w:rPr>
            <w:rStyle w:val="Hyperlink"/>
            <w:noProof/>
            <w:spacing w:val="-2"/>
          </w:rPr>
          <w:t>9.</w:t>
        </w:r>
        <w:r>
          <w:rPr>
            <w:rFonts w:asciiTheme="minorHAnsi" w:eastAsiaTheme="minorEastAsia" w:hAnsiTheme="minorHAnsi" w:cstheme="minorBidi"/>
            <w:b w:val="0"/>
            <w:bCs w:val="0"/>
            <w:caps w:val="0"/>
            <w:noProof/>
            <w:spacing w:val="-2"/>
            <w:sz w:val="22"/>
            <w:szCs w:val="22"/>
            <w:lang w:val="en-US"/>
          </w:rPr>
          <w:tab/>
        </w:r>
        <w:r>
          <w:rPr>
            <w:rStyle w:val="Hyperlink"/>
            <w:noProof/>
            <w:spacing w:val="-2"/>
          </w:rPr>
          <w:t>Závery a odporúčania</w:t>
        </w:r>
        <w:r>
          <w:rPr>
            <w:noProof/>
            <w:webHidden/>
            <w:spacing w:val="-2"/>
          </w:rPr>
          <w:tab/>
        </w:r>
        <w:r>
          <w:rPr>
            <w:noProof/>
            <w:webHidden/>
            <w:spacing w:val="-2"/>
          </w:rPr>
          <w:fldChar w:fldCharType="begin"/>
        </w:r>
        <w:r>
          <w:rPr>
            <w:noProof/>
            <w:webHidden/>
            <w:spacing w:val="-2"/>
          </w:rPr>
          <w:instrText xml:space="preserve"> PAGEREF _Toc22547355 \h </w:instrText>
        </w:r>
        <w:r>
          <w:rPr>
            <w:noProof/>
            <w:webHidden/>
            <w:spacing w:val="-2"/>
          </w:rPr>
        </w:r>
        <w:r>
          <w:rPr>
            <w:noProof/>
            <w:webHidden/>
            <w:spacing w:val="-2"/>
          </w:rPr>
          <w:fldChar w:fldCharType="separate"/>
        </w:r>
        <w:r>
          <w:rPr>
            <w:noProof/>
            <w:webHidden/>
            <w:spacing w:val="-2"/>
          </w:rPr>
          <w:t>30</w:t>
        </w:r>
        <w:r>
          <w:rPr>
            <w:noProof/>
            <w:webHidden/>
            <w:spacing w:val="-2"/>
          </w:rPr>
          <w:fldChar w:fldCharType="end"/>
        </w:r>
      </w:hyperlink>
    </w:p>
    <w:p>
      <w:pPr>
        <w:pStyle w:val="TOC2"/>
        <w:tabs>
          <w:tab w:val="left" w:pos="720"/>
          <w:tab w:val="right" w:leader="dot" w:pos="9063"/>
        </w:tabs>
        <w:rPr>
          <w:rFonts w:eastAsiaTheme="minorEastAsia" w:cstheme="minorBidi"/>
          <w:b w:val="0"/>
          <w:bCs w:val="0"/>
          <w:noProof/>
          <w:spacing w:val="-2"/>
          <w:sz w:val="22"/>
          <w:szCs w:val="22"/>
          <w:lang w:val="en-US"/>
        </w:rPr>
      </w:pPr>
      <w:hyperlink w:anchor="_Toc22547356" w:history="1">
        <w:r>
          <w:rPr>
            <w:rStyle w:val="Hyperlink"/>
            <w:rFonts w:asciiTheme="majorHAnsi" w:hAnsiTheme="majorHAnsi"/>
            <w:noProof/>
            <w:spacing w:val="-2"/>
          </w:rPr>
          <w:t>9.1.</w:t>
        </w:r>
        <w:r>
          <w:rPr>
            <w:rFonts w:eastAsiaTheme="minorEastAsia" w:cstheme="minorBidi"/>
            <w:b w:val="0"/>
            <w:bCs w:val="0"/>
            <w:noProof/>
            <w:spacing w:val="-2"/>
            <w:sz w:val="22"/>
            <w:szCs w:val="22"/>
            <w:lang w:val="en-US"/>
          </w:rPr>
          <w:tab/>
        </w:r>
        <w:r>
          <w:rPr>
            <w:rStyle w:val="Hyperlink"/>
            <w:rFonts w:asciiTheme="majorHAnsi" w:hAnsiTheme="majorHAnsi"/>
            <w:noProof/>
            <w:spacing w:val="-2"/>
          </w:rPr>
          <w:t>Príjmy</w:t>
        </w:r>
        <w:r>
          <w:rPr>
            <w:noProof/>
            <w:webHidden/>
            <w:spacing w:val="-2"/>
          </w:rPr>
          <w:tab/>
        </w:r>
        <w:r>
          <w:rPr>
            <w:noProof/>
            <w:webHidden/>
            <w:spacing w:val="-2"/>
          </w:rPr>
          <w:fldChar w:fldCharType="begin"/>
        </w:r>
        <w:r>
          <w:rPr>
            <w:noProof/>
            <w:webHidden/>
            <w:spacing w:val="-2"/>
          </w:rPr>
          <w:instrText xml:space="preserve"> PAGEREF _Toc22547356 \h </w:instrText>
        </w:r>
        <w:r>
          <w:rPr>
            <w:noProof/>
            <w:webHidden/>
            <w:spacing w:val="-2"/>
          </w:rPr>
        </w:r>
        <w:r>
          <w:rPr>
            <w:noProof/>
            <w:webHidden/>
            <w:spacing w:val="-2"/>
          </w:rPr>
          <w:fldChar w:fldCharType="separate"/>
        </w:r>
        <w:r>
          <w:rPr>
            <w:noProof/>
            <w:webHidden/>
            <w:spacing w:val="-2"/>
          </w:rPr>
          <w:t>30</w:t>
        </w:r>
        <w:r>
          <w:rPr>
            <w:noProof/>
            <w:webHidden/>
            <w:spacing w:val="-2"/>
          </w:rPr>
          <w:fldChar w:fldCharType="end"/>
        </w:r>
      </w:hyperlink>
    </w:p>
    <w:p>
      <w:pPr>
        <w:pStyle w:val="TOC2"/>
        <w:tabs>
          <w:tab w:val="left" w:pos="720"/>
          <w:tab w:val="right" w:leader="dot" w:pos="9063"/>
        </w:tabs>
        <w:rPr>
          <w:rFonts w:eastAsiaTheme="minorEastAsia" w:cstheme="minorBidi"/>
          <w:b w:val="0"/>
          <w:bCs w:val="0"/>
          <w:noProof/>
          <w:spacing w:val="-2"/>
          <w:sz w:val="22"/>
          <w:szCs w:val="22"/>
          <w:lang w:val="en-US"/>
        </w:rPr>
      </w:pPr>
      <w:hyperlink w:anchor="_Toc22547357" w:history="1">
        <w:r>
          <w:rPr>
            <w:rStyle w:val="Hyperlink"/>
            <w:rFonts w:asciiTheme="majorHAnsi" w:hAnsiTheme="majorHAnsi"/>
            <w:noProof/>
            <w:spacing w:val="-2"/>
          </w:rPr>
          <w:t>9.2.</w:t>
        </w:r>
        <w:r>
          <w:rPr>
            <w:rFonts w:eastAsiaTheme="minorEastAsia" w:cstheme="minorBidi"/>
            <w:b w:val="0"/>
            <w:bCs w:val="0"/>
            <w:noProof/>
            <w:spacing w:val="-2"/>
            <w:sz w:val="22"/>
            <w:szCs w:val="22"/>
            <w:lang w:val="en-US"/>
          </w:rPr>
          <w:tab/>
        </w:r>
        <w:r>
          <w:rPr>
            <w:rStyle w:val="Hyperlink"/>
            <w:rFonts w:asciiTheme="majorHAnsi" w:hAnsiTheme="majorHAnsi"/>
            <w:noProof/>
            <w:spacing w:val="-2"/>
          </w:rPr>
          <w:t>Výdavky</w:t>
        </w:r>
        <w:r>
          <w:rPr>
            <w:noProof/>
            <w:webHidden/>
            <w:spacing w:val="-2"/>
          </w:rPr>
          <w:tab/>
        </w:r>
        <w:r>
          <w:rPr>
            <w:noProof/>
            <w:webHidden/>
            <w:spacing w:val="-2"/>
          </w:rPr>
          <w:fldChar w:fldCharType="begin"/>
        </w:r>
        <w:r>
          <w:rPr>
            <w:noProof/>
            <w:webHidden/>
            <w:spacing w:val="-2"/>
          </w:rPr>
          <w:instrText xml:space="preserve"> PAGEREF _Toc22547357 \h </w:instrText>
        </w:r>
        <w:r>
          <w:rPr>
            <w:noProof/>
            <w:webHidden/>
            <w:spacing w:val="-2"/>
          </w:rPr>
        </w:r>
        <w:r>
          <w:rPr>
            <w:noProof/>
            <w:webHidden/>
            <w:spacing w:val="-2"/>
          </w:rPr>
          <w:fldChar w:fldCharType="separate"/>
        </w:r>
        <w:r>
          <w:rPr>
            <w:noProof/>
            <w:webHidden/>
            <w:spacing w:val="-2"/>
          </w:rPr>
          <w:t>31</w:t>
        </w:r>
        <w:r>
          <w:rPr>
            <w:noProof/>
            <w:webHidden/>
            <w:spacing w:val="-2"/>
          </w:rPr>
          <w:fldChar w:fldCharType="end"/>
        </w:r>
      </w:hyperlink>
    </w:p>
    <w:p>
      <w:pPr>
        <w:pStyle w:val="TOC2"/>
        <w:tabs>
          <w:tab w:val="left" w:pos="720"/>
          <w:tab w:val="right" w:leader="dot" w:pos="9063"/>
        </w:tabs>
        <w:rPr>
          <w:rFonts w:eastAsiaTheme="minorEastAsia" w:cstheme="minorBidi"/>
          <w:b w:val="0"/>
          <w:bCs w:val="0"/>
          <w:noProof/>
          <w:sz w:val="22"/>
          <w:szCs w:val="22"/>
          <w:lang w:val="en-US"/>
        </w:rPr>
      </w:pPr>
      <w:hyperlink w:anchor="_Toc22547358" w:history="1">
        <w:r>
          <w:rPr>
            <w:rStyle w:val="Hyperlink"/>
            <w:rFonts w:asciiTheme="majorHAnsi" w:hAnsiTheme="majorHAnsi"/>
            <w:noProof/>
            <w:spacing w:val="-2"/>
          </w:rPr>
          <w:t>9.3.</w:t>
        </w:r>
        <w:r>
          <w:rPr>
            <w:rFonts w:eastAsiaTheme="minorEastAsia" w:cstheme="minorBidi"/>
            <w:b w:val="0"/>
            <w:bCs w:val="0"/>
            <w:noProof/>
            <w:spacing w:val="-2"/>
            <w:sz w:val="22"/>
            <w:szCs w:val="22"/>
            <w:lang w:val="en-US"/>
          </w:rPr>
          <w:tab/>
        </w:r>
        <w:r>
          <w:rPr>
            <w:rStyle w:val="Hyperlink"/>
            <w:rFonts w:asciiTheme="majorHAnsi" w:hAnsiTheme="majorHAnsi"/>
            <w:noProof/>
            <w:spacing w:val="-2"/>
          </w:rPr>
          <w:t>Pohľad do budúcnosti</w:t>
        </w:r>
        <w:r>
          <w:rPr>
            <w:noProof/>
            <w:webHidden/>
            <w:spacing w:val="-2"/>
          </w:rPr>
          <w:tab/>
        </w:r>
        <w:r>
          <w:rPr>
            <w:noProof/>
            <w:webHidden/>
            <w:spacing w:val="-2"/>
          </w:rPr>
          <w:fldChar w:fldCharType="begin"/>
        </w:r>
        <w:r>
          <w:rPr>
            <w:noProof/>
            <w:webHidden/>
            <w:spacing w:val="-2"/>
          </w:rPr>
          <w:instrText xml:space="preserve"> PAGEREF _Toc22547358 \h </w:instrText>
        </w:r>
        <w:r>
          <w:rPr>
            <w:noProof/>
            <w:webHidden/>
            <w:spacing w:val="-2"/>
          </w:rPr>
        </w:r>
        <w:r>
          <w:rPr>
            <w:noProof/>
            <w:webHidden/>
            <w:spacing w:val="-2"/>
          </w:rPr>
          <w:fldChar w:fldCharType="separate"/>
        </w:r>
        <w:r>
          <w:rPr>
            <w:noProof/>
            <w:webHidden/>
            <w:spacing w:val="-2"/>
          </w:rPr>
          <w:t>31</w:t>
        </w:r>
        <w:r>
          <w:rPr>
            <w:noProof/>
            <w:webHidden/>
            <w:spacing w:val="-2"/>
          </w:rPr>
          <w:fldChar w:fldCharType="end"/>
        </w:r>
      </w:hyperlink>
    </w:p>
    <w:p>
      <w:pPr>
        <w:keepNext/>
        <w:outlineLvl w:val="0"/>
        <w:rPr>
          <w:rFonts w:asciiTheme="majorHAnsi" w:hAnsiTheme="majorHAnsi"/>
          <w:noProof/>
          <w:sz w:val="18"/>
          <w:szCs w:val="18"/>
        </w:rPr>
      </w:pPr>
      <w:r>
        <w:rPr>
          <w:rFonts w:asciiTheme="majorHAnsi" w:hAnsiTheme="majorHAnsi"/>
          <w:noProof/>
          <w:sz w:val="20"/>
        </w:rPr>
        <w:fldChar w:fldCharType="end"/>
      </w:r>
    </w:p>
    <w:p>
      <w:pPr>
        <w:pStyle w:val="TOC2"/>
        <w:keepNext/>
        <w:keepLines/>
        <w:rPr>
          <w:rFonts w:asciiTheme="majorHAnsi" w:hAnsiTheme="majorHAnsi"/>
          <w:noProof/>
          <w:sz w:val="22"/>
        </w:rPr>
      </w:pPr>
      <w:r>
        <w:rPr>
          <w:rFonts w:asciiTheme="majorHAnsi" w:hAnsiTheme="majorHAnsi"/>
          <w:noProof/>
          <w:sz w:val="22"/>
        </w:rPr>
        <w:t>Zoznam obrázkov</w:t>
      </w:r>
    </w:p>
    <w:p>
      <w:pPr>
        <w:keepNext/>
        <w:keepLines/>
        <w:rPr>
          <w:noProof/>
          <w:sz w:val="20"/>
          <w:szCs w:val="20"/>
        </w:rPr>
      </w:pPr>
    </w:p>
    <w:p>
      <w:pPr>
        <w:pStyle w:val="TableofFigures"/>
        <w:tabs>
          <w:tab w:val="left" w:pos="960"/>
          <w:tab w:val="right" w:leader="dot" w:pos="9063"/>
        </w:tabs>
        <w:rPr>
          <w:rFonts w:eastAsiaTheme="minorEastAsia" w:cstheme="minorBidi"/>
          <w:smallCaps w:val="0"/>
          <w:noProof/>
          <w:sz w:val="22"/>
          <w:szCs w:val="22"/>
          <w:lang w:val="en-US"/>
        </w:rPr>
      </w:pPr>
      <w:r>
        <w:rPr>
          <w:rFonts w:asciiTheme="majorHAnsi" w:hAnsiTheme="majorHAnsi"/>
          <w:noProof/>
          <w:sz w:val="22"/>
        </w:rPr>
        <w:fldChar w:fldCharType="begin"/>
      </w:r>
      <w:r>
        <w:rPr>
          <w:rFonts w:asciiTheme="majorHAnsi" w:hAnsiTheme="majorHAnsi"/>
          <w:noProof/>
          <w:sz w:val="22"/>
        </w:rPr>
        <w:instrText xml:space="preserve"> TOC \h \z \c "Figure" </w:instrText>
      </w:r>
      <w:r>
        <w:rPr>
          <w:rFonts w:asciiTheme="majorHAnsi" w:hAnsiTheme="majorHAnsi"/>
          <w:noProof/>
          <w:sz w:val="22"/>
        </w:rPr>
        <w:fldChar w:fldCharType="separate"/>
      </w:r>
      <w:hyperlink w:anchor="_Toc22547532" w:history="1">
        <w:r>
          <w:rPr>
            <w:rStyle w:val="Hyperlink"/>
            <w:rFonts w:asciiTheme="majorHAnsi" w:eastAsia="Calibri" w:hAnsiTheme="majorHAnsi"/>
            <w:noProof/>
          </w:rPr>
          <w:t xml:space="preserve">Obr. 1: </w:t>
        </w:r>
        <w:r>
          <w:rPr>
            <w:rFonts w:eastAsiaTheme="minorEastAsia" w:cstheme="minorBidi"/>
            <w:smallCaps w:val="0"/>
            <w:noProof/>
            <w:sz w:val="22"/>
            <w:szCs w:val="22"/>
            <w:lang w:val="en-US"/>
          </w:rPr>
          <w:tab/>
        </w:r>
        <w:r>
          <w:rPr>
            <w:rStyle w:val="Hyperlink"/>
            <w:rFonts w:asciiTheme="majorHAnsi" w:eastAsia="Calibri" w:hAnsiTheme="majorHAnsi"/>
            <w:noProof/>
          </w:rPr>
          <w:t>Nezrovnalosti oznámené ako podvodné v roku 2018</w:t>
        </w:r>
        <w:r>
          <w:rPr>
            <w:noProof/>
            <w:webHidden/>
          </w:rPr>
          <w:tab/>
        </w:r>
        <w:r>
          <w:rPr>
            <w:noProof/>
            <w:webHidden/>
          </w:rPr>
          <w:fldChar w:fldCharType="begin"/>
        </w:r>
        <w:r>
          <w:rPr>
            <w:noProof/>
            <w:webHidden/>
          </w:rPr>
          <w:instrText xml:space="preserve"> PAGEREF _Toc22547532 \h </w:instrText>
        </w:r>
        <w:r>
          <w:rPr>
            <w:noProof/>
            <w:webHidden/>
          </w:rPr>
        </w:r>
        <w:r>
          <w:rPr>
            <w:noProof/>
            <w:webHidden/>
          </w:rPr>
          <w:fldChar w:fldCharType="separate"/>
        </w:r>
        <w:r>
          <w:rPr>
            <w:noProof/>
            <w:webHidden/>
          </w:rPr>
          <w:t>16</w:t>
        </w:r>
        <w:r>
          <w:rPr>
            <w:noProof/>
            <w:webHidden/>
          </w:rPr>
          <w:fldChar w:fldCharType="end"/>
        </w:r>
      </w:hyperlink>
    </w:p>
    <w:p>
      <w:pPr>
        <w:pStyle w:val="TableofFigures"/>
        <w:tabs>
          <w:tab w:val="left" w:pos="960"/>
          <w:tab w:val="right" w:leader="dot" w:pos="9063"/>
        </w:tabs>
        <w:rPr>
          <w:rFonts w:eastAsiaTheme="minorEastAsia" w:cstheme="minorBidi"/>
          <w:smallCaps w:val="0"/>
          <w:noProof/>
          <w:sz w:val="22"/>
          <w:szCs w:val="22"/>
          <w:lang w:val="en-US"/>
        </w:rPr>
      </w:pPr>
      <w:hyperlink w:anchor="_Toc22547533" w:history="1">
        <w:r>
          <w:rPr>
            <w:rStyle w:val="Hyperlink"/>
            <w:rFonts w:eastAsia="Calibri"/>
            <w:noProof/>
          </w:rPr>
          <w:t xml:space="preserve">Obr. </w:t>
        </w:r>
        <w:r>
          <w:rPr>
            <w:rStyle w:val="Hyperlink"/>
            <w:rFonts w:asciiTheme="majorHAnsi" w:eastAsia="Calibri" w:hAnsiTheme="majorHAnsi"/>
            <w:noProof/>
          </w:rPr>
          <w:t>2</w:t>
        </w:r>
        <w:r>
          <w:rPr>
            <w:rStyle w:val="Hyperlink"/>
            <w:rFonts w:eastAsia="Calibri"/>
            <w:noProof/>
          </w:rPr>
          <w:t>:</w:t>
        </w:r>
        <w:r>
          <w:rPr>
            <w:rStyle w:val="Hyperlink"/>
            <w:rFonts w:asciiTheme="majorHAnsi" w:eastAsia="Calibri" w:hAnsiTheme="majorHAnsi"/>
            <w:noProof/>
          </w:rPr>
          <w:t xml:space="preserve"> </w:t>
        </w:r>
        <w:r>
          <w:rPr>
            <w:rFonts w:eastAsiaTheme="minorEastAsia" w:cstheme="minorBidi"/>
            <w:smallCaps w:val="0"/>
            <w:noProof/>
            <w:sz w:val="22"/>
            <w:szCs w:val="22"/>
            <w:lang w:val="en-US"/>
          </w:rPr>
          <w:tab/>
        </w:r>
        <w:r>
          <w:rPr>
            <w:rStyle w:val="Hyperlink"/>
            <w:rFonts w:asciiTheme="majorHAnsi" w:eastAsia="Calibri" w:hAnsiTheme="majorHAnsi"/>
            <w:noProof/>
          </w:rPr>
          <w:t>Nezrovnalosti oznámené ako podvodné a súvisiace sumy, 2014 – 2018</w:t>
        </w:r>
        <w:r>
          <w:rPr>
            <w:noProof/>
            <w:webHidden/>
          </w:rPr>
          <w:tab/>
        </w:r>
        <w:r>
          <w:rPr>
            <w:noProof/>
            <w:webHidden/>
          </w:rPr>
          <w:fldChar w:fldCharType="begin"/>
        </w:r>
        <w:r>
          <w:rPr>
            <w:noProof/>
            <w:webHidden/>
          </w:rPr>
          <w:instrText xml:space="preserve"> PAGEREF _Toc22547533 \h </w:instrText>
        </w:r>
        <w:r>
          <w:rPr>
            <w:noProof/>
            <w:webHidden/>
          </w:rPr>
        </w:r>
        <w:r>
          <w:rPr>
            <w:noProof/>
            <w:webHidden/>
          </w:rPr>
          <w:fldChar w:fldCharType="separate"/>
        </w:r>
        <w:r>
          <w:rPr>
            <w:noProof/>
            <w:webHidden/>
          </w:rPr>
          <w:t>17</w:t>
        </w:r>
        <w:r>
          <w:rPr>
            <w:noProof/>
            <w:webHidden/>
          </w:rPr>
          <w:fldChar w:fldCharType="end"/>
        </w:r>
      </w:hyperlink>
    </w:p>
    <w:p>
      <w:pPr>
        <w:pStyle w:val="TableofFigures"/>
        <w:tabs>
          <w:tab w:val="left" w:pos="960"/>
          <w:tab w:val="right" w:leader="dot" w:pos="9063"/>
        </w:tabs>
        <w:rPr>
          <w:rFonts w:eastAsiaTheme="minorEastAsia" w:cstheme="minorBidi"/>
          <w:smallCaps w:val="0"/>
          <w:noProof/>
          <w:sz w:val="22"/>
          <w:szCs w:val="22"/>
          <w:lang w:val="en-US"/>
        </w:rPr>
      </w:pPr>
      <w:hyperlink w:anchor="_Toc22547534" w:history="1">
        <w:r>
          <w:rPr>
            <w:rStyle w:val="Hyperlink"/>
            <w:rFonts w:asciiTheme="majorHAnsi" w:eastAsia="Calibri" w:hAnsiTheme="majorHAnsi"/>
            <w:noProof/>
          </w:rPr>
          <w:t>Obr. 3</w:t>
        </w:r>
        <w:r>
          <w:rPr>
            <w:rStyle w:val="Hyperlink"/>
            <w:rFonts w:eastAsia="Calibri"/>
            <w:noProof/>
          </w:rPr>
          <w:t>:</w:t>
        </w:r>
        <w:r>
          <w:rPr>
            <w:rStyle w:val="Hyperlink"/>
            <w:rFonts w:asciiTheme="majorHAnsi" w:eastAsia="Calibri" w:hAnsiTheme="majorHAnsi"/>
            <w:noProof/>
          </w:rPr>
          <w:t xml:space="preserve"> </w:t>
        </w:r>
        <w:r>
          <w:rPr>
            <w:rFonts w:eastAsiaTheme="minorEastAsia" w:cstheme="minorBidi"/>
            <w:smallCaps w:val="0"/>
            <w:noProof/>
            <w:sz w:val="22"/>
            <w:szCs w:val="22"/>
            <w:lang w:val="en-US"/>
          </w:rPr>
          <w:tab/>
        </w:r>
        <w:r>
          <w:rPr>
            <w:rStyle w:val="Hyperlink"/>
            <w:rFonts w:asciiTheme="majorHAnsi" w:eastAsia="Calibri" w:hAnsiTheme="majorHAnsi"/>
            <w:noProof/>
          </w:rPr>
          <w:t>Nezrovnalosti oznámené ako nepodvodné v roku 2018</w:t>
        </w:r>
        <w:r>
          <w:rPr>
            <w:noProof/>
            <w:webHidden/>
          </w:rPr>
          <w:tab/>
        </w:r>
        <w:r>
          <w:rPr>
            <w:noProof/>
            <w:webHidden/>
          </w:rPr>
          <w:fldChar w:fldCharType="begin"/>
        </w:r>
        <w:r>
          <w:rPr>
            <w:noProof/>
            <w:webHidden/>
          </w:rPr>
          <w:instrText xml:space="preserve"> PAGEREF _Toc22547534 \h </w:instrText>
        </w:r>
        <w:r>
          <w:rPr>
            <w:noProof/>
            <w:webHidden/>
          </w:rPr>
        </w:r>
        <w:r>
          <w:rPr>
            <w:noProof/>
            <w:webHidden/>
          </w:rPr>
          <w:fldChar w:fldCharType="separate"/>
        </w:r>
        <w:r>
          <w:rPr>
            <w:noProof/>
            <w:webHidden/>
          </w:rPr>
          <w:t>18</w:t>
        </w:r>
        <w:r>
          <w:rPr>
            <w:noProof/>
            <w:webHidden/>
          </w:rPr>
          <w:fldChar w:fldCharType="end"/>
        </w:r>
      </w:hyperlink>
    </w:p>
    <w:p>
      <w:pPr>
        <w:pStyle w:val="TableofFigures"/>
        <w:tabs>
          <w:tab w:val="left" w:pos="960"/>
          <w:tab w:val="right" w:leader="dot" w:pos="9063"/>
        </w:tabs>
        <w:rPr>
          <w:rFonts w:eastAsiaTheme="minorEastAsia" w:cstheme="minorBidi"/>
          <w:smallCaps w:val="0"/>
          <w:noProof/>
          <w:sz w:val="22"/>
          <w:szCs w:val="22"/>
          <w:lang w:val="en-US"/>
        </w:rPr>
      </w:pPr>
      <w:hyperlink w:anchor="_Toc22547535" w:history="1">
        <w:r>
          <w:rPr>
            <w:rStyle w:val="Hyperlink"/>
            <w:rFonts w:asciiTheme="majorHAnsi" w:eastAsia="Calibri" w:hAnsiTheme="majorHAnsi"/>
            <w:noProof/>
          </w:rPr>
          <w:t xml:space="preserve">Obr. 4: </w:t>
        </w:r>
        <w:r>
          <w:rPr>
            <w:rFonts w:eastAsiaTheme="minorEastAsia" w:cstheme="minorBidi"/>
            <w:smallCaps w:val="0"/>
            <w:noProof/>
            <w:sz w:val="22"/>
            <w:szCs w:val="22"/>
            <w:lang w:val="en-US"/>
          </w:rPr>
          <w:tab/>
        </w:r>
        <w:r>
          <w:rPr>
            <w:rStyle w:val="Hyperlink"/>
            <w:rFonts w:asciiTheme="majorHAnsi" w:eastAsia="Calibri" w:hAnsiTheme="majorHAnsi"/>
            <w:noProof/>
          </w:rPr>
          <w:t>Spoločné colné operácie v roku 2018</w:t>
        </w:r>
        <w:r>
          <w:rPr>
            <w:noProof/>
            <w:webHidden/>
          </w:rPr>
          <w:tab/>
        </w:r>
        <w:r>
          <w:rPr>
            <w:noProof/>
            <w:webHidden/>
          </w:rPr>
          <w:fldChar w:fldCharType="begin"/>
        </w:r>
        <w:r>
          <w:rPr>
            <w:noProof/>
            <w:webHidden/>
          </w:rPr>
          <w:instrText xml:space="preserve"> PAGEREF _Toc22547535 \h </w:instrText>
        </w:r>
        <w:r>
          <w:rPr>
            <w:noProof/>
            <w:webHidden/>
          </w:rPr>
        </w:r>
        <w:r>
          <w:rPr>
            <w:noProof/>
            <w:webHidden/>
          </w:rPr>
          <w:fldChar w:fldCharType="separate"/>
        </w:r>
        <w:r>
          <w:rPr>
            <w:noProof/>
            <w:webHidden/>
          </w:rPr>
          <w:t>19</w:t>
        </w:r>
        <w:r>
          <w:rPr>
            <w:noProof/>
            <w:webHidden/>
          </w:rPr>
          <w:fldChar w:fldCharType="end"/>
        </w:r>
      </w:hyperlink>
    </w:p>
    <w:p>
      <w:pPr>
        <w:pStyle w:val="TableofFigures"/>
        <w:tabs>
          <w:tab w:val="left" w:pos="960"/>
          <w:tab w:val="right" w:leader="dot" w:pos="9063"/>
        </w:tabs>
        <w:rPr>
          <w:rFonts w:eastAsiaTheme="minorEastAsia" w:cstheme="minorBidi"/>
          <w:smallCaps w:val="0"/>
          <w:noProof/>
          <w:sz w:val="22"/>
          <w:szCs w:val="22"/>
          <w:lang w:val="en-US"/>
        </w:rPr>
      </w:pPr>
      <w:hyperlink w:anchor="_Toc22547536" w:history="1">
        <w:r>
          <w:rPr>
            <w:rStyle w:val="Hyperlink"/>
            <w:rFonts w:asciiTheme="majorHAnsi" w:eastAsia="Calibri" w:hAnsiTheme="majorHAnsi"/>
            <w:noProof/>
          </w:rPr>
          <w:t xml:space="preserve">Obr. 5: </w:t>
        </w:r>
        <w:r>
          <w:rPr>
            <w:rFonts w:eastAsiaTheme="minorEastAsia" w:cstheme="minorBidi"/>
            <w:smallCaps w:val="0"/>
            <w:noProof/>
            <w:sz w:val="22"/>
            <w:szCs w:val="22"/>
            <w:lang w:val="en-US"/>
          </w:rPr>
          <w:tab/>
        </w:r>
        <w:r>
          <w:rPr>
            <w:rStyle w:val="Hyperlink"/>
            <w:rFonts w:asciiTheme="majorHAnsi" w:eastAsia="Calibri" w:hAnsiTheme="majorHAnsi"/>
            <w:noProof/>
          </w:rPr>
          <w:t>TVZ – kľúčové fakty a trendy</w:t>
        </w:r>
        <w:r>
          <w:rPr>
            <w:noProof/>
            <w:webHidden/>
          </w:rPr>
          <w:tab/>
        </w:r>
        <w:r>
          <w:rPr>
            <w:noProof/>
            <w:webHidden/>
          </w:rPr>
          <w:fldChar w:fldCharType="begin"/>
        </w:r>
        <w:r>
          <w:rPr>
            <w:noProof/>
            <w:webHidden/>
          </w:rPr>
          <w:instrText xml:space="preserve"> PAGEREF _Toc22547536 \h </w:instrText>
        </w:r>
        <w:r>
          <w:rPr>
            <w:noProof/>
            <w:webHidden/>
          </w:rPr>
        </w:r>
        <w:r>
          <w:rPr>
            <w:noProof/>
            <w:webHidden/>
          </w:rPr>
          <w:fldChar w:fldCharType="separate"/>
        </w:r>
        <w:r>
          <w:rPr>
            <w:noProof/>
            <w:webHidden/>
          </w:rPr>
          <w:t>23</w:t>
        </w:r>
        <w:r>
          <w:rPr>
            <w:noProof/>
            <w:webHidden/>
          </w:rPr>
          <w:fldChar w:fldCharType="end"/>
        </w:r>
      </w:hyperlink>
    </w:p>
    <w:p>
      <w:pPr>
        <w:pStyle w:val="TableofFigures"/>
        <w:tabs>
          <w:tab w:val="right" w:leader="dot" w:pos="9063"/>
        </w:tabs>
        <w:rPr>
          <w:rFonts w:eastAsiaTheme="minorEastAsia" w:cstheme="minorBidi"/>
          <w:smallCaps w:val="0"/>
          <w:noProof/>
          <w:sz w:val="22"/>
          <w:szCs w:val="22"/>
          <w:lang w:val="en-US"/>
        </w:rPr>
      </w:pPr>
      <w:hyperlink w:anchor="_Toc22547537" w:history="1">
        <w:r>
          <w:rPr>
            <w:rStyle w:val="Hyperlink"/>
            <w:rFonts w:eastAsia="Calibri"/>
            <w:noProof/>
            <w:spacing w:val="-4"/>
          </w:rPr>
          <w:t>Obr. 6:</w:t>
        </w:r>
        <w:r>
          <w:rPr>
            <w:rFonts w:eastAsiaTheme="minorEastAsia"/>
            <w:noProof/>
          </w:rPr>
          <w:t xml:space="preserve">  </w:t>
        </w:r>
        <w:r>
          <w:rPr>
            <w:rStyle w:val="Hyperlink"/>
            <w:rFonts w:eastAsia="Calibri"/>
            <w:noProof/>
            <w:spacing w:val="-4"/>
          </w:rPr>
          <w:t xml:space="preserve">           Miera odhaľovania podľa zložky SPP................................................................................................................</w:t>
        </w:r>
        <w:r>
          <w:rPr>
            <w:noProof/>
            <w:webHidden/>
          </w:rPr>
          <w:fldChar w:fldCharType="begin"/>
        </w:r>
        <w:r>
          <w:rPr>
            <w:noProof/>
            <w:webHidden/>
          </w:rPr>
          <w:instrText xml:space="preserve"> PAGEREF _Toc22547537 \h </w:instrText>
        </w:r>
        <w:r>
          <w:rPr>
            <w:noProof/>
            <w:webHidden/>
          </w:rPr>
        </w:r>
        <w:r>
          <w:rPr>
            <w:noProof/>
            <w:webHidden/>
          </w:rPr>
          <w:fldChar w:fldCharType="separate"/>
        </w:r>
        <w:r>
          <w:rPr>
            <w:noProof/>
            <w:webHidden/>
          </w:rPr>
          <w:t>24</w:t>
        </w:r>
        <w:r>
          <w:rPr>
            <w:noProof/>
            <w:webHidden/>
          </w:rPr>
          <w:fldChar w:fldCharType="end"/>
        </w:r>
      </w:hyperlink>
    </w:p>
    <w:p>
      <w:pPr>
        <w:pStyle w:val="TableofFigures"/>
        <w:tabs>
          <w:tab w:val="right" w:leader="dot" w:pos="9063"/>
        </w:tabs>
        <w:rPr>
          <w:rFonts w:eastAsiaTheme="minorEastAsia" w:cstheme="minorBidi"/>
          <w:smallCaps w:val="0"/>
          <w:noProof/>
          <w:sz w:val="22"/>
          <w:szCs w:val="22"/>
          <w:lang w:val="en-US"/>
        </w:rPr>
      </w:pPr>
      <w:hyperlink w:anchor="_Toc22547538" w:history="1">
        <w:r>
          <w:rPr>
            <w:rStyle w:val="Hyperlink"/>
            <w:rFonts w:asciiTheme="majorHAnsi" w:eastAsia="Calibri" w:hAnsiTheme="majorHAnsi"/>
            <w:noProof/>
            <w:spacing w:val="-4"/>
          </w:rPr>
          <w:t>Obr. 7:              Poľnohospodárska politika – kľúčové fakty a údaje......................................................................................................</w:t>
        </w:r>
        <w:r>
          <w:rPr>
            <w:noProof/>
            <w:webHidden/>
          </w:rPr>
          <w:fldChar w:fldCharType="begin"/>
        </w:r>
        <w:r>
          <w:rPr>
            <w:noProof/>
            <w:webHidden/>
          </w:rPr>
          <w:instrText xml:space="preserve"> PAGEREF _Toc22547538 \h </w:instrText>
        </w:r>
        <w:r>
          <w:rPr>
            <w:noProof/>
            <w:webHidden/>
          </w:rPr>
        </w:r>
        <w:r>
          <w:rPr>
            <w:noProof/>
            <w:webHidden/>
          </w:rPr>
          <w:fldChar w:fldCharType="separate"/>
        </w:r>
        <w:r>
          <w:rPr>
            <w:noProof/>
            <w:webHidden/>
          </w:rPr>
          <w:t>25</w:t>
        </w:r>
        <w:r>
          <w:rPr>
            <w:noProof/>
            <w:webHidden/>
          </w:rPr>
          <w:fldChar w:fldCharType="end"/>
        </w:r>
      </w:hyperlink>
    </w:p>
    <w:p>
      <w:pPr>
        <w:pStyle w:val="TableofFigures"/>
        <w:tabs>
          <w:tab w:val="left" w:pos="960"/>
          <w:tab w:val="right" w:leader="dot" w:pos="9063"/>
        </w:tabs>
        <w:rPr>
          <w:rFonts w:eastAsiaTheme="minorEastAsia" w:cstheme="minorBidi"/>
          <w:smallCaps w:val="0"/>
          <w:noProof/>
          <w:sz w:val="22"/>
          <w:szCs w:val="22"/>
          <w:lang w:val="en-US"/>
        </w:rPr>
      </w:pPr>
      <w:hyperlink w:anchor="_Toc22547539" w:history="1">
        <w:r>
          <w:rPr>
            <w:rStyle w:val="Hyperlink"/>
            <w:rFonts w:asciiTheme="majorHAnsi" w:eastAsia="Calibri" w:hAnsiTheme="majorHAnsi"/>
            <w:noProof/>
            <w:spacing w:val="-4"/>
          </w:rPr>
          <w:t xml:space="preserve">Obr. 8: </w:t>
        </w:r>
        <w:r>
          <w:rPr>
            <w:rFonts w:eastAsiaTheme="minorEastAsia" w:cstheme="minorBidi"/>
            <w:smallCaps w:val="0"/>
            <w:noProof/>
            <w:sz w:val="22"/>
            <w:szCs w:val="22"/>
            <w:lang w:val="en-US"/>
          </w:rPr>
          <w:tab/>
        </w:r>
        <w:r>
          <w:rPr>
            <w:rStyle w:val="Hyperlink"/>
            <w:rFonts w:asciiTheme="majorHAnsi" w:eastAsia="Calibri" w:hAnsiTheme="majorHAnsi"/>
            <w:noProof/>
            <w:spacing w:val="-4"/>
          </w:rPr>
          <w:t>Trhové opatrenia, ktorých sa najviac týkajú nezrovnalosti (podvodné a nepodvodné)</w:t>
        </w:r>
        <w:r>
          <w:rPr>
            <w:noProof/>
            <w:webHidden/>
          </w:rPr>
          <w:tab/>
        </w:r>
        <w:r>
          <w:rPr>
            <w:noProof/>
            <w:webHidden/>
          </w:rPr>
          <w:fldChar w:fldCharType="begin"/>
        </w:r>
        <w:r>
          <w:rPr>
            <w:noProof/>
            <w:webHidden/>
          </w:rPr>
          <w:instrText xml:space="preserve"> PAGEREF _Toc22547539 \h </w:instrText>
        </w:r>
        <w:r>
          <w:rPr>
            <w:noProof/>
            <w:webHidden/>
          </w:rPr>
        </w:r>
        <w:r>
          <w:rPr>
            <w:noProof/>
            <w:webHidden/>
          </w:rPr>
          <w:fldChar w:fldCharType="separate"/>
        </w:r>
        <w:r>
          <w:rPr>
            <w:noProof/>
            <w:webHidden/>
          </w:rPr>
          <w:t>25</w:t>
        </w:r>
        <w:r>
          <w:rPr>
            <w:noProof/>
            <w:webHidden/>
          </w:rPr>
          <w:fldChar w:fldCharType="end"/>
        </w:r>
      </w:hyperlink>
    </w:p>
    <w:p>
      <w:pPr>
        <w:pStyle w:val="TableofFigures"/>
        <w:tabs>
          <w:tab w:val="right" w:leader="dot" w:pos="9063"/>
        </w:tabs>
        <w:rPr>
          <w:rFonts w:eastAsiaTheme="minorEastAsia" w:cstheme="minorBidi"/>
          <w:smallCaps w:val="0"/>
          <w:noProof/>
          <w:sz w:val="22"/>
          <w:szCs w:val="22"/>
          <w:lang w:val="en-US"/>
        </w:rPr>
      </w:pPr>
      <w:hyperlink w:anchor="_Toc22547540" w:history="1">
        <w:r>
          <w:rPr>
            <w:rStyle w:val="Hyperlink"/>
            <w:rFonts w:eastAsia="Calibri"/>
            <w:noProof/>
            <w:spacing w:val="-4"/>
          </w:rPr>
          <w:t>Obr. 9:              Opatrenia prijaté členskými štátmi v oblasti politiky súdržnosti.......................................................................</w:t>
        </w:r>
        <w:r>
          <w:rPr>
            <w:noProof/>
            <w:webHidden/>
          </w:rPr>
          <w:fldChar w:fldCharType="begin"/>
        </w:r>
        <w:r>
          <w:rPr>
            <w:noProof/>
            <w:webHidden/>
          </w:rPr>
          <w:instrText xml:space="preserve"> PAGEREF _Toc22547540 \h </w:instrText>
        </w:r>
        <w:r>
          <w:rPr>
            <w:noProof/>
            <w:webHidden/>
          </w:rPr>
        </w:r>
        <w:r>
          <w:rPr>
            <w:noProof/>
            <w:webHidden/>
          </w:rPr>
          <w:fldChar w:fldCharType="separate"/>
        </w:r>
        <w:r>
          <w:rPr>
            <w:noProof/>
            <w:webHidden/>
          </w:rPr>
          <w:t>26</w:t>
        </w:r>
        <w:r>
          <w:rPr>
            <w:noProof/>
            <w:webHidden/>
          </w:rPr>
          <w:fldChar w:fldCharType="end"/>
        </w:r>
      </w:hyperlink>
    </w:p>
    <w:p>
      <w:pPr>
        <w:pStyle w:val="TableofFigures"/>
        <w:tabs>
          <w:tab w:val="left" w:pos="960"/>
          <w:tab w:val="right" w:leader="dot" w:pos="9063"/>
        </w:tabs>
        <w:rPr>
          <w:rFonts w:eastAsiaTheme="minorEastAsia" w:cstheme="minorBidi"/>
          <w:smallCaps w:val="0"/>
          <w:noProof/>
          <w:sz w:val="22"/>
          <w:szCs w:val="22"/>
          <w:lang w:val="en-US"/>
        </w:rPr>
      </w:pPr>
      <w:hyperlink w:anchor="_Toc22547541" w:history="1">
        <w:r>
          <w:rPr>
            <w:rStyle w:val="Hyperlink"/>
            <w:rFonts w:asciiTheme="majorHAnsi" w:eastAsia="Calibri" w:hAnsiTheme="majorHAnsi"/>
            <w:noProof/>
          </w:rPr>
          <w:t xml:space="preserve">Obr. 10: </w:t>
        </w:r>
        <w:r>
          <w:rPr>
            <w:rFonts w:eastAsiaTheme="minorEastAsia" w:cstheme="minorBidi"/>
            <w:smallCaps w:val="0"/>
            <w:noProof/>
            <w:sz w:val="22"/>
            <w:szCs w:val="22"/>
            <w:lang w:val="en-US"/>
          </w:rPr>
          <w:tab/>
        </w:r>
        <w:r>
          <w:rPr>
            <w:rStyle w:val="Hyperlink"/>
            <w:rFonts w:asciiTheme="majorHAnsi" w:eastAsia="Calibri" w:hAnsiTheme="majorHAnsi"/>
            <w:noProof/>
          </w:rPr>
          <w:t>Politika súdržnosti a rybárstvo – kľúčové fakty a údaje</w:t>
        </w:r>
        <w:r>
          <w:rPr>
            <w:noProof/>
            <w:webHidden/>
          </w:rPr>
          <w:tab/>
        </w:r>
        <w:r>
          <w:rPr>
            <w:noProof/>
            <w:webHidden/>
          </w:rPr>
          <w:fldChar w:fldCharType="begin"/>
        </w:r>
        <w:r>
          <w:rPr>
            <w:noProof/>
            <w:webHidden/>
          </w:rPr>
          <w:instrText xml:space="preserve"> PAGEREF _Toc22547541 \h </w:instrText>
        </w:r>
        <w:r>
          <w:rPr>
            <w:noProof/>
            <w:webHidden/>
          </w:rPr>
        </w:r>
        <w:r>
          <w:rPr>
            <w:noProof/>
            <w:webHidden/>
          </w:rPr>
          <w:fldChar w:fldCharType="separate"/>
        </w:r>
        <w:r>
          <w:rPr>
            <w:noProof/>
            <w:webHidden/>
          </w:rPr>
          <w:t>26</w:t>
        </w:r>
        <w:r>
          <w:rPr>
            <w:noProof/>
            <w:webHidden/>
          </w:rPr>
          <w:fldChar w:fldCharType="end"/>
        </w:r>
      </w:hyperlink>
    </w:p>
    <w:p>
      <w:pPr>
        <w:pStyle w:val="TableofFigures"/>
        <w:tabs>
          <w:tab w:val="left" w:pos="960"/>
          <w:tab w:val="right" w:leader="dot" w:pos="9063"/>
        </w:tabs>
        <w:rPr>
          <w:rFonts w:eastAsiaTheme="minorEastAsia" w:cstheme="minorBidi"/>
          <w:smallCaps w:val="0"/>
          <w:noProof/>
          <w:sz w:val="22"/>
          <w:szCs w:val="22"/>
          <w:lang w:val="en-US"/>
        </w:rPr>
      </w:pPr>
      <w:hyperlink w:anchor="_Toc22547542" w:history="1">
        <w:r>
          <w:rPr>
            <w:rStyle w:val="Hyperlink"/>
            <w:rFonts w:asciiTheme="majorHAnsi" w:eastAsia="Calibri" w:hAnsiTheme="majorHAnsi"/>
            <w:noProof/>
          </w:rPr>
          <w:t xml:space="preserve">Obr. 11: </w:t>
        </w:r>
        <w:r>
          <w:rPr>
            <w:rFonts w:eastAsiaTheme="minorEastAsia" w:cstheme="minorBidi"/>
            <w:smallCaps w:val="0"/>
            <w:noProof/>
            <w:sz w:val="22"/>
            <w:szCs w:val="22"/>
            <w:lang w:val="en-US"/>
          </w:rPr>
          <w:tab/>
        </w:r>
        <w:r>
          <w:rPr>
            <w:rStyle w:val="Hyperlink"/>
            <w:rFonts w:asciiTheme="majorHAnsi" w:eastAsia="Calibri" w:hAnsiTheme="majorHAnsi"/>
            <w:noProof/>
          </w:rPr>
          <w:t>Štruktúra a podskupiny výboru COCOLAF</w:t>
        </w:r>
        <w:r>
          <w:rPr>
            <w:noProof/>
            <w:webHidden/>
          </w:rPr>
          <w:tab/>
        </w:r>
        <w:r>
          <w:rPr>
            <w:noProof/>
            <w:webHidden/>
          </w:rPr>
          <w:fldChar w:fldCharType="begin"/>
        </w:r>
        <w:r>
          <w:rPr>
            <w:noProof/>
            <w:webHidden/>
          </w:rPr>
          <w:instrText xml:space="preserve"> PAGEREF _Toc22547542 \h </w:instrText>
        </w:r>
        <w:r>
          <w:rPr>
            <w:noProof/>
            <w:webHidden/>
          </w:rPr>
        </w:r>
        <w:r>
          <w:rPr>
            <w:noProof/>
            <w:webHidden/>
          </w:rPr>
          <w:fldChar w:fldCharType="separate"/>
        </w:r>
        <w:r>
          <w:rPr>
            <w:noProof/>
            <w:webHidden/>
          </w:rPr>
          <w:t>28</w:t>
        </w:r>
        <w:r>
          <w:rPr>
            <w:noProof/>
            <w:webHidden/>
          </w:rPr>
          <w:fldChar w:fldCharType="end"/>
        </w:r>
      </w:hyperlink>
    </w:p>
    <w:p>
      <w:pPr>
        <w:pStyle w:val="TOC2"/>
        <w:keepNext/>
        <w:keepLines/>
        <w:rPr>
          <w:rFonts w:asciiTheme="majorHAnsi" w:hAnsiTheme="majorHAnsi"/>
          <w:noProof/>
          <w:sz w:val="16"/>
        </w:rPr>
        <w:sectPr>
          <w:headerReference w:type="even" r:id="rId16"/>
          <w:headerReference w:type="default" r:id="rId17"/>
          <w:footerReference w:type="even" r:id="rId18"/>
          <w:footerReference w:type="default" r:id="rId19"/>
          <w:headerReference w:type="first" r:id="rId20"/>
          <w:footerReference w:type="first" r:id="rId21"/>
          <w:pgSz w:w="11907" w:h="16839"/>
          <w:pgMar w:top="1134" w:right="1417" w:bottom="1134" w:left="1417" w:header="709" w:footer="709" w:gutter="0"/>
          <w:pgNumType w:start="1"/>
          <w:cols w:space="720"/>
          <w:docGrid w:linePitch="360"/>
        </w:sectPr>
      </w:pPr>
      <w:r>
        <w:rPr>
          <w:rFonts w:asciiTheme="majorHAnsi" w:hAnsiTheme="majorHAnsi"/>
          <w:noProof/>
          <w:sz w:val="22"/>
        </w:rPr>
        <w:fldChar w:fldCharType="end"/>
      </w:r>
    </w:p>
    <w:p>
      <w:pPr>
        <w:spacing w:before="0" w:after="0"/>
        <w:jc w:val="left"/>
        <w:rPr>
          <w:rFonts w:asciiTheme="majorHAnsi" w:hAnsiTheme="majorHAnsi"/>
          <w:noProof/>
          <w:color w:val="1F497D" w:themeColor="text2"/>
        </w:rPr>
      </w:pPr>
      <w:r>
        <w:rPr>
          <w:rFonts w:asciiTheme="majorHAnsi" w:hAnsiTheme="majorHAnsi"/>
          <w:noProof/>
          <w:color w:val="1F497D" w:themeColor="text2"/>
        </w:rPr>
        <w:lastRenderedPageBreak/>
        <w:t>Zhrnutie</w:t>
      </w:r>
    </w:p>
    <w:p>
      <w:pPr>
        <w:spacing w:before="240" w:after="240"/>
        <w:rPr>
          <w:rFonts w:asciiTheme="majorHAnsi" w:eastAsia="Calibri" w:hAnsiTheme="majorHAnsi"/>
          <w:b/>
          <w:noProof/>
          <w:color w:val="365F91" w:themeColor="accent1" w:themeShade="BF"/>
          <w:sz w:val="20"/>
        </w:rPr>
      </w:pPr>
      <w:r>
        <w:rPr>
          <w:rFonts w:asciiTheme="majorHAnsi" w:hAnsiTheme="majorHAnsi"/>
          <w:b/>
          <w:noProof/>
          <w:color w:val="365F91" w:themeColor="accent1" w:themeShade="BF"/>
          <w:sz w:val="20"/>
        </w:rPr>
        <w:t>Tridsať rokov ochrany finančných záujmov EÚ</w:t>
      </w:r>
    </w:p>
    <w:p>
      <w:pPr>
        <w:spacing w:before="0"/>
        <w:rPr>
          <w:rFonts w:asciiTheme="majorHAnsi" w:hAnsiTheme="majorHAnsi"/>
          <w:noProof/>
          <w:sz w:val="20"/>
        </w:rPr>
      </w:pPr>
      <w:r>
        <w:rPr>
          <w:rFonts w:asciiTheme="majorHAnsi" w:hAnsiTheme="majorHAnsi"/>
          <w:noProof/>
          <w:sz w:val="20"/>
        </w:rPr>
        <w:t>Toto je 30. výročná správa Komisie o ochrane finančných záujmov EÚ a boji proti podvodom (ďalej len „správa o ochrane finančných záujmov“). Toto tridsaťročné obdobie možno rozdeliť na tri fázy, z ktorých každá trvala približne desať rokov.</w:t>
      </w:r>
    </w:p>
    <w:p>
      <w:pPr>
        <w:spacing w:before="0"/>
        <w:rPr>
          <w:rFonts w:asciiTheme="majorHAnsi" w:hAnsiTheme="majorHAnsi"/>
          <w:noProof/>
          <w:sz w:val="20"/>
        </w:rPr>
      </w:pPr>
      <w:r>
        <w:rPr>
          <w:rFonts w:asciiTheme="majorHAnsi" w:hAnsiTheme="majorHAnsi"/>
          <w:noProof/>
          <w:sz w:val="20"/>
        </w:rPr>
        <w:t>V prvej fáze (1989 – 1998) boli položené legislatívne základy boja proti podvodom a nezrovnalostiam.</w:t>
      </w:r>
    </w:p>
    <w:p>
      <w:pPr>
        <w:spacing w:before="0"/>
        <w:rPr>
          <w:rFonts w:asciiTheme="majorHAnsi" w:hAnsiTheme="majorHAnsi"/>
          <w:noProof/>
          <w:sz w:val="20"/>
        </w:rPr>
      </w:pPr>
      <w:r>
        <w:rPr>
          <w:rFonts w:asciiTheme="majorHAnsi" w:hAnsiTheme="majorHAnsi"/>
          <w:noProof/>
          <w:sz w:val="20"/>
        </w:rPr>
        <w:t>Druhé desaťročie (1999 – 2008) bolo obdobím konsolidácie, operačných reforiem a najväčšieho rozšírenia v histórii Európskej únie.</w:t>
      </w:r>
    </w:p>
    <w:p>
      <w:pPr>
        <w:spacing w:before="0"/>
        <w:rPr>
          <w:rFonts w:asciiTheme="majorHAnsi" w:eastAsia="Calibri" w:hAnsiTheme="majorHAnsi"/>
          <w:noProof/>
          <w:sz w:val="20"/>
        </w:rPr>
      </w:pPr>
      <w:r>
        <w:rPr>
          <w:rFonts w:asciiTheme="majorHAnsi" w:hAnsiTheme="majorHAnsi"/>
          <w:noProof/>
          <w:sz w:val="20"/>
        </w:rPr>
        <w:t>Počas tretieho desaťročia (2009 – 2018) ochrana finančných záujmov EÚ dostala nový impulz. Európske inštitúcie sa dohodli na sérii nových aktov a iniciatív s cieľom ďalej posilniť boj proti podvodom na úrovni EÚ a stanovili sa podmienky umožňujúce, aby sa na scéne čoskoro objavil nový aktér – Európska prokuratúra.</w:t>
      </w:r>
    </w:p>
    <w:p>
      <w:pPr>
        <w:spacing w:before="0" w:after="240"/>
        <w:rPr>
          <w:rFonts w:asciiTheme="majorHAnsi" w:eastAsia="Calibri" w:hAnsiTheme="majorHAnsi"/>
          <w:b/>
          <w:noProof/>
          <w:color w:val="365F91" w:themeColor="accent1" w:themeShade="BF"/>
          <w:sz w:val="20"/>
        </w:rPr>
      </w:pPr>
      <w:r>
        <w:rPr>
          <w:rFonts w:asciiTheme="majorHAnsi" w:hAnsiTheme="majorHAnsi"/>
          <w:b/>
          <w:noProof/>
          <w:color w:val="365F91" w:themeColor="accent1" w:themeShade="BF"/>
          <w:sz w:val="20"/>
        </w:rPr>
        <w:t>Hlavné prierezové iniciatívy prijaté a rozvíjané v roku 2018</w:t>
      </w:r>
    </w:p>
    <w:p>
      <w:pPr>
        <w:spacing w:before="0"/>
        <w:rPr>
          <w:noProof/>
          <w:sz w:val="20"/>
        </w:rPr>
      </w:pPr>
      <w:r>
        <w:rPr>
          <w:noProof/>
          <w:sz w:val="20"/>
        </w:rPr>
        <w:t>V roku 2018, poslednom roku tretej fázy, boli prijaté nové rozpočtové pravidlá (v „</w:t>
      </w:r>
      <w:r>
        <w:rPr>
          <w:i/>
          <w:noProof/>
          <w:sz w:val="20"/>
        </w:rPr>
        <w:t>súhrnnom nariadení</w:t>
      </w:r>
      <w:r>
        <w:rPr>
          <w:noProof/>
          <w:sz w:val="20"/>
        </w:rPr>
        <w:t>“) s cieľom zjednodušiť a zefektívniť využívanie finančných prostriedkov EÚ a nanovo vymedziť konflikt záujmov v prípade všetkých účastníkov finančných operácií, ktorí plnia rozpočet EÚ v rámci jednotlivých režimov riadenia, a to aj na vnútroštátnej úrovni.</w:t>
      </w:r>
    </w:p>
    <w:p>
      <w:pPr>
        <w:spacing w:before="0"/>
        <w:rPr>
          <w:rFonts w:asciiTheme="majorHAnsi" w:hAnsiTheme="majorHAnsi"/>
          <w:noProof/>
          <w:sz w:val="20"/>
        </w:rPr>
      </w:pPr>
      <w:r>
        <w:rPr>
          <w:rFonts w:asciiTheme="majorHAnsi" w:hAnsiTheme="majorHAnsi"/>
          <w:noProof/>
          <w:sz w:val="20"/>
        </w:rPr>
        <w:t>Keďže inštitúcie rokujú o právnom rámci pre viacročný finančný rámec na roky 2021 – 2027, ustanovenia o boji proti podvodom pre výdavkové programy sa stále zdokonaľujú. Všetky osoby alebo subjekty, ktoré dostávajú finančné prostriedky EÚ, budú musieť plne spolupracovať pri ochrane finančných záujmov EÚ. Budú musieť udeliť potrebné prístupové práva Komisii, úradu OLAF, Európskej prokuratúre a Európskemu dvoru audítorov a zabezpečiť, aby tak urobili aj všetky tretie strany zapojené do čerpania finančných prostriedkov EÚ.</w:t>
      </w:r>
    </w:p>
    <w:p>
      <w:pPr>
        <w:spacing w:before="0" w:after="240"/>
        <w:rPr>
          <w:rFonts w:asciiTheme="majorHAnsi" w:eastAsia="Calibri" w:hAnsiTheme="majorHAnsi"/>
          <w:b/>
          <w:noProof/>
          <w:color w:val="365F91" w:themeColor="accent1" w:themeShade="BF"/>
          <w:sz w:val="20"/>
        </w:rPr>
      </w:pPr>
      <w:r>
        <w:rPr>
          <w:rFonts w:asciiTheme="majorHAnsi" w:hAnsiTheme="majorHAnsi"/>
          <w:b/>
          <w:noProof/>
          <w:color w:val="365F91" w:themeColor="accent1" w:themeShade="BF"/>
          <w:sz w:val="20"/>
        </w:rPr>
        <w:t>Najvýznamnejšie úspechy v oblasti príjmov</w:t>
      </w:r>
    </w:p>
    <w:p>
      <w:pPr>
        <w:spacing w:before="0"/>
        <w:rPr>
          <w:rFonts w:asciiTheme="majorHAnsi" w:eastAsia="Calibri" w:hAnsiTheme="majorHAnsi"/>
          <w:noProof/>
          <w:sz w:val="20"/>
        </w:rPr>
      </w:pPr>
      <w:r>
        <w:rPr>
          <w:rFonts w:asciiTheme="majorHAnsi" w:hAnsiTheme="majorHAnsi"/>
          <w:noProof/>
          <w:sz w:val="20"/>
        </w:rPr>
        <w:t>Pokiaľ ide o príjmy, Komisia predložila nový akčný plán s cieľom pokračovať v účinnom boji proti nezákonnému obchodu s tabakom.</w:t>
      </w:r>
    </w:p>
    <w:p>
      <w:pPr>
        <w:spacing w:before="0"/>
        <w:rPr>
          <w:rFonts w:asciiTheme="majorHAnsi" w:eastAsia="Calibri" w:hAnsiTheme="majorHAnsi"/>
          <w:noProof/>
          <w:sz w:val="20"/>
        </w:rPr>
      </w:pPr>
      <w:r>
        <w:rPr>
          <w:rFonts w:asciiTheme="majorHAnsi" w:hAnsiTheme="majorHAnsi"/>
          <w:noProof/>
          <w:sz w:val="20"/>
        </w:rPr>
        <w:t xml:space="preserve">Boli prijaté nové pravidlá na zamedzenie nadnárodných podvodov s DPH. Vzájomná administratívna pomoc medzi členskými štátmi sa prehĺbila vďaka novej možnosti viesť spoločné administratívne vyšetrovania a sieti národných analytikov z členských štátov EÚ, ktorí sa </w:t>
      </w:r>
      <w:r>
        <w:rPr>
          <w:rFonts w:asciiTheme="majorHAnsi" w:hAnsiTheme="majorHAnsi"/>
          <w:noProof/>
          <w:sz w:val="20"/>
        </w:rPr>
        <w:lastRenderedPageBreak/>
        <w:t>zameriavajú na rôzne oblasti rizika podvodu podľa rámca Eurofisc.</w:t>
      </w:r>
    </w:p>
    <w:p>
      <w:pPr>
        <w:spacing w:before="0"/>
        <w:rPr>
          <w:rFonts w:asciiTheme="majorHAnsi" w:hAnsiTheme="majorHAnsi"/>
          <w:noProof/>
          <w:sz w:val="20"/>
        </w:rPr>
      </w:pPr>
      <w:r>
        <w:rPr>
          <w:rFonts w:asciiTheme="majorHAnsi" w:hAnsiTheme="majorHAnsi"/>
          <w:noProof/>
          <w:sz w:val="20"/>
        </w:rPr>
        <w:t>V súlade s odporúčaniami Komisie uvedenými v správe o ochrane finančných záujmov za rok 2017 členské štáty zaviedli nové IT nástroje a prijali prístupy a iniciatívy založené na riziku, ktorými chcú čeliť výzvam spojeným s podhodnotením tovaru (najmä obuvi a textilu), a to aj v oblasti elektronického obchodu. Hoci členské štáty v colnej oblasti (tradičné vlastné zdroje, ďalej len „TVZ“) odhalili menej nezrovnalostí ako v roku 2017, finančné náklady na tieto nezrovnalosti boli vyššie. Úroveň odhalených podvodov bola takisto stabilná, ale súvisiaci finančný dosah bol vyšší.</w:t>
      </w:r>
    </w:p>
    <w:p>
      <w:pPr>
        <w:spacing w:before="0" w:after="240"/>
        <w:rPr>
          <w:rFonts w:asciiTheme="majorHAnsi" w:eastAsia="Calibri" w:hAnsiTheme="majorHAnsi"/>
          <w:noProof/>
          <w:sz w:val="20"/>
        </w:rPr>
      </w:pPr>
      <w:r>
        <w:rPr>
          <w:rFonts w:asciiTheme="majorHAnsi" w:hAnsiTheme="majorHAnsi"/>
          <w:noProof/>
          <w:sz w:val="20"/>
        </w:rPr>
        <w:t>Pokiaľ ide o TVZ, v tejto správe sa odporúčajú ďalšie opatrenia na riešenie problémov spojených s cezhraničným elektronickým obchodom, najmä s možným zneužitím zásielok s nízkou hodnotou.</w:t>
      </w:r>
    </w:p>
    <w:p>
      <w:pPr>
        <w:spacing w:before="0" w:after="240"/>
        <w:rPr>
          <w:rFonts w:asciiTheme="majorHAnsi" w:eastAsia="Calibri" w:hAnsiTheme="majorHAnsi"/>
          <w:b/>
          <w:noProof/>
          <w:color w:val="365F91" w:themeColor="accent1" w:themeShade="BF"/>
          <w:sz w:val="20"/>
        </w:rPr>
      </w:pPr>
      <w:r>
        <w:rPr>
          <w:rFonts w:asciiTheme="majorHAnsi" w:hAnsiTheme="majorHAnsi"/>
          <w:b/>
          <w:noProof/>
          <w:color w:val="365F91" w:themeColor="accent1" w:themeShade="BF"/>
          <w:sz w:val="20"/>
        </w:rPr>
        <w:t>Najvýznamnejšie úspechy v oblasti výdavkov</w:t>
      </w:r>
    </w:p>
    <w:p>
      <w:pPr>
        <w:spacing w:before="0"/>
        <w:rPr>
          <w:rFonts w:asciiTheme="majorHAnsi" w:eastAsia="Calibri" w:hAnsiTheme="majorHAnsi"/>
          <w:noProof/>
          <w:sz w:val="20"/>
        </w:rPr>
      </w:pPr>
      <w:r>
        <w:rPr>
          <w:rFonts w:asciiTheme="majorHAnsi" w:hAnsiTheme="majorHAnsi"/>
          <w:noProof/>
          <w:sz w:val="20"/>
        </w:rPr>
        <w:t>Pokiaľ ide o výdavky, členské štáty v súlade s ustanoveniami viacročného finančného rámca na roky 2014 – 2020 a odporúčaniami Komisie uvedenými v predchádzajúcich správach o ochrane finančných záujmov prijali niekoľko operatívnych opatrení, najmä zavedenie IT nástrojov na hodnotenie rizika (napríklad ARACHNE), posudzovanie rizika podvodov a školenia zamerané na zvýšenie informovanosti o podvodoch.</w:t>
      </w:r>
    </w:p>
    <w:p>
      <w:pPr>
        <w:spacing w:before="0"/>
        <w:rPr>
          <w:rFonts w:asciiTheme="majorHAnsi" w:hAnsiTheme="majorHAnsi"/>
          <w:noProof/>
          <w:sz w:val="20"/>
        </w:rPr>
      </w:pPr>
      <w:r>
        <w:rPr>
          <w:rFonts w:asciiTheme="majorHAnsi" w:hAnsiTheme="majorHAnsi"/>
          <w:noProof/>
          <w:sz w:val="20"/>
        </w:rPr>
        <w:t>Odhaľovanie podvodov a nezrovnalostí v sektoroch výdavkov je podobné ako v oblasti príjmov, pričom každý rok sa odhalilo menej prípadov, ktoré sa však týkali vyšších súm.</w:t>
      </w:r>
    </w:p>
    <w:p>
      <w:pPr>
        <w:spacing w:before="0"/>
        <w:rPr>
          <w:rFonts w:asciiTheme="majorHAnsi" w:eastAsia="Calibri" w:hAnsiTheme="majorHAnsi"/>
          <w:noProof/>
          <w:sz w:val="20"/>
        </w:rPr>
      </w:pPr>
      <w:r>
        <w:rPr>
          <w:rFonts w:asciiTheme="majorHAnsi" w:hAnsiTheme="majorHAnsi"/>
          <w:noProof/>
          <w:sz w:val="20"/>
        </w:rPr>
        <w:t>Keďže niektoré výdavkové programy majú viacročný cyklus, v súvislosti s programovými obdobiami politiky súdržnosti na roky 2007 – 2013 a 2014 – 2020 bola vypracovaná porovnávacia analýza. Výsledky analýzy poukazujú na lepšiu schopnosť odhaľovania podvodov a predchádzania nezrovnalostiam, ktorá vyplynula z prijatých opatrení proti podvodom. Komisia bude naďalej sledovať tieto výsledky s cieľom posúdiť, či sú skutočne dôsledkom účinnejších systémov, a nie nedostatočného odhaľovania a nedostatočného oznamovania.</w:t>
      </w:r>
    </w:p>
    <w:p>
      <w:pPr>
        <w:spacing w:before="0" w:after="240"/>
        <w:rPr>
          <w:rFonts w:asciiTheme="majorHAnsi" w:eastAsia="Calibri" w:hAnsiTheme="majorHAnsi"/>
          <w:noProof/>
          <w:sz w:val="20"/>
        </w:rPr>
      </w:pPr>
      <w:r>
        <w:rPr>
          <w:rFonts w:asciiTheme="majorHAnsi" w:hAnsiTheme="majorHAnsi"/>
          <w:noProof/>
          <w:sz w:val="20"/>
        </w:rPr>
        <w:t>Analýza potvrdzuje zistenia predchádzajúcich správ o ochrane finančných záujmov, pokiaľ ide o rizikové oblasti a potrebu zlepšiť koordináciu a spoluprácu medzi správnymi a súdnymi orgánmi. V tejto správe o ochrane finančných záujmov sa preto členské štáty znova vyzývajú, aby rozvíjali svoje systémy boja proti podvodom v rámci špecializovaných národných stratégií.</w:t>
      </w:r>
    </w:p>
    <w:p>
      <w:pPr>
        <w:keepNext/>
        <w:spacing w:before="0" w:after="240"/>
        <w:rPr>
          <w:rFonts w:asciiTheme="majorHAnsi" w:eastAsia="Calibri" w:hAnsiTheme="majorHAnsi"/>
          <w:b/>
          <w:noProof/>
          <w:color w:val="365F91" w:themeColor="accent1" w:themeShade="BF"/>
          <w:sz w:val="20"/>
        </w:rPr>
      </w:pPr>
      <w:r>
        <w:rPr>
          <w:rFonts w:asciiTheme="majorHAnsi" w:hAnsiTheme="majorHAnsi"/>
          <w:b/>
          <w:noProof/>
          <w:color w:val="365F91" w:themeColor="accent1" w:themeShade="BF"/>
          <w:sz w:val="20"/>
        </w:rPr>
        <w:lastRenderedPageBreak/>
        <w:t>Úspechy Junckerovej Komisie</w:t>
      </w:r>
    </w:p>
    <w:p>
      <w:pPr>
        <w:spacing w:before="0" w:after="240"/>
        <w:rPr>
          <w:rFonts w:asciiTheme="majorHAnsi" w:eastAsia="Calibri" w:hAnsiTheme="majorHAnsi"/>
          <w:noProof/>
          <w:sz w:val="20"/>
        </w:rPr>
      </w:pPr>
      <w:r>
        <w:rPr>
          <w:rFonts w:asciiTheme="majorHAnsi" w:hAnsiTheme="majorHAnsi"/>
          <w:noProof/>
          <w:sz w:val="20"/>
        </w:rPr>
        <w:t xml:space="preserve">Táto správa je poslednou správou prijatou počas činnosti Junckerovej Komisie, v priebehu ktorej mandát Komisie na boj proti podvodom a na ochranu finančných záujmov EÚ získal nový impulz. </w:t>
      </w:r>
      <w:r>
        <w:rPr>
          <w:noProof/>
          <w:sz w:val="20"/>
        </w:rPr>
        <w:t>Medzi najdôležitejšie úspechy patrí smernica o boji proti podvodom, ktoré poškodzujú finančné záujmy Únie, prostredníctvom trestného práva a nariadenie o zriadení Európskej prokuratúry prostredníctvom posilnenej spolupráce – obe prijaté v roku 2017, a revízia nariadenia o rozpočtových pravidlách, v ktorom sa nanovo vymedzuje konflikt záujmov v prípade všetkých účastníkov finančných operácií, ktorí plnia rozpočet EÚ.</w:t>
      </w:r>
      <w:r>
        <w:rPr>
          <w:rFonts w:asciiTheme="majorHAnsi" w:hAnsiTheme="majorHAnsi"/>
          <w:noProof/>
          <w:sz w:val="20"/>
        </w:rPr>
        <w:t xml:space="preserve"> V roku 2018 Komisia takisto predložila návrh na cielenú revíziu nariadenia o úrade OLAF (nariadenie č. 883/2013), o ktorej sa čoskoro majú začať trojstranné rokovania.</w:t>
      </w:r>
    </w:p>
    <w:p>
      <w:pPr>
        <w:spacing w:before="0" w:after="240"/>
        <w:rPr>
          <w:rFonts w:asciiTheme="majorHAnsi" w:eastAsia="Calibri" w:hAnsiTheme="majorHAnsi"/>
          <w:noProof/>
          <w:sz w:val="20"/>
        </w:rPr>
      </w:pPr>
      <w:r>
        <w:rPr>
          <w:rFonts w:asciiTheme="majorHAnsi" w:hAnsiTheme="majorHAnsi"/>
          <w:noProof/>
          <w:sz w:val="20"/>
        </w:rPr>
        <w:t>Komisia si je však vedomá, že v tejto oblasti nesmie poľaviť. Neustále sa objavujú nové výzvy a na to, aby si inštitúcie EÚ a národné inštitúcie udržali dôveru verejnosti, musia preukázať svoj pevný záväzok bojovať proti neefektívnosti a protiprávnemu konaniu.</w:t>
      </w:r>
    </w:p>
    <w:p>
      <w:pPr>
        <w:spacing w:before="0" w:after="240"/>
        <w:rPr>
          <w:rFonts w:asciiTheme="majorHAnsi" w:hAnsiTheme="majorHAnsi"/>
          <w:noProof/>
          <w:sz w:val="20"/>
        </w:rPr>
      </w:pPr>
      <w:r>
        <w:rPr>
          <w:rFonts w:asciiTheme="majorHAnsi" w:hAnsiTheme="majorHAnsi"/>
          <w:noProof/>
          <w:sz w:val="20"/>
        </w:rPr>
        <w:t>Komisia v reakcii na niekoľko odporúčaní Európskeho dvora audítorov z roku 2019 týkajúcich sa riadenia rizika podvodov prijala 29. apríla 2019 novú stratégiu pre boj proti podvodom. Cieľom tejto stratégie je zlepšiť analytické schopnosti Komisie, čo jej umožní rýchlo reagovať na neustále sa meniace výzvy, napríklad integrovaním nových technológií do kontrolných procesov a zlepšením celkovej vnútornej koordinácie, ktorá je pre takúto komplexnú organizáciu kľúčová.</w:t>
      </w:r>
    </w:p>
    <w:p>
      <w:pPr>
        <w:spacing w:before="0" w:after="240"/>
        <w:rPr>
          <w:rFonts w:asciiTheme="majorHAnsi" w:eastAsia="Calibri" w:hAnsiTheme="majorHAnsi"/>
          <w:b/>
          <w:bCs/>
          <w:smallCaps/>
          <w:noProof/>
          <w:sz w:val="20"/>
          <w:szCs w:val="32"/>
        </w:rPr>
      </w:pPr>
      <w:r>
        <w:rPr>
          <w:noProof/>
        </w:rPr>
        <w:br w:type="page"/>
      </w:r>
    </w:p>
    <w:p>
      <w:pPr>
        <w:pStyle w:val="Heading1"/>
        <w:tabs>
          <w:tab w:val="clear" w:pos="1570"/>
        </w:tabs>
        <w:spacing w:before="0" w:after="240"/>
        <w:ind w:left="426" w:hanging="426"/>
        <w:rPr>
          <w:rFonts w:asciiTheme="majorHAnsi" w:hAnsiTheme="majorHAnsi"/>
          <w:noProof/>
          <w:color w:val="1F497D" w:themeColor="text2"/>
          <w:sz w:val="20"/>
        </w:rPr>
      </w:pPr>
      <w:bookmarkStart w:id="2" w:name="_Toc22547292"/>
      <w:r>
        <w:rPr>
          <w:rFonts w:asciiTheme="majorHAnsi" w:hAnsiTheme="majorHAnsi"/>
          <w:noProof/>
          <w:color w:val="1F497D" w:themeColor="text2"/>
          <w:sz w:val="20"/>
        </w:rPr>
        <w:t>Úvod</w:t>
      </w:r>
      <w:bookmarkEnd w:id="2"/>
    </w:p>
    <w:p>
      <w:pPr>
        <w:spacing w:before="0" w:after="240"/>
        <w:rPr>
          <w:rFonts w:asciiTheme="majorHAnsi" w:hAnsiTheme="majorHAnsi"/>
          <w:noProof/>
          <w:sz w:val="20"/>
        </w:rPr>
      </w:pPr>
      <w:r>
        <w:rPr>
          <w:rFonts w:asciiTheme="majorHAnsi" w:hAnsiTheme="majorHAnsi"/>
          <w:noProof/>
          <w:sz w:val="20"/>
        </w:rPr>
        <w:t>Toto je 30. výročná správa Komisie o ochrane finančných záujmov EÚ a boji proti podvodom (ďalej len „správa o ochrane finančných záujmov“). Prvá správa bola prijatá v januári 1990. Po nadobudnutí platnosti Maastrichtskej zmluvy 1. januára 1993 sa v osobitnom článku zmluvy výslovne stanovil boj proti podvodom poškodzujúcim finančné záujmy spoločenstiev.</w:t>
      </w:r>
    </w:p>
    <w:p>
      <w:pPr>
        <w:spacing w:before="0" w:after="240"/>
        <w:rPr>
          <w:rFonts w:asciiTheme="majorHAnsi" w:eastAsia="Calibri" w:hAnsiTheme="majorHAnsi"/>
          <w:noProof/>
          <w:sz w:val="20"/>
        </w:rPr>
      </w:pPr>
      <w:r>
        <w:rPr>
          <w:rFonts w:asciiTheme="majorHAnsi" w:hAnsiTheme="majorHAnsi"/>
          <w:noProof/>
          <w:sz w:val="20"/>
        </w:rPr>
        <w:t>Od 1. mája 1999, po nadobudnutí platnosti Amsterdamskej zmluvy, sa na ročné správy pre Európsky parlament a Radu o opatreniach prijatých na boj proti podvodom a iným nezákonným činnostiam, ktoré poškodzujú finančné záujmy EÚ, vzťahuje osobitné ustanovenie (pôvodne článok 280 ods. 5 Zmluvy o ES a v súčasnosti článok 325 ods. 5 ZFEÚ).</w:t>
      </w:r>
    </w:p>
    <w:p>
      <w:pPr>
        <w:spacing w:before="0" w:after="240"/>
        <w:rPr>
          <w:rFonts w:asciiTheme="majorHAnsi" w:hAnsiTheme="majorHAnsi"/>
          <w:noProof/>
          <w:sz w:val="20"/>
        </w:rPr>
      </w:pPr>
      <w:r>
        <w:rPr>
          <w:rFonts w:asciiTheme="majorHAnsi" w:hAnsiTheme="majorHAnsi"/>
          <w:noProof/>
          <w:sz w:val="20"/>
        </w:rPr>
        <w:t>EÚ a členské štáty nesú spoločnú zodpovednosť za ochranu finančných záujmov EÚ a boj proti podvodom. Orgány členských štátov spravujú približne 74 % výdavkov EÚ a vyberajú tradičné vlastné zdroje. Komisia dohliada na obe tieto oblasti, stanovuje normy a overuje súlad. Na efektívnu ochranu finančných záujmov EÚ musí Komisia úzko spolupracovať s členskými štátmi.</w:t>
      </w:r>
    </w:p>
    <w:p>
      <w:pPr>
        <w:spacing w:before="0"/>
        <w:rPr>
          <w:rFonts w:asciiTheme="majorHAnsi" w:eastAsia="Calibri" w:hAnsiTheme="majorHAnsi"/>
          <w:noProof/>
          <w:sz w:val="20"/>
        </w:rPr>
      </w:pPr>
      <w:r>
        <w:rPr>
          <w:rFonts w:asciiTheme="majorHAnsi" w:hAnsiTheme="majorHAnsi"/>
          <w:noProof/>
          <w:sz w:val="20"/>
        </w:rPr>
        <w:t>Od roku 1989 sa v správe o ochrane finančných záujmov táto spolupráca hodnotí s cieľom ďalej ju zdokonaľovať. Na tento účel sa v správe:</w:t>
      </w:r>
    </w:p>
    <w:p>
      <w:pPr>
        <w:pStyle w:val="ListParagraph"/>
        <w:numPr>
          <w:ilvl w:val="0"/>
          <w:numId w:val="5"/>
        </w:numPr>
        <w:spacing w:before="0"/>
        <w:contextualSpacing w:val="0"/>
        <w:rPr>
          <w:rFonts w:asciiTheme="majorHAnsi" w:hAnsiTheme="majorHAnsi"/>
          <w:noProof/>
          <w:sz w:val="20"/>
        </w:rPr>
      </w:pPr>
      <w:r>
        <w:rPr>
          <w:rFonts w:asciiTheme="majorHAnsi" w:hAnsiTheme="majorHAnsi"/>
          <w:noProof/>
          <w:sz w:val="20"/>
        </w:rPr>
        <w:t>predkladá súhrn opatrení na boj proti podvodom prijatých na úrovni EÚ a členských štátov,</w:t>
      </w:r>
    </w:p>
    <w:p>
      <w:pPr>
        <w:pStyle w:val="ListParagraph"/>
        <w:numPr>
          <w:ilvl w:val="0"/>
          <w:numId w:val="5"/>
        </w:numPr>
        <w:spacing w:before="0" w:after="240"/>
        <w:contextualSpacing w:val="0"/>
        <w:rPr>
          <w:rFonts w:asciiTheme="majorHAnsi" w:hAnsiTheme="majorHAnsi"/>
          <w:noProof/>
          <w:sz w:val="20"/>
        </w:rPr>
      </w:pPr>
      <w:r>
        <w:rPr>
          <w:rFonts w:asciiTheme="majorHAnsi" w:hAnsiTheme="majorHAnsi"/>
          <w:noProof/>
          <w:sz w:val="20"/>
        </w:rPr>
        <w:t>uvádza analýza najvýznamnejších úspechov, ktoré vnútroštátne a európske orgány dosiahli pri odhaľovaní podvodov a nezrovnalostí týkajúcich sa výdavkov a príjmov EÚ. Táto analýza je založená najmä na odhalených nezrovnalostiach a podvodoch oznámených členskými štátmi v súlade so sektorovými predpismi.</w:t>
      </w:r>
    </w:p>
    <w:p>
      <w:pPr>
        <w:spacing w:before="0" w:after="240"/>
        <w:rPr>
          <w:rFonts w:asciiTheme="majorHAnsi" w:eastAsia="Calibri" w:hAnsiTheme="majorHAnsi"/>
          <w:noProof/>
          <w:sz w:val="20"/>
        </w:rPr>
      </w:pPr>
      <w:r>
        <w:rPr>
          <w:rFonts w:asciiTheme="majorHAnsi" w:hAnsiTheme="majorHAnsi"/>
          <w:noProof/>
          <w:sz w:val="20"/>
        </w:rPr>
        <w:t>V 30. vydaní tejto správy sa uvádza prehľad najvýznamnejších úspechov za posledných 30 rokov, ako aj informácie o iniciatívach z roku 2018. Oddiely 1.1, 1.2 a 1.3 obsahujú prehľad posledných 30 rokov boja proti podvodom a ochrany rozpočtu EÚ.</w:t>
      </w:r>
    </w:p>
    <w:p>
      <w:pPr>
        <w:spacing w:before="0" w:after="240"/>
        <w:rPr>
          <w:rFonts w:asciiTheme="majorHAnsi" w:eastAsia="Calibri" w:hAnsiTheme="majorHAnsi"/>
          <w:noProof/>
          <w:sz w:val="20"/>
        </w:rPr>
      </w:pPr>
      <w:r>
        <w:rPr>
          <w:rFonts w:asciiTheme="majorHAnsi" w:hAnsiTheme="majorHAnsi"/>
          <w:noProof/>
          <w:sz w:val="20"/>
        </w:rPr>
        <w:t>K správe je pripojených päť pracovných dokumentov útvarov Komisie, ktoré sú uvedené v prílohe 3</w:t>
      </w:r>
      <w:r>
        <w:rPr>
          <w:rStyle w:val="FootnoteReference"/>
          <w:rFonts w:asciiTheme="majorHAnsi" w:eastAsia="Calibri" w:hAnsiTheme="majorHAnsi"/>
          <w:noProof/>
          <w:sz w:val="20"/>
        </w:rPr>
        <w:footnoteReference w:id="1"/>
      </w:r>
      <w:r>
        <w:rPr>
          <w:rFonts w:asciiTheme="majorHAnsi" w:hAnsiTheme="majorHAnsi"/>
          <w:noProof/>
          <w:sz w:val="20"/>
        </w:rPr>
        <w:t>.</w:t>
      </w:r>
    </w:p>
    <w:p>
      <w:pPr>
        <w:spacing w:before="0" w:after="240"/>
        <w:rPr>
          <w:rFonts w:asciiTheme="majorHAnsi" w:eastAsia="Calibri" w:hAnsiTheme="majorHAnsi"/>
          <w:noProof/>
          <w:sz w:val="20"/>
        </w:rPr>
      </w:pPr>
    </w:p>
    <w:p>
      <w:pPr>
        <w:pStyle w:val="Heading2"/>
        <w:tabs>
          <w:tab w:val="clear" w:pos="850"/>
          <w:tab w:val="num" w:pos="567"/>
        </w:tabs>
        <w:spacing w:before="0" w:after="240"/>
        <w:ind w:left="426" w:hanging="426"/>
        <w:rPr>
          <w:rFonts w:asciiTheme="majorHAnsi" w:hAnsiTheme="majorHAnsi"/>
          <w:noProof/>
          <w:color w:val="1F497D" w:themeColor="text2"/>
          <w:sz w:val="20"/>
        </w:rPr>
      </w:pPr>
      <w:bookmarkStart w:id="3" w:name="_Toc22547293"/>
      <w:r>
        <w:rPr>
          <w:rFonts w:asciiTheme="majorHAnsi" w:hAnsiTheme="majorHAnsi"/>
          <w:noProof/>
          <w:color w:val="1F497D" w:themeColor="text2"/>
          <w:sz w:val="20"/>
        </w:rPr>
        <w:t>Prvé desaťročie (1989 – 1998): položenie základov</w:t>
      </w:r>
      <w:bookmarkEnd w:id="3"/>
    </w:p>
    <w:p>
      <w:pPr>
        <w:spacing w:before="0" w:after="240"/>
        <w:rPr>
          <w:rFonts w:asciiTheme="majorHAnsi" w:eastAsia="Calibri" w:hAnsiTheme="majorHAnsi"/>
          <w:noProof/>
          <w:sz w:val="20"/>
        </w:rPr>
      </w:pPr>
      <w:r>
        <w:rPr>
          <w:rFonts w:asciiTheme="majorHAnsi" w:hAnsiTheme="majorHAnsi"/>
          <w:noProof/>
          <w:sz w:val="20"/>
        </w:rPr>
        <w:t>Na konci roka 1988 bola zriadená jednotka pre koordináciu boja proti podvodom (</w:t>
      </w:r>
      <w:r>
        <w:rPr>
          <w:rFonts w:asciiTheme="majorHAnsi" w:hAnsiTheme="majorHAnsi"/>
          <w:b/>
          <w:noProof/>
          <w:sz w:val="20"/>
        </w:rPr>
        <w:t>UCLAF</w:t>
      </w:r>
      <w:r>
        <w:rPr>
          <w:rFonts w:asciiTheme="majorHAnsi" w:hAnsiTheme="majorHAnsi"/>
          <w:noProof/>
          <w:sz w:val="20"/>
        </w:rPr>
        <w:t xml:space="preserve">), ktorá riadi všetky činnosti Komisie zamerané na predchádzanie podvodom a dohliada na ne, pričom na plnenie svojich cieľov má k dispozícii </w:t>
      </w:r>
      <w:r>
        <w:rPr>
          <w:rFonts w:asciiTheme="majorHAnsi" w:hAnsiTheme="majorHAnsi"/>
          <w:b/>
          <w:noProof/>
          <w:sz w:val="20"/>
        </w:rPr>
        <w:t>45-bodový pracovný program</w:t>
      </w:r>
      <w:r>
        <w:rPr>
          <w:rFonts w:asciiTheme="majorHAnsi" w:hAnsiTheme="majorHAnsi"/>
          <w:noProof/>
          <w:sz w:val="20"/>
        </w:rPr>
        <w:t>.</w:t>
      </w:r>
    </w:p>
    <w:p>
      <w:pPr>
        <w:spacing w:before="0" w:after="240"/>
        <w:rPr>
          <w:rFonts w:asciiTheme="majorHAnsi" w:eastAsia="Calibri" w:hAnsiTheme="majorHAnsi"/>
          <w:noProof/>
          <w:sz w:val="20"/>
        </w:rPr>
      </w:pPr>
      <w:r>
        <w:rPr>
          <w:rFonts w:asciiTheme="majorHAnsi" w:hAnsiTheme="majorHAnsi"/>
          <w:noProof/>
          <w:sz w:val="20"/>
        </w:rPr>
        <w:t xml:space="preserve">Počas tohto prvého desaťročia bolo prijatých množstvo významných legislatívnych aktov, ktoré do roku 2017 významne formovali prostredie boja proti podvodom. V roku </w:t>
      </w:r>
      <w:r>
        <w:rPr>
          <w:rFonts w:asciiTheme="majorHAnsi" w:hAnsiTheme="majorHAnsi"/>
          <w:b/>
          <w:noProof/>
          <w:sz w:val="20"/>
        </w:rPr>
        <w:t>1991</w:t>
      </w:r>
      <w:r>
        <w:rPr>
          <w:rFonts w:asciiTheme="majorHAnsi" w:hAnsiTheme="majorHAnsi"/>
          <w:noProof/>
          <w:sz w:val="20"/>
        </w:rPr>
        <w:t xml:space="preserve"> Rada prijala </w:t>
      </w:r>
      <w:r>
        <w:rPr>
          <w:rFonts w:asciiTheme="majorHAnsi" w:hAnsiTheme="majorHAnsi"/>
          <w:b/>
          <w:noProof/>
          <w:sz w:val="20"/>
        </w:rPr>
        <w:t>nariadenie č. 595/91</w:t>
      </w:r>
      <w:r>
        <w:rPr>
          <w:rFonts w:asciiTheme="majorHAnsi" w:hAnsiTheme="majorHAnsi"/>
          <w:noProof/>
          <w:sz w:val="20"/>
        </w:rPr>
        <w:t xml:space="preserve"> o oznamovaní nezrovnalostí v spoločnej poľnohospodárskej politike. </w:t>
      </w:r>
      <w:r>
        <w:rPr>
          <w:rFonts w:asciiTheme="majorHAnsi" w:hAnsiTheme="majorHAnsi"/>
          <w:b/>
          <w:noProof/>
          <w:sz w:val="20"/>
        </w:rPr>
        <w:t>Maastrichtskou zmluvou</w:t>
      </w:r>
      <w:r>
        <w:rPr>
          <w:rFonts w:asciiTheme="majorHAnsi" w:hAnsiTheme="majorHAnsi"/>
          <w:noProof/>
          <w:sz w:val="20"/>
        </w:rPr>
        <w:t xml:space="preserve">, ktorá nadobudla platnosť na konci roka </w:t>
      </w:r>
      <w:r>
        <w:rPr>
          <w:rFonts w:asciiTheme="majorHAnsi" w:hAnsiTheme="majorHAnsi"/>
          <w:b/>
          <w:noProof/>
          <w:sz w:val="20"/>
        </w:rPr>
        <w:t>1993</w:t>
      </w:r>
      <w:r>
        <w:rPr>
          <w:rFonts w:asciiTheme="majorHAnsi" w:hAnsiTheme="majorHAnsi"/>
          <w:noProof/>
          <w:sz w:val="20"/>
        </w:rPr>
        <w:t>, sa stanovili ciele a prostriedky na boj proti podvodom na najvyššej legislatívnej úrovni a potvrdila sa povinnosť členských štátov chrániť finančné záujmy Spoločenstva v boji proti podvodom rovnako ako vlastné finančné záujmy, t. j. využívaním účinných, primeraných a odrádzajúcich prostriedkov, a to vďaka osobitnému článku (209A). V hlave 4 Maastrichtskej zmluvy sa stanovila užšia spolupráca a nástroje na jej dosiahnutie.</w:t>
      </w:r>
    </w:p>
    <w:p>
      <w:pPr>
        <w:spacing w:before="0" w:after="240"/>
        <w:rPr>
          <w:rFonts w:asciiTheme="majorHAnsi" w:eastAsia="Calibri" w:hAnsiTheme="majorHAnsi"/>
          <w:noProof/>
          <w:sz w:val="20"/>
        </w:rPr>
      </w:pPr>
      <w:r>
        <w:rPr>
          <w:rFonts w:asciiTheme="majorHAnsi" w:hAnsiTheme="majorHAnsi"/>
          <w:noProof/>
          <w:sz w:val="20"/>
        </w:rPr>
        <w:t xml:space="preserve">V roku </w:t>
      </w:r>
      <w:r>
        <w:rPr>
          <w:rFonts w:asciiTheme="majorHAnsi" w:hAnsiTheme="majorHAnsi"/>
          <w:b/>
          <w:noProof/>
          <w:sz w:val="20"/>
        </w:rPr>
        <w:t>1994</w:t>
      </w:r>
      <w:r>
        <w:rPr>
          <w:rFonts w:asciiTheme="majorHAnsi" w:hAnsiTheme="majorHAnsi"/>
          <w:noProof/>
          <w:sz w:val="20"/>
        </w:rPr>
        <w:t xml:space="preserve"> bol zriadený </w:t>
      </w:r>
      <w:r>
        <w:rPr>
          <w:rFonts w:asciiTheme="majorHAnsi" w:hAnsiTheme="majorHAnsi"/>
          <w:b/>
          <w:noProof/>
          <w:sz w:val="20"/>
        </w:rPr>
        <w:t>Poradný výbor na koordináciu prevencie sprenevery</w:t>
      </w:r>
      <w:r>
        <w:rPr>
          <w:rFonts w:asciiTheme="majorHAnsi" w:hAnsiTheme="majorHAnsi"/>
          <w:noProof/>
          <w:sz w:val="20"/>
        </w:rPr>
        <w:t xml:space="preserve"> (COCOLAF)</w:t>
      </w:r>
      <w:r>
        <w:rPr>
          <w:rStyle w:val="FootnoteReference"/>
          <w:rFonts w:asciiTheme="majorHAnsi" w:eastAsia="Calibri" w:hAnsiTheme="majorHAnsi"/>
          <w:noProof/>
          <w:sz w:val="20"/>
        </w:rPr>
        <w:footnoteReference w:id="2"/>
      </w:r>
      <w:r>
        <w:rPr>
          <w:rFonts w:asciiTheme="majorHAnsi" w:hAnsiTheme="majorHAnsi"/>
          <w:noProof/>
          <w:sz w:val="20"/>
        </w:rPr>
        <w:t xml:space="preserve">. Prijali sa aj nariadenia (ES) č. 1681/94 a 1831/94 o oznamovaní nezrovnalostí a vymáhaní neoprávnene vyplatených súm v oblasti štrukturálnych fondov a Kohézneho fondu a v každom členskom štáte sa zriadila </w:t>
      </w:r>
      <w:r>
        <w:rPr>
          <w:rFonts w:asciiTheme="majorHAnsi" w:hAnsiTheme="majorHAnsi"/>
          <w:b/>
          <w:noProof/>
          <w:sz w:val="20"/>
        </w:rPr>
        <w:t>bezplatná telefonická linka</w:t>
      </w:r>
      <w:r>
        <w:rPr>
          <w:rFonts w:asciiTheme="majorHAnsi" w:hAnsiTheme="majorHAnsi"/>
          <w:noProof/>
          <w:sz w:val="20"/>
        </w:rPr>
        <w:t>, ktorá umožňuje jednotlivcom podieľať sa na ochrane finančných záujmov EÚ.</w:t>
      </w:r>
    </w:p>
    <w:p>
      <w:pPr>
        <w:spacing w:before="0" w:after="240"/>
        <w:rPr>
          <w:rFonts w:asciiTheme="majorHAnsi" w:eastAsia="Calibri" w:hAnsiTheme="majorHAnsi"/>
          <w:noProof/>
          <w:sz w:val="20"/>
        </w:rPr>
      </w:pPr>
      <w:r>
        <w:rPr>
          <w:rFonts w:asciiTheme="majorHAnsi" w:hAnsiTheme="majorHAnsi"/>
          <w:noProof/>
          <w:sz w:val="20"/>
        </w:rPr>
        <w:t xml:space="preserve">Na medzivládnej úrovni členské štáty podpísali </w:t>
      </w:r>
      <w:r>
        <w:rPr>
          <w:rFonts w:asciiTheme="majorHAnsi" w:hAnsiTheme="majorHAnsi"/>
          <w:b/>
          <w:noProof/>
          <w:sz w:val="20"/>
        </w:rPr>
        <w:t>Dohovor o ochrane finančných záujmov Spoločenstva prostredníctvom trestného práva (1995)</w:t>
      </w:r>
      <w:r>
        <w:rPr>
          <w:rFonts w:asciiTheme="majorHAnsi" w:hAnsiTheme="majorHAnsi"/>
          <w:noProof/>
          <w:sz w:val="20"/>
        </w:rPr>
        <w:t xml:space="preserve">. V dohovore sa stanovuje spoločná definícia podvodu a iných závažných trestných činov, ktoré poškodzujú finančné záujmy Spoločenstva, a členským štátom sa ukladá povinnosť, aby s podvodmi zaobchádzali ako s osobitným trestným činom a primerane ho sankcionovali. Na konci roka Rada prijala </w:t>
      </w:r>
      <w:r>
        <w:rPr>
          <w:rFonts w:asciiTheme="majorHAnsi" w:hAnsiTheme="majorHAnsi"/>
          <w:b/>
          <w:noProof/>
          <w:sz w:val="20"/>
        </w:rPr>
        <w:t>nariadenie</w:t>
      </w:r>
      <w:r>
        <w:rPr>
          <w:rFonts w:asciiTheme="majorHAnsi" w:hAnsiTheme="majorHAnsi"/>
          <w:noProof/>
          <w:sz w:val="20"/>
        </w:rPr>
        <w:t xml:space="preserve"> (ES, Euratom) </w:t>
      </w:r>
      <w:r>
        <w:rPr>
          <w:rFonts w:asciiTheme="majorHAnsi" w:hAnsiTheme="majorHAnsi"/>
          <w:b/>
          <w:noProof/>
          <w:sz w:val="20"/>
        </w:rPr>
        <w:t>č. 2988/95</w:t>
      </w:r>
      <w:r>
        <w:rPr>
          <w:rFonts w:asciiTheme="majorHAnsi" w:hAnsiTheme="majorHAnsi"/>
          <w:noProof/>
          <w:sz w:val="20"/>
        </w:rPr>
        <w:t>, rámcový legislatívny akt uplatniteľný na všetky výdavky a TVZ (nie v oblasti DPH), ktorý vytvoril základ pre formuláciu jednotných administratívnych sankcií s rovnakou právnou silou v celom Európskom spoločenstve.</w:t>
      </w:r>
    </w:p>
    <w:p>
      <w:pPr>
        <w:spacing w:before="0" w:after="240"/>
        <w:rPr>
          <w:rFonts w:asciiTheme="majorHAnsi" w:eastAsia="Calibri" w:hAnsiTheme="majorHAnsi"/>
          <w:noProof/>
          <w:sz w:val="20"/>
        </w:rPr>
      </w:pPr>
      <w:r>
        <w:rPr>
          <w:rFonts w:asciiTheme="majorHAnsi" w:hAnsiTheme="majorHAnsi"/>
          <w:noProof/>
          <w:sz w:val="20"/>
        </w:rPr>
        <w:t xml:space="preserve">V roku </w:t>
      </w:r>
      <w:r>
        <w:rPr>
          <w:rFonts w:asciiTheme="majorHAnsi" w:hAnsiTheme="majorHAnsi"/>
          <w:b/>
          <w:noProof/>
          <w:sz w:val="20"/>
        </w:rPr>
        <w:t>1996</w:t>
      </w:r>
      <w:r>
        <w:rPr>
          <w:rFonts w:asciiTheme="majorHAnsi" w:hAnsiTheme="majorHAnsi"/>
          <w:noProof/>
          <w:sz w:val="20"/>
        </w:rPr>
        <w:t xml:space="preserve"> bolo prijaté nariadenie (ES) č. 2185/96 o kontrolách a inšpekciách na mieste v členských štátoch vykonávaných úradníkmi Komisie s cieľom odhaliť podvody a nezrovnalosti, ako aj </w:t>
      </w:r>
      <w:r>
        <w:rPr>
          <w:rFonts w:asciiTheme="majorHAnsi" w:hAnsiTheme="majorHAnsi"/>
          <w:b/>
          <w:noProof/>
          <w:sz w:val="20"/>
        </w:rPr>
        <w:t>prvý protokol o boji proti korupcii</w:t>
      </w:r>
      <w:r>
        <w:rPr>
          <w:rFonts w:asciiTheme="majorHAnsi" w:hAnsiTheme="majorHAnsi"/>
          <w:noProof/>
          <w:sz w:val="20"/>
        </w:rPr>
        <w:t xml:space="preserve"> pripojený k dohovoru z roku 1995.</w:t>
      </w:r>
    </w:p>
    <w:p>
      <w:pPr>
        <w:spacing w:before="0" w:after="240"/>
        <w:rPr>
          <w:rFonts w:asciiTheme="majorHAnsi" w:eastAsia="Calibri" w:hAnsiTheme="majorHAnsi"/>
          <w:noProof/>
          <w:sz w:val="20"/>
        </w:rPr>
      </w:pPr>
      <w:r>
        <w:rPr>
          <w:rFonts w:asciiTheme="majorHAnsi" w:hAnsiTheme="majorHAnsi"/>
          <w:noProof/>
          <w:sz w:val="20"/>
        </w:rPr>
        <w:t xml:space="preserve">V roku </w:t>
      </w:r>
      <w:r>
        <w:rPr>
          <w:rFonts w:asciiTheme="majorHAnsi" w:hAnsiTheme="majorHAnsi"/>
          <w:b/>
          <w:noProof/>
          <w:sz w:val="20"/>
        </w:rPr>
        <w:t>1997</w:t>
      </w:r>
      <w:r>
        <w:rPr>
          <w:rFonts w:asciiTheme="majorHAnsi" w:hAnsiTheme="majorHAnsi"/>
          <w:noProof/>
          <w:sz w:val="20"/>
        </w:rPr>
        <w:t xml:space="preserve"> bolo prijaté nariadenie (ES) č. 515/97 o </w:t>
      </w:r>
      <w:r>
        <w:rPr>
          <w:rFonts w:asciiTheme="majorHAnsi" w:hAnsiTheme="majorHAnsi"/>
          <w:b/>
          <w:noProof/>
          <w:sz w:val="20"/>
        </w:rPr>
        <w:t>vzájomnej pomoci v colnej a poľnohospodárskej oblasti</w:t>
      </w:r>
      <w:r>
        <w:rPr>
          <w:rFonts w:asciiTheme="majorHAnsi" w:hAnsiTheme="majorHAnsi"/>
          <w:noProof/>
          <w:sz w:val="20"/>
        </w:rPr>
        <w:t>. Dohovor o vzájomnej pomoci a spolupráci medzi colnými správami (ďalej len „dohovor Neapol II“) bol podpísaný v Bruseli 18. decembra 1997 (a nadobudol platnosť 23. júna 2009). Tento dohovor, pokiaľ ide o stíhanie a trestanie porušenia colných predpisov EÚ, dopĺňa nariadenie (ES) č. 515/97 a tiež nariadenie č. 389/2012 (v záležitostiach týkajúcich sa spotrebných daní) o vzájomnej pomoci medzi správnymi orgánmi členských štátov.</w:t>
      </w:r>
    </w:p>
    <w:p>
      <w:pPr>
        <w:spacing w:before="0" w:after="240"/>
        <w:rPr>
          <w:rFonts w:asciiTheme="majorHAnsi" w:eastAsia="Calibri" w:hAnsiTheme="majorHAnsi"/>
          <w:b/>
          <w:noProof/>
          <w:sz w:val="20"/>
        </w:rPr>
      </w:pPr>
      <w:r>
        <w:rPr>
          <w:rFonts w:asciiTheme="majorHAnsi" w:hAnsiTheme="majorHAnsi"/>
          <w:noProof/>
          <w:sz w:val="20"/>
        </w:rPr>
        <w:t xml:space="preserve">V tom istom roku členské štáty podpísali </w:t>
      </w:r>
      <w:r>
        <w:rPr>
          <w:rFonts w:asciiTheme="majorHAnsi" w:hAnsiTheme="majorHAnsi"/>
          <w:b/>
          <w:noProof/>
          <w:sz w:val="20"/>
        </w:rPr>
        <w:t>druhý protokol (o boji proti praniu špinavých peňazí a súdnej spolupráci)</w:t>
      </w:r>
      <w:r>
        <w:rPr>
          <w:rFonts w:asciiTheme="majorHAnsi" w:hAnsiTheme="majorHAnsi"/>
          <w:noProof/>
          <w:sz w:val="20"/>
        </w:rPr>
        <w:t xml:space="preserve"> k dohovoru z roku 1995. Rada spustila program </w:t>
      </w:r>
      <w:r>
        <w:rPr>
          <w:rFonts w:asciiTheme="majorHAnsi" w:hAnsiTheme="majorHAnsi"/>
          <w:b/>
          <w:noProof/>
          <w:sz w:val="20"/>
        </w:rPr>
        <w:t>FISCALIS</w:t>
      </w:r>
      <w:r>
        <w:rPr>
          <w:rFonts w:asciiTheme="majorHAnsi" w:hAnsiTheme="majorHAnsi"/>
          <w:noProof/>
          <w:sz w:val="20"/>
        </w:rPr>
        <w:t>, ktorým zlepšila nástroje na komunikáciu a výmenu informácií s cieľom predchádzať podvodom v oblasti DPH a spotrebných daní. Komisia prijala „</w:t>
      </w:r>
      <w:r>
        <w:rPr>
          <w:rFonts w:asciiTheme="majorHAnsi" w:hAnsiTheme="majorHAnsi"/>
          <w:b/>
          <w:noProof/>
          <w:sz w:val="20"/>
        </w:rPr>
        <w:t>Agendu 2000</w:t>
      </w:r>
      <w:r>
        <w:rPr>
          <w:rFonts w:asciiTheme="majorHAnsi" w:hAnsiTheme="majorHAnsi"/>
          <w:noProof/>
          <w:sz w:val="20"/>
        </w:rPr>
        <w:t>“: oznámenie, v ktorom sa opisuje všeobecný výhľad rozvoja EÚ a jej politík v súvislosti s blížiacim sa novým storočím, výzvy rozširovania a budúci finančný rámec.</w:t>
      </w:r>
    </w:p>
    <w:p>
      <w:pPr>
        <w:spacing w:before="0" w:after="240"/>
        <w:rPr>
          <w:rFonts w:asciiTheme="majorHAnsi" w:eastAsia="Calibri" w:hAnsiTheme="majorHAnsi"/>
          <w:noProof/>
          <w:sz w:val="20"/>
        </w:rPr>
        <w:sectPr>
          <w:headerReference w:type="even" r:id="rId22"/>
          <w:headerReference w:type="default" r:id="rId23"/>
          <w:footerReference w:type="even" r:id="rId24"/>
          <w:footerReference w:type="default" r:id="rId25"/>
          <w:headerReference w:type="first" r:id="rId26"/>
          <w:footerReference w:type="first" r:id="rId27"/>
          <w:pgSz w:w="11907" w:h="16839"/>
          <w:pgMar w:top="1134" w:right="1417" w:bottom="1134" w:left="1417" w:header="709" w:footer="709" w:gutter="0"/>
          <w:cols w:num="2" w:space="283"/>
          <w:docGrid w:linePitch="360"/>
        </w:sectPr>
      </w:pPr>
      <w:r>
        <w:rPr>
          <w:rFonts w:asciiTheme="majorHAnsi" w:hAnsiTheme="majorHAnsi"/>
          <w:noProof/>
          <w:sz w:val="20"/>
        </w:rPr>
        <w:t>Koniec prvého desaťročia sa vyznačoval udalosťami, ktoré poukázali na niekoľko slabých miest, ktoré si v určitých oblastiach vyžadovali prijatie ďalších opatrení.</w:t>
      </w:r>
    </w:p>
    <w:p>
      <w:pPr>
        <w:spacing w:before="0" w:after="240"/>
        <w:rPr>
          <w:rFonts w:asciiTheme="majorHAnsi" w:eastAsia="Calibri" w:hAnsiTheme="majorHAnsi"/>
          <w:b/>
          <w:noProof/>
          <w:sz w:val="20"/>
        </w:rPr>
        <w:sectPr>
          <w:headerReference w:type="even" r:id="rId28"/>
          <w:headerReference w:type="default" r:id="rId29"/>
          <w:footerReference w:type="even" r:id="rId30"/>
          <w:footerReference w:type="default" r:id="rId31"/>
          <w:headerReference w:type="first" r:id="rId32"/>
          <w:footerReference w:type="first" r:id="rId33"/>
          <w:type w:val="continuous"/>
          <w:pgSz w:w="11907" w:h="16839"/>
          <w:pgMar w:top="1134" w:right="1417" w:bottom="1134" w:left="1417" w:header="709" w:footer="709" w:gutter="0"/>
          <w:cols w:space="283"/>
          <w:docGrid w:linePitch="360"/>
        </w:sectPr>
      </w:pPr>
      <w:r>
        <w:rPr>
          <w:rFonts w:asciiTheme="majorHAnsi" w:hAnsiTheme="majorHAnsi"/>
          <w:b/>
          <w:noProof/>
          <w:sz w:val="20"/>
          <w:lang w:val="en-GB" w:eastAsia="en-GB"/>
        </w:rPr>
        <w:drawing>
          <wp:inline distT="0" distB="0" distL="0" distR="0">
            <wp:extent cx="5761355" cy="302704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t decade reviewed final.png"/>
                    <pic:cNvPicPr/>
                  </pic:nvPicPr>
                  <pic:blipFill>
                    <a:blip r:embed="rId34">
                      <a:extLst>
                        <a:ext uri="{28A0092B-C50C-407E-A947-70E740481C1C}">
                          <a14:useLocalDpi xmlns:a14="http://schemas.microsoft.com/office/drawing/2010/main" val="0"/>
                        </a:ext>
                      </a:extLst>
                    </a:blip>
                    <a:stretch>
                      <a:fillRect/>
                    </a:stretch>
                  </pic:blipFill>
                  <pic:spPr>
                    <a:xfrm>
                      <a:off x="0" y="0"/>
                      <a:ext cx="5761355" cy="3027045"/>
                    </a:xfrm>
                    <a:prstGeom prst="rect">
                      <a:avLst/>
                    </a:prstGeom>
                  </pic:spPr>
                </pic:pic>
              </a:graphicData>
            </a:graphic>
          </wp:inline>
        </w:drawing>
      </w:r>
    </w:p>
    <w:p>
      <w:pPr>
        <w:pStyle w:val="Heading2"/>
        <w:tabs>
          <w:tab w:val="clear" w:pos="850"/>
          <w:tab w:val="num" w:pos="567"/>
        </w:tabs>
        <w:spacing w:before="0" w:after="240"/>
        <w:ind w:left="426" w:hanging="426"/>
        <w:rPr>
          <w:rFonts w:asciiTheme="majorHAnsi" w:hAnsiTheme="majorHAnsi"/>
          <w:noProof/>
          <w:color w:val="1F497D" w:themeColor="text2"/>
          <w:sz w:val="20"/>
        </w:rPr>
      </w:pPr>
      <w:bookmarkStart w:id="4" w:name="_Toc22547294"/>
      <w:r>
        <w:rPr>
          <w:rFonts w:asciiTheme="majorHAnsi" w:hAnsiTheme="majorHAnsi"/>
          <w:noProof/>
          <w:color w:val="1F497D" w:themeColor="text2"/>
          <w:sz w:val="20"/>
        </w:rPr>
        <w:t>Druhé desaťročie (1999 – 2008): rozšírenie, konsolidácia a operačné reformy</w:t>
      </w:r>
      <w:bookmarkEnd w:id="4"/>
    </w:p>
    <w:p>
      <w:pPr>
        <w:spacing w:before="0" w:after="240"/>
        <w:rPr>
          <w:rFonts w:asciiTheme="majorHAnsi" w:hAnsiTheme="majorHAnsi"/>
          <w:noProof/>
          <w:sz w:val="20"/>
        </w:rPr>
      </w:pPr>
      <w:r>
        <w:rPr>
          <w:rFonts w:asciiTheme="majorHAnsi" w:hAnsiTheme="majorHAnsi"/>
          <w:noProof/>
          <w:sz w:val="20"/>
        </w:rPr>
        <w:t xml:space="preserve">V apríli </w:t>
      </w:r>
      <w:r>
        <w:rPr>
          <w:rFonts w:asciiTheme="majorHAnsi" w:hAnsiTheme="majorHAnsi"/>
          <w:b/>
          <w:noProof/>
          <w:sz w:val="20"/>
        </w:rPr>
        <w:t>1999</w:t>
      </w:r>
      <w:r>
        <w:rPr>
          <w:rFonts w:asciiTheme="majorHAnsi" w:hAnsiTheme="majorHAnsi"/>
          <w:noProof/>
          <w:sz w:val="20"/>
        </w:rPr>
        <w:t xml:space="preserve"> sa na scéne objavil nový aktér. Komisia sa rozhodla zriadiť </w:t>
      </w:r>
      <w:r>
        <w:rPr>
          <w:rFonts w:asciiTheme="majorHAnsi" w:hAnsiTheme="majorHAnsi"/>
          <w:b/>
          <w:noProof/>
          <w:sz w:val="20"/>
        </w:rPr>
        <w:t>Európsky úrad pre boj proti podvodom</w:t>
      </w:r>
      <w:r>
        <w:rPr>
          <w:rFonts w:asciiTheme="majorHAnsi" w:hAnsiTheme="majorHAnsi"/>
          <w:noProof/>
          <w:sz w:val="20"/>
        </w:rPr>
        <w:t xml:space="preserve"> (OLAF), nezávislý orgán pre operačné činnosti, ktorý prevzal úlohy jednotky UCLAF. </w:t>
      </w:r>
      <w:r>
        <w:rPr>
          <w:rFonts w:asciiTheme="majorHAnsi" w:hAnsiTheme="majorHAnsi"/>
          <w:b/>
          <w:noProof/>
          <w:sz w:val="20"/>
        </w:rPr>
        <w:t>Nový legislatívny balík</w:t>
      </w:r>
      <w:r>
        <w:rPr>
          <w:rFonts w:asciiTheme="majorHAnsi" w:hAnsiTheme="majorHAnsi"/>
          <w:noProof/>
          <w:sz w:val="20"/>
        </w:rPr>
        <w:t xml:space="preserve"> nadobudol účinnosť 1. júna 1999 a znamenal rozšírenie zodpovednosti úradu OLAF na všetky činnosti súvisiace s ochranou záujmov Spoločenstva pred protiprávnym konaním ovplyvňujúcim finančné záujmy, ktoré by mohli mať za následok správne alebo trestné konanie. Okrem toho takmer všetky inštitúcie EÚ začali úrad OLAF poverovať vyšetrovaním závažného protiprávneho konania svojich členov a ich zamestnancov.</w:t>
      </w:r>
    </w:p>
    <w:p>
      <w:pPr>
        <w:spacing w:before="0" w:after="240"/>
        <w:rPr>
          <w:rFonts w:asciiTheme="majorHAnsi" w:hAnsiTheme="majorHAnsi"/>
          <w:noProof/>
          <w:sz w:val="20"/>
        </w:rPr>
      </w:pPr>
      <w:r>
        <w:rPr>
          <w:rFonts w:asciiTheme="majorHAnsi" w:hAnsiTheme="majorHAnsi"/>
          <w:noProof/>
          <w:sz w:val="20"/>
        </w:rPr>
        <w:t xml:space="preserve">Išlo o významnú reformu a modernizáciu celej administratívy EÚ, najmä v oblasti finančného riadenia, ktorá posilnila systém riadenia Komisie a viedla k jasnejšej línii zodpovednosti. V rámci finančnej reformy, ktorá sa začala realizovať v roku </w:t>
      </w:r>
      <w:r>
        <w:rPr>
          <w:rFonts w:asciiTheme="majorHAnsi" w:hAnsiTheme="majorHAnsi"/>
          <w:b/>
          <w:noProof/>
          <w:sz w:val="20"/>
        </w:rPr>
        <w:t>2000</w:t>
      </w:r>
      <w:r>
        <w:rPr>
          <w:rFonts w:asciiTheme="majorHAnsi" w:hAnsiTheme="majorHAnsi"/>
          <w:noProof/>
          <w:sz w:val="20"/>
        </w:rPr>
        <w:t>, sa Komisia rozhodla prehodnotiť svoje štruktúry vnútornej kontroly tak, aby povoľujúci úradníci vymenovaní delegovaním boli plne zodpovední za vnútornú kontrolu svojej činnosti vrátane boja proti podvodom.</w:t>
      </w:r>
    </w:p>
    <w:p>
      <w:pPr>
        <w:spacing w:before="0" w:after="240"/>
        <w:rPr>
          <w:rFonts w:asciiTheme="majorHAnsi" w:hAnsiTheme="majorHAnsi"/>
          <w:noProof/>
          <w:sz w:val="20"/>
        </w:rPr>
      </w:pPr>
      <w:r>
        <w:rPr>
          <w:rFonts w:asciiTheme="majorHAnsi" w:hAnsiTheme="majorHAnsi"/>
          <w:noProof/>
          <w:sz w:val="20"/>
        </w:rPr>
        <w:t xml:space="preserve">Úrad OLAF sa ako prvý európsky vyšetrovací orgán zameriava na operačné činnosti. Keďže sa však operačné odborné znalosti a koordinácia politických iniciatív Komisie zameraných na boj proti podvodom zlúčili do jedného orgánu, bolo druhé desaťročie bohaté na </w:t>
      </w:r>
      <w:r>
        <w:rPr>
          <w:rFonts w:asciiTheme="majorHAnsi" w:hAnsiTheme="majorHAnsi"/>
          <w:b/>
          <w:noProof/>
          <w:sz w:val="20"/>
        </w:rPr>
        <w:t>politické nápady a projekty zamerané na ďalšie posilnenie</w:t>
      </w:r>
      <w:r>
        <w:rPr>
          <w:rFonts w:asciiTheme="majorHAnsi" w:hAnsiTheme="majorHAnsi"/>
          <w:noProof/>
          <w:sz w:val="20"/>
        </w:rPr>
        <w:t xml:space="preserve"> boja proti podvodom. Niektoré z týchto iniciatív priniesli svoje ovocie až v treťom desaťročí, boli však načrtnuté už v </w:t>
      </w:r>
      <w:r>
        <w:rPr>
          <w:rFonts w:asciiTheme="majorHAnsi" w:hAnsiTheme="majorHAnsi"/>
          <w:b/>
          <w:noProof/>
          <w:sz w:val="20"/>
        </w:rPr>
        <w:t>celkovom strategickom prístupe (2001 – 2005)</w:t>
      </w:r>
      <w:r>
        <w:rPr>
          <w:rStyle w:val="FootnoteReference"/>
          <w:rFonts w:asciiTheme="majorHAnsi" w:hAnsiTheme="majorHAnsi"/>
          <w:b/>
          <w:noProof/>
          <w:sz w:val="20"/>
        </w:rPr>
        <w:footnoteReference w:id="3"/>
      </w:r>
      <w:r>
        <w:rPr>
          <w:rFonts w:asciiTheme="majorHAnsi" w:hAnsiTheme="majorHAnsi"/>
          <w:noProof/>
          <w:sz w:val="20"/>
        </w:rPr>
        <w:t>.</w:t>
      </w:r>
    </w:p>
    <w:p>
      <w:pPr>
        <w:spacing w:before="0" w:after="240"/>
        <w:rPr>
          <w:rFonts w:asciiTheme="majorHAnsi" w:hAnsiTheme="majorHAnsi"/>
          <w:noProof/>
          <w:sz w:val="20"/>
        </w:rPr>
        <w:sectPr>
          <w:headerReference w:type="even" r:id="rId35"/>
          <w:headerReference w:type="default" r:id="rId36"/>
          <w:footerReference w:type="even" r:id="rId37"/>
          <w:footerReference w:type="default" r:id="rId38"/>
          <w:headerReference w:type="first" r:id="rId39"/>
          <w:footerReference w:type="first" r:id="rId40"/>
          <w:type w:val="continuous"/>
          <w:pgSz w:w="11907" w:h="16839"/>
          <w:pgMar w:top="1134" w:right="1417" w:bottom="1134" w:left="1417" w:header="709" w:footer="709" w:gutter="0"/>
          <w:cols w:num="2" w:space="283"/>
          <w:docGrid w:linePitch="360"/>
        </w:sectPr>
      </w:pPr>
    </w:p>
    <w:p>
      <w:pPr>
        <w:spacing w:before="0" w:after="240"/>
        <w:rPr>
          <w:rFonts w:asciiTheme="majorHAnsi" w:hAnsiTheme="majorHAnsi"/>
          <w:noProof/>
          <w:sz w:val="20"/>
        </w:rPr>
        <w:sectPr>
          <w:headerReference w:type="even" r:id="rId41"/>
          <w:headerReference w:type="default" r:id="rId42"/>
          <w:footerReference w:type="even" r:id="rId43"/>
          <w:footerReference w:type="default" r:id="rId44"/>
          <w:headerReference w:type="first" r:id="rId45"/>
          <w:footerReference w:type="first" r:id="rId46"/>
          <w:type w:val="continuous"/>
          <w:pgSz w:w="11907" w:h="16839"/>
          <w:pgMar w:top="1134" w:right="1417" w:bottom="1134" w:left="1417" w:header="709" w:footer="709" w:gutter="0"/>
          <w:cols w:space="283"/>
          <w:docGrid w:linePitch="360"/>
        </w:sectPr>
      </w:pPr>
      <w:r>
        <w:rPr>
          <w:rFonts w:asciiTheme="majorHAnsi" w:hAnsiTheme="majorHAnsi"/>
          <w:noProof/>
          <w:sz w:val="20"/>
          <w:lang w:val="en-GB" w:eastAsia="en-GB"/>
        </w:rPr>
        <w:drawing>
          <wp:inline distT="0" distB="0" distL="0" distR="0">
            <wp:extent cx="5759450" cy="29413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59450" cy="2941320"/>
                    </a:xfrm>
                    <a:prstGeom prst="rect">
                      <a:avLst/>
                    </a:prstGeom>
                    <a:noFill/>
                    <a:ln>
                      <a:noFill/>
                    </a:ln>
                  </pic:spPr>
                </pic:pic>
              </a:graphicData>
            </a:graphic>
          </wp:inline>
        </w:drawing>
      </w:r>
    </w:p>
    <w:p>
      <w:pPr>
        <w:spacing w:before="0" w:after="160"/>
        <w:rPr>
          <w:rFonts w:asciiTheme="majorHAnsi" w:hAnsiTheme="majorHAnsi"/>
          <w:noProof/>
          <w:spacing w:val="-4"/>
          <w:sz w:val="20"/>
        </w:rPr>
      </w:pPr>
      <w:r>
        <w:rPr>
          <w:rFonts w:asciiTheme="majorHAnsi" w:hAnsiTheme="majorHAnsi"/>
          <w:noProof/>
          <w:spacing w:val="-4"/>
          <w:sz w:val="20"/>
        </w:rPr>
        <w:t xml:space="preserve">V máji </w:t>
      </w:r>
      <w:r>
        <w:rPr>
          <w:rFonts w:asciiTheme="majorHAnsi" w:hAnsiTheme="majorHAnsi"/>
          <w:b/>
          <w:noProof/>
          <w:spacing w:val="-4"/>
          <w:sz w:val="20"/>
        </w:rPr>
        <w:t>1999</w:t>
      </w:r>
      <w:r>
        <w:rPr>
          <w:rFonts w:asciiTheme="majorHAnsi" w:hAnsiTheme="majorHAnsi"/>
          <w:noProof/>
          <w:spacing w:val="-4"/>
          <w:sz w:val="20"/>
        </w:rPr>
        <w:t xml:space="preserve"> nadobudla platnosť </w:t>
      </w:r>
      <w:r>
        <w:rPr>
          <w:rFonts w:asciiTheme="majorHAnsi" w:hAnsiTheme="majorHAnsi"/>
          <w:b/>
          <w:noProof/>
          <w:spacing w:val="-4"/>
          <w:sz w:val="20"/>
        </w:rPr>
        <w:t>Amsterdamská zmluva</w:t>
      </w:r>
      <w:r>
        <w:rPr>
          <w:rFonts w:asciiTheme="majorHAnsi" w:hAnsiTheme="majorHAnsi"/>
          <w:noProof/>
          <w:spacing w:val="-4"/>
          <w:sz w:val="20"/>
        </w:rPr>
        <w:t xml:space="preserve">, ktorou sa menia a rozširujú ustanovenia o boji proti podvodom a v novom </w:t>
      </w:r>
      <w:r>
        <w:rPr>
          <w:rFonts w:asciiTheme="majorHAnsi" w:hAnsiTheme="majorHAnsi"/>
          <w:b/>
          <w:noProof/>
          <w:spacing w:val="-4"/>
          <w:sz w:val="20"/>
        </w:rPr>
        <w:t>článku 280</w:t>
      </w:r>
      <w:r>
        <w:rPr>
          <w:rFonts w:asciiTheme="majorHAnsi" w:hAnsiTheme="majorHAnsi"/>
          <w:noProof/>
          <w:spacing w:val="-4"/>
          <w:sz w:val="20"/>
        </w:rPr>
        <w:t xml:space="preserve"> ods. 5 sa zakotvuje podávanie správy o ochrane finančných záujmov.</w:t>
      </w:r>
    </w:p>
    <w:p>
      <w:pPr>
        <w:spacing w:before="0" w:after="160"/>
        <w:rPr>
          <w:rFonts w:asciiTheme="majorHAnsi" w:hAnsiTheme="majorHAnsi"/>
          <w:noProof/>
          <w:spacing w:val="-4"/>
          <w:sz w:val="20"/>
        </w:rPr>
      </w:pPr>
      <w:r>
        <w:rPr>
          <w:rFonts w:asciiTheme="majorHAnsi" w:hAnsiTheme="majorHAnsi"/>
          <w:noProof/>
          <w:spacing w:val="-4"/>
          <w:sz w:val="20"/>
        </w:rPr>
        <w:t>Celková architektúra sa výrazne upevnila vďaka posilneným úlohám Európskeho parlamentu a Európskeho dvora audítorov (EDA).</w:t>
      </w:r>
    </w:p>
    <w:p>
      <w:pPr>
        <w:spacing w:before="0" w:after="160"/>
        <w:rPr>
          <w:rFonts w:asciiTheme="majorHAnsi" w:hAnsiTheme="majorHAnsi"/>
          <w:noProof/>
          <w:spacing w:val="-4"/>
          <w:sz w:val="20"/>
        </w:rPr>
      </w:pPr>
      <w:r>
        <w:rPr>
          <w:rFonts w:asciiTheme="majorHAnsi" w:hAnsiTheme="majorHAnsi"/>
          <w:noProof/>
          <w:spacing w:val="-4"/>
          <w:sz w:val="20"/>
        </w:rPr>
        <w:t xml:space="preserve">Druhé desaťročie sa vyznačovalo zavedením eura a najväčším rozšírením v histórii EÚ po pristúpení 12 nových členských štátov (v rokoch </w:t>
      </w:r>
      <w:r>
        <w:rPr>
          <w:rFonts w:asciiTheme="majorHAnsi" w:hAnsiTheme="majorHAnsi"/>
          <w:b/>
          <w:noProof/>
          <w:spacing w:val="-4"/>
          <w:sz w:val="20"/>
        </w:rPr>
        <w:t>2004</w:t>
      </w:r>
      <w:r>
        <w:rPr>
          <w:rFonts w:asciiTheme="majorHAnsi" w:hAnsiTheme="majorHAnsi"/>
          <w:noProof/>
          <w:spacing w:val="-4"/>
          <w:sz w:val="20"/>
        </w:rPr>
        <w:t xml:space="preserve"> a </w:t>
      </w:r>
      <w:r>
        <w:rPr>
          <w:rFonts w:asciiTheme="majorHAnsi" w:hAnsiTheme="majorHAnsi"/>
          <w:b/>
          <w:noProof/>
          <w:spacing w:val="-4"/>
          <w:sz w:val="20"/>
        </w:rPr>
        <w:t>2007</w:t>
      </w:r>
      <w:r>
        <w:rPr>
          <w:rFonts w:asciiTheme="majorHAnsi" w:hAnsiTheme="majorHAnsi"/>
          <w:noProof/>
          <w:spacing w:val="-4"/>
          <w:sz w:val="20"/>
        </w:rPr>
        <w:t>). Z hľadiska boja proti podvodom si tento proces vyžadoval, aby bol v každom novom členskom štáte zriadený národný koordinačný útvar pre boj proti podvodom (AFCOS), a Komisia musela vynaložiť obrovské úsilie v oblasti odbornej prípravy pre všetkých 12 krajín.</w:t>
      </w:r>
    </w:p>
    <w:p>
      <w:pPr>
        <w:spacing w:before="0" w:after="160"/>
        <w:rPr>
          <w:rFonts w:asciiTheme="majorHAnsi" w:hAnsiTheme="majorHAnsi"/>
          <w:noProof/>
          <w:spacing w:val="-4"/>
          <w:sz w:val="20"/>
        </w:rPr>
      </w:pPr>
      <w:r>
        <w:rPr>
          <w:rFonts w:asciiTheme="majorHAnsi" w:hAnsiTheme="majorHAnsi"/>
          <w:noProof/>
          <w:spacing w:val="-4"/>
          <w:sz w:val="20"/>
        </w:rPr>
        <w:t>V rámci celkového strategického prístupu bola vytvorená pracovná skupina pre vymáhanie s cieľom zvýšiť spätne získané sumy prostriedkov EÚ v prípade odhalených podvodov alebo iných nezrovnalostí.</w:t>
      </w:r>
    </w:p>
    <w:p>
      <w:pPr>
        <w:spacing w:before="0" w:after="160"/>
        <w:rPr>
          <w:rFonts w:asciiTheme="majorHAnsi" w:hAnsiTheme="majorHAnsi"/>
          <w:noProof/>
          <w:spacing w:val="-4"/>
          <w:sz w:val="20"/>
        </w:rPr>
      </w:pPr>
      <w:r>
        <w:rPr>
          <w:rFonts w:asciiTheme="majorHAnsi" w:hAnsiTheme="majorHAnsi"/>
          <w:noProof/>
          <w:spacing w:val="-4"/>
          <w:sz w:val="20"/>
        </w:rPr>
        <w:t xml:space="preserve">V roku </w:t>
      </w:r>
      <w:r>
        <w:rPr>
          <w:rFonts w:asciiTheme="majorHAnsi" w:hAnsiTheme="majorHAnsi"/>
          <w:b/>
          <w:noProof/>
          <w:spacing w:val="-4"/>
          <w:sz w:val="20"/>
        </w:rPr>
        <w:t>2003</w:t>
      </w:r>
      <w:r>
        <w:rPr>
          <w:rFonts w:asciiTheme="majorHAnsi" w:hAnsiTheme="majorHAnsi"/>
          <w:noProof/>
          <w:spacing w:val="-4"/>
          <w:sz w:val="20"/>
        </w:rPr>
        <w:t xml:space="preserve"> Komisia navrhla </w:t>
      </w:r>
      <w:r>
        <w:rPr>
          <w:rFonts w:asciiTheme="majorHAnsi" w:hAnsiTheme="majorHAnsi"/>
          <w:b/>
          <w:noProof/>
          <w:spacing w:val="-4"/>
          <w:sz w:val="20"/>
        </w:rPr>
        <w:t>program</w:t>
      </w:r>
      <w:r>
        <w:rPr>
          <w:rFonts w:asciiTheme="majorHAnsi" w:hAnsiTheme="majorHAnsi"/>
          <w:noProof/>
          <w:spacing w:val="-4"/>
          <w:sz w:val="20"/>
        </w:rPr>
        <w:t xml:space="preserve"> „</w:t>
      </w:r>
      <w:r>
        <w:rPr>
          <w:rFonts w:asciiTheme="majorHAnsi" w:hAnsiTheme="majorHAnsi"/>
          <w:b/>
          <w:noProof/>
          <w:spacing w:val="-4"/>
          <w:sz w:val="20"/>
        </w:rPr>
        <w:t>Hercule</w:t>
      </w:r>
      <w:r>
        <w:rPr>
          <w:rFonts w:asciiTheme="majorHAnsi" w:hAnsiTheme="majorHAnsi"/>
          <w:noProof/>
          <w:spacing w:val="-4"/>
          <w:sz w:val="20"/>
        </w:rPr>
        <w:t xml:space="preserve">“ na podporu vzdelávacích aktivít, opatrení technickej pomoci a výmeny údajov. Program začal fungovať v roku </w:t>
      </w:r>
      <w:r>
        <w:rPr>
          <w:rFonts w:asciiTheme="majorHAnsi" w:hAnsiTheme="majorHAnsi"/>
          <w:b/>
          <w:noProof/>
          <w:spacing w:val="-4"/>
          <w:sz w:val="20"/>
        </w:rPr>
        <w:t>2004</w:t>
      </w:r>
      <w:r>
        <w:rPr>
          <w:rFonts w:asciiTheme="majorHAnsi" w:hAnsiTheme="majorHAnsi"/>
          <w:noProof/>
          <w:spacing w:val="-4"/>
          <w:sz w:val="20"/>
        </w:rPr>
        <w:t xml:space="preserve"> a jeho fungovanie bolo predĺžené v súlade s </w:t>
      </w:r>
      <w:r>
        <w:rPr>
          <w:rFonts w:asciiTheme="majorHAnsi" w:hAnsiTheme="majorHAnsi"/>
          <w:b/>
          <w:noProof/>
          <w:spacing w:val="-4"/>
          <w:sz w:val="20"/>
        </w:rPr>
        <w:t>viacročnými finančnými rámcami (VFR) na roky 2007 – 2013 a 2014 – 2020</w:t>
      </w:r>
      <w:r>
        <w:rPr>
          <w:rFonts w:asciiTheme="majorHAnsi" w:hAnsiTheme="majorHAnsi"/>
          <w:noProof/>
          <w:spacing w:val="-4"/>
          <w:sz w:val="20"/>
        </w:rPr>
        <w:t>.</w:t>
      </w:r>
    </w:p>
    <w:p>
      <w:pPr>
        <w:spacing w:before="0" w:after="160"/>
        <w:rPr>
          <w:rFonts w:asciiTheme="majorHAnsi" w:hAnsiTheme="majorHAnsi"/>
          <w:noProof/>
          <w:spacing w:val="-4"/>
          <w:sz w:val="20"/>
        </w:rPr>
      </w:pPr>
      <w:r>
        <w:rPr>
          <w:rFonts w:asciiTheme="majorHAnsi" w:hAnsiTheme="majorHAnsi"/>
          <w:noProof/>
          <w:spacing w:val="-4"/>
          <w:sz w:val="20"/>
        </w:rPr>
        <w:t xml:space="preserve">V roku </w:t>
      </w:r>
      <w:r>
        <w:rPr>
          <w:rFonts w:asciiTheme="majorHAnsi" w:hAnsiTheme="majorHAnsi"/>
          <w:b/>
          <w:noProof/>
          <w:spacing w:val="-4"/>
          <w:sz w:val="20"/>
        </w:rPr>
        <w:t>2006</w:t>
      </w:r>
      <w:r>
        <w:rPr>
          <w:rFonts w:asciiTheme="majorHAnsi" w:hAnsiTheme="majorHAnsi"/>
          <w:noProof/>
          <w:spacing w:val="-4"/>
          <w:sz w:val="20"/>
        </w:rPr>
        <w:t xml:space="preserve"> boli zavedené nové </w:t>
      </w:r>
      <w:r>
        <w:rPr>
          <w:rFonts w:asciiTheme="majorHAnsi" w:hAnsiTheme="majorHAnsi"/>
          <w:b/>
          <w:noProof/>
          <w:spacing w:val="-4"/>
          <w:sz w:val="20"/>
        </w:rPr>
        <w:t>rozpočtové pravidlá</w:t>
      </w:r>
      <w:r>
        <w:rPr>
          <w:rFonts w:asciiTheme="majorHAnsi" w:hAnsiTheme="majorHAnsi"/>
          <w:noProof/>
          <w:spacing w:val="-4"/>
          <w:sz w:val="20"/>
        </w:rPr>
        <w:t>, ktoré od vnútroštátnych správnych orgánov vyžadujú, aby zaviedli účinné systémy vnútornej kontroly a vykonávali potrebné kontroly prostriedkov EÚ, ktoré spravujú.</w:t>
      </w:r>
    </w:p>
    <w:p>
      <w:pPr>
        <w:spacing w:before="0" w:after="160"/>
        <w:rPr>
          <w:rFonts w:asciiTheme="majorHAnsi" w:hAnsiTheme="majorHAnsi"/>
          <w:noProof/>
          <w:spacing w:val="-4"/>
          <w:sz w:val="20"/>
        </w:rPr>
      </w:pPr>
      <w:r>
        <w:rPr>
          <w:rFonts w:asciiTheme="majorHAnsi" w:hAnsiTheme="majorHAnsi"/>
          <w:noProof/>
          <w:spacing w:val="-4"/>
          <w:sz w:val="20"/>
        </w:rPr>
        <w:t xml:space="preserve">Keďže OLAF zdokonalil svoje operačné skúsenosti a výsledky, Komisia v roku </w:t>
      </w:r>
      <w:r>
        <w:rPr>
          <w:rFonts w:asciiTheme="majorHAnsi" w:hAnsiTheme="majorHAnsi"/>
          <w:b/>
          <w:noProof/>
          <w:spacing w:val="-4"/>
          <w:sz w:val="20"/>
        </w:rPr>
        <w:t>2007</w:t>
      </w:r>
      <w:r>
        <w:rPr>
          <w:rFonts w:asciiTheme="majorHAnsi" w:hAnsiTheme="majorHAnsi"/>
          <w:noProof/>
          <w:spacing w:val="-4"/>
          <w:sz w:val="20"/>
        </w:rPr>
        <w:t xml:space="preserve"> prijala oznámenie s názvom „</w:t>
      </w:r>
      <w:r>
        <w:rPr>
          <w:rFonts w:asciiTheme="majorHAnsi" w:hAnsiTheme="majorHAnsi"/>
          <w:b/>
          <w:noProof/>
          <w:spacing w:val="-4"/>
          <w:sz w:val="20"/>
        </w:rPr>
        <w:t>Predchádzanie podvodom opierajúc sa o operatívne výsledky: dynamický prístup k zabezpečeniu proti podvodom</w:t>
      </w:r>
      <w:r>
        <w:rPr>
          <w:rFonts w:asciiTheme="majorHAnsi" w:hAnsiTheme="majorHAnsi"/>
          <w:noProof/>
          <w:spacing w:val="-4"/>
          <w:sz w:val="20"/>
        </w:rPr>
        <w:t>“ s cieľom integrovať odborné znalosti úradu OLAF do regulačného procesu. Zámerom bolo zistiť nedostatky v legislatívnych návrhoch, vo vykonávaní právnych predpisov EÚ a v systémoch riadenia a kontroly.</w:t>
      </w:r>
    </w:p>
    <w:p>
      <w:pPr>
        <w:pStyle w:val="Heading2"/>
        <w:tabs>
          <w:tab w:val="clear" w:pos="850"/>
          <w:tab w:val="num" w:pos="567"/>
        </w:tabs>
        <w:spacing w:before="0" w:after="240"/>
        <w:ind w:left="426" w:hanging="426"/>
        <w:rPr>
          <w:rFonts w:asciiTheme="majorHAnsi" w:hAnsiTheme="majorHAnsi"/>
          <w:noProof/>
          <w:color w:val="1F497D" w:themeColor="text2"/>
          <w:spacing w:val="-4"/>
          <w:sz w:val="20"/>
        </w:rPr>
      </w:pPr>
      <w:bookmarkStart w:id="5" w:name="_Toc22547295"/>
      <w:r>
        <w:rPr>
          <w:rFonts w:asciiTheme="majorHAnsi" w:hAnsiTheme="majorHAnsi"/>
          <w:noProof/>
          <w:color w:val="1F497D" w:themeColor="text2"/>
          <w:spacing w:val="-4"/>
          <w:sz w:val="20"/>
        </w:rPr>
        <w:t>Tretie desaťročie (2009 – 2018): reformy a nový skok vpred</w:t>
      </w:r>
      <w:bookmarkEnd w:id="5"/>
    </w:p>
    <w:p>
      <w:pPr>
        <w:spacing w:before="0" w:after="160"/>
        <w:rPr>
          <w:rFonts w:asciiTheme="majorHAnsi" w:hAnsiTheme="majorHAnsi"/>
          <w:noProof/>
          <w:spacing w:val="-4"/>
          <w:sz w:val="20"/>
        </w:rPr>
      </w:pPr>
      <w:r>
        <w:rPr>
          <w:rFonts w:asciiTheme="majorHAnsi" w:hAnsiTheme="majorHAnsi"/>
          <w:noProof/>
          <w:spacing w:val="-4"/>
          <w:sz w:val="20"/>
        </w:rPr>
        <w:t>Počas tretieho desaťročia počet a význam opatrení prijatých na úrovni EÚ poskytol nový impulz boju proti podvodom vo všetkých oblastiach súvisiacich s rozpočtom EÚ.</w:t>
      </w:r>
    </w:p>
    <w:p>
      <w:pPr>
        <w:spacing w:before="0" w:after="160"/>
        <w:rPr>
          <w:rFonts w:asciiTheme="majorHAnsi" w:hAnsiTheme="majorHAnsi"/>
          <w:noProof/>
          <w:spacing w:val="-4"/>
          <w:sz w:val="20"/>
        </w:rPr>
      </w:pPr>
      <w:r>
        <w:rPr>
          <w:rFonts w:asciiTheme="majorHAnsi" w:hAnsiTheme="majorHAnsi"/>
          <w:noProof/>
          <w:spacing w:val="-4"/>
          <w:sz w:val="20"/>
        </w:rPr>
        <w:t>V nadväznosti na úspechy predchádzajúcich 20 rokov sa v tomto desaťročí realizovali ambiciózne iniciatívy, ktoré v nadchádzajúcich rokoch pozdvihnú ochranu finančných záujmov EÚ na novú úroveň.</w:t>
      </w:r>
    </w:p>
    <w:p>
      <w:pPr>
        <w:spacing w:before="0" w:after="160"/>
        <w:rPr>
          <w:rFonts w:asciiTheme="majorHAnsi" w:hAnsiTheme="majorHAnsi"/>
          <w:noProof/>
          <w:spacing w:val="-4"/>
          <w:sz w:val="20"/>
        </w:rPr>
      </w:pPr>
      <w:r>
        <w:rPr>
          <w:rFonts w:asciiTheme="majorHAnsi" w:hAnsiTheme="majorHAnsi"/>
          <w:noProof/>
          <w:spacing w:val="-4"/>
          <w:sz w:val="20"/>
        </w:rPr>
        <w:t>Hoci najvýznamnejšími úspechmi sú legislatívne akty, operatívne opatrenia v súlade so Zmluvou o EÚ takisto priniesli významný pokrok, pokiaľ ide o spoluprácu medzi členskými štátmi a Komisiou a úradom OLAF. V dôsledku tohto neustáleho zlepšovania EDA v tomto desaťročí predložil kvalifikované stanovisko k rozpočtu EÚ na roky 2016 a 2017.</w:t>
      </w:r>
    </w:p>
    <w:p>
      <w:pPr>
        <w:spacing w:before="0" w:after="160"/>
        <w:rPr>
          <w:rFonts w:asciiTheme="majorHAnsi" w:hAnsiTheme="majorHAnsi"/>
          <w:noProof/>
          <w:spacing w:val="-4"/>
          <w:sz w:val="20"/>
        </w:rPr>
      </w:pPr>
      <w:r>
        <w:rPr>
          <w:rFonts w:asciiTheme="majorHAnsi" w:hAnsiTheme="majorHAnsi"/>
          <w:noProof/>
          <w:spacing w:val="-4"/>
          <w:sz w:val="20"/>
        </w:rPr>
        <w:t xml:space="preserve">V roku </w:t>
      </w:r>
      <w:r>
        <w:rPr>
          <w:rFonts w:asciiTheme="majorHAnsi" w:hAnsiTheme="majorHAnsi"/>
          <w:b/>
          <w:noProof/>
          <w:spacing w:val="-4"/>
          <w:sz w:val="20"/>
        </w:rPr>
        <w:t>2009</w:t>
      </w:r>
      <w:r>
        <w:rPr>
          <w:rFonts w:asciiTheme="majorHAnsi" w:hAnsiTheme="majorHAnsi"/>
          <w:noProof/>
          <w:spacing w:val="-4"/>
          <w:sz w:val="20"/>
        </w:rPr>
        <w:t xml:space="preserve"> bola v colnej oblasti do prevádzky uvedená nová databáza (</w:t>
      </w:r>
      <w:r>
        <w:rPr>
          <w:rFonts w:asciiTheme="majorHAnsi" w:hAnsiTheme="majorHAnsi"/>
          <w:b/>
          <w:noProof/>
          <w:spacing w:val="-4"/>
          <w:sz w:val="20"/>
        </w:rPr>
        <w:t>FIDE</w:t>
      </w:r>
      <w:r>
        <w:rPr>
          <w:rFonts w:asciiTheme="majorHAnsi" w:hAnsiTheme="majorHAnsi"/>
          <w:noProof/>
          <w:spacing w:val="-4"/>
          <w:sz w:val="20"/>
        </w:rPr>
        <w:t xml:space="preserve">) a spustila sa </w:t>
      </w:r>
      <w:r>
        <w:rPr>
          <w:rFonts w:asciiTheme="majorHAnsi" w:hAnsiTheme="majorHAnsi"/>
          <w:b/>
          <w:noProof/>
          <w:spacing w:val="-4"/>
          <w:sz w:val="20"/>
        </w:rPr>
        <w:t>spoločná colná operácia</w:t>
      </w:r>
      <w:r>
        <w:rPr>
          <w:rFonts w:asciiTheme="majorHAnsi" w:hAnsiTheme="majorHAnsi"/>
          <w:noProof/>
          <w:spacing w:val="-4"/>
          <w:sz w:val="20"/>
        </w:rPr>
        <w:t xml:space="preserve"> (JCO) Diabolo II, ktorá predstavuje vynikajúci model pre budúcu spoluprácu v colnej oblasti. Podieľali sa na nej všetci partneri procesu ASEM (stretnutie Ázia – Európa), ktorých koordinoval úrad OLAF s podporou Europolu a Interpolu.</w:t>
      </w:r>
    </w:p>
    <w:p>
      <w:pPr>
        <w:spacing w:before="0" w:after="240"/>
        <w:rPr>
          <w:rFonts w:asciiTheme="majorHAnsi" w:hAnsiTheme="majorHAnsi"/>
          <w:noProof/>
          <w:spacing w:val="-4"/>
          <w:sz w:val="20"/>
        </w:rPr>
        <w:sectPr>
          <w:headerReference w:type="even" r:id="rId48"/>
          <w:headerReference w:type="default" r:id="rId49"/>
          <w:footerReference w:type="even" r:id="rId50"/>
          <w:footerReference w:type="default" r:id="rId51"/>
          <w:headerReference w:type="first" r:id="rId52"/>
          <w:footerReference w:type="first" r:id="rId53"/>
          <w:type w:val="continuous"/>
          <w:pgSz w:w="11907" w:h="16839"/>
          <w:pgMar w:top="1134" w:right="1417" w:bottom="1134" w:left="1417" w:header="709" w:footer="709" w:gutter="0"/>
          <w:cols w:num="2" w:space="283"/>
          <w:docGrid w:linePitch="360"/>
        </w:sectPr>
      </w:pPr>
      <w:r>
        <w:rPr>
          <w:rFonts w:asciiTheme="majorHAnsi" w:hAnsiTheme="majorHAnsi"/>
          <w:noProof/>
          <w:spacing w:val="-4"/>
          <w:sz w:val="20"/>
        </w:rPr>
        <w:t>Koncom roka nadobudla platnosť Lisabonská zmluva. Medzi mnohými významnými zmenami, ktoré priniesla, bolo zavŕšenie procesu integrácie do systému Únie v priestore slobody, bezpečnosti a spravodlivosti (t. j. policajná a justičná spolupráca v trestných veciach) a stanovenie možnosti zriadenia Európskej prokuratúry.</w:t>
      </w:r>
      <w:r>
        <w:rPr>
          <w:rFonts w:asciiTheme="majorHAnsi" w:hAnsiTheme="majorHAnsi"/>
          <w:noProof/>
          <w:spacing w:val="-4"/>
          <w:sz w:val="20"/>
        </w:rPr>
        <w:tab/>
      </w:r>
    </w:p>
    <w:p>
      <w:pPr>
        <w:spacing w:before="0" w:after="240"/>
        <w:rPr>
          <w:rFonts w:asciiTheme="majorHAnsi" w:hAnsiTheme="majorHAnsi"/>
          <w:noProof/>
          <w:spacing w:val="-4"/>
          <w:sz w:val="20"/>
        </w:rPr>
        <w:sectPr>
          <w:headerReference w:type="even" r:id="rId54"/>
          <w:headerReference w:type="default" r:id="rId55"/>
          <w:footerReference w:type="even" r:id="rId56"/>
          <w:footerReference w:type="default" r:id="rId57"/>
          <w:headerReference w:type="first" r:id="rId58"/>
          <w:footerReference w:type="first" r:id="rId59"/>
          <w:type w:val="continuous"/>
          <w:pgSz w:w="11907" w:h="16839"/>
          <w:pgMar w:top="1134" w:right="1417" w:bottom="1134" w:left="1417" w:header="709" w:footer="709" w:gutter="0"/>
          <w:cols w:space="283"/>
          <w:docGrid w:linePitch="360"/>
        </w:sectPr>
      </w:pPr>
      <w:r>
        <w:rPr>
          <w:rFonts w:asciiTheme="majorHAnsi" w:hAnsiTheme="majorHAnsi"/>
          <w:noProof/>
          <w:spacing w:val="-4"/>
          <w:sz w:val="20"/>
          <w:lang w:val="en-GB" w:eastAsia="en-GB"/>
        </w:rPr>
        <w:drawing>
          <wp:inline distT="0" distB="0" distL="0" distR="0">
            <wp:extent cx="5752465" cy="2852420"/>
            <wp:effectExtent l="0" t="0" r="635"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52465" cy="2852420"/>
                    </a:xfrm>
                    <a:prstGeom prst="rect">
                      <a:avLst/>
                    </a:prstGeom>
                    <a:noFill/>
                    <a:ln>
                      <a:noFill/>
                    </a:ln>
                  </pic:spPr>
                </pic:pic>
              </a:graphicData>
            </a:graphic>
          </wp:inline>
        </w:drawing>
      </w:r>
    </w:p>
    <w:p>
      <w:pPr>
        <w:spacing w:before="0" w:after="160"/>
        <w:rPr>
          <w:rFonts w:asciiTheme="majorHAnsi" w:hAnsiTheme="majorHAnsi"/>
          <w:b/>
          <w:noProof/>
          <w:spacing w:val="-4"/>
          <w:sz w:val="20"/>
        </w:rPr>
      </w:pPr>
      <w:r>
        <w:rPr>
          <w:rFonts w:asciiTheme="majorHAnsi" w:hAnsiTheme="majorHAnsi"/>
          <w:noProof/>
          <w:spacing w:val="-4"/>
          <w:sz w:val="20"/>
        </w:rPr>
        <w:t xml:space="preserve">V roku </w:t>
      </w:r>
      <w:r>
        <w:rPr>
          <w:rFonts w:asciiTheme="majorHAnsi" w:hAnsiTheme="majorHAnsi"/>
          <w:b/>
          <w:noProof/>
          <w:spacing w:val="-4"/>
          <w:sz w:val="20"/>
        </w:rPr>
        <w:t>2011</w:t>
      </w:r>
      <w:r>
        <w:rPr>
          <w:rFonts w:asciiTheme="majorHAnsi" w:hAnsiTheme="majorHAnsi"/>
          <w:noProof/>
          <w:spacing w:val="-4"/>
          <w:sz w:val="20"/>
        </w:rPr>
        <w:t xml:space="preserve"> Komisia prijala ambicióznu </w:t>
      </w:r>
      <w:r>
        <w:rPr>
          <w:rFonts w:asciiTheme="majorHAnsi" w:hAnsiTheme="majorHAnsi"/>
          <w:b/>
          <w:noProof/>
          <w:spacing w:val="-4"/>
          <w:sz w:val="20"/>
        </w:rPr>
        <w:t>stratégiu boja proti podvodom</w:t>
      </w:r>
      <w:r>
        <w:rPr>
          <w:rFonts w:asciiTheme="majorHAnsi" w:hAnsiTheme="majorHAnsi"/>
          <w:noProof/>
          <w:spacing w:val="-4"/>
          <w:sz w:val="20"/>
        </w:rPr>
        <w:t xml:space="preserve"> a akčný plán na boj proti pašovaniu cigariet a alkoholu pozdĺž východnej hranice EÚ. V roku </w:t>
      </w:r>
      <w:r>
        <w:rPr>
          <w:rFonts w:asciiTheme="majorHAnsi" w:hAnsiTheme="majorHAnsi"/>
          <w:b/>
          <w:noProof/>
          <w:spacing w:val="-4"/>
          <w:sz w:val="20"/>
        </w:rPr>
        <w:t>2012</w:t>
      </w:r>
      <w:r>
        <w:rPr>
          <w:rFonts w:asciiTheme="majorHAnsi" w:hAnsiTheme="majorHAnsi"/>
          <w:noProof/>
          <w:spacing w:val="-4"/>
          <w:sz w:val="20"/>
        </w:rPr>
        <w:t xml:space="preserve"> predstavila svoje plány na </w:t>
      </w:r>
      <w:r>
        <w:rPr>
          <w:rFonts w:asciiTheme="majorHAnsi" w:hAnsiTheme="majorHAnsi"/>
          <w:b/>
          <w:noProof/>
          <w:spacing w:val="-4"/>
          <w:sz w:val="20"/>
        </w:rPr>
        <w:t>boj proti daňovým podvodom a daňovým únikom</w:t>
      </w:r>
      <w:r>
        <w:rPr>
          <w:rFonts w:asciiTheme="majorHAnsi" w:hAnsiTheme="majorHAnsi"/>
          <w:noProof/>
          <w:spacing w:val="-4"/>
          <w:sz w:val="20"/>
        </w:rPr>
        <w:t>.</w:t>
      </w:r>
    </w:p>
    <w:p>
      <w:pPr>
        <w:spacing w:before="0" w:after="160"/>
        <w:rPr>
          <w:rFonts w:asciiTheme="majorHAnsi" w:hAnsiTheme="majorHAnsi"/>
          <w:noProof/>
          <w:spacing w:val="-4"/>
          <w:sz w:val="20"/>
        </w:rPr>
      </w:pPr>
      <w:r>
        <w:rPr>
          <w:rFonts w:asciiTheme="majorHAnsi" w:hAnsiTheme="majorHAnsi"/>
          <w:noProof/>
          <w:spacing w:val="-4"/>
          <w:sz w:val="20"/>
        </w:rPr>
        <w:t xml:space="preserve">Rok </w:t>
      </w:r>
      <w:r>
        <w:rPr>
          <w:rFonts w:asciiTheme="majorHAnsi" w:hAnsiTheme="majorHAnsi"/>
          <w:b/>
          <w:noProof/>
          <w:spacing w:val="-4"/>
          <w:sz w:val="20"/>
        </w:rPr>
        <w:t>2013</w:t>
      </w:r>
      <w:r>
        <w:rPr>
          <w:rFonts w:asciiTheme="majorHAnsi" w:hAnsiTheme="majorHAnsi"/>
          <w:noProof/>
          <w:spacing w:val="-4"/>
          <w:sz w:val="20"/>
        </w:rPr>
        <w:t xml:space="preserve"> priniesol výrazný pokrok v ochrane finančných záujmov EÚ. V súlade s cieľmi stanovenými v stratégii Komisie pre boj proti podvodom sa do výdavkových programov VFR na roky 2014 – 2020 zaviedli osobitné ustanovenia o boji proti podvodom, ktoré od riadiacich orgánov vyžadujú prijatie účinných a primeraných opatrení proti podvodom. Nariadením (EÚ) č. 883/2013 sa opätovne vymedzili </w:t>
      </w:r>
      <w:r>
        <w:rPr>
          <w:rFonts w:asciiTheme="majorHAnsi" w:hAnsiTheme="majorHAnsi"/>
          <w:b/>
          <w:noProof/>
          <w:spacing w:val="-4"/>
          <w:sz w:val="20"/>
        </w:rPr>
        <w:t>vyšetrovania vedené úradom OLAF</w:t>
      </w:r>
      <w:r>
        <w:rPr>
          <w:rFonts w:asciiTheme="majorHAnsi" w:hAnsiTheme="majorHAnsi"/>
          <w:noProof/>
          <w:spacing w:val="-4"/>
          <w:sz w:val="20"/>
        </w:rPr>
        <w:t xml:space="preserve">, posilnili sa procesné záruky pre dotknutých jednotlivcov a všetkým členským štátom sa uložila povinnosť, aby určili útvar AFCOS s cieľom uľahčiť účinnú spoluprácu a výmenu informácií s úradom. </w:t>
      </w:r>
      <w:r>
        <w:rPr>
          <w:rFonts w:asciiTheme="majorHAnsi" w:hAnsiTheme="majorHAnsi"/>
          <w:b/>
          <w:noProof/>
          <w:spacing w:val="-4"/>
          <w:sz w:val="20"/>
        </w:rPr>
        <w:t>Protokol k Rámcovému dohovoru o kontrole tabaku (RDKT)</w:t>
      </w:r>
      <w:r>
        <w:rPr>
          <w:rFonts w:asciiTheme="majorHAnsi" w:hAnsiTheme="majorHAnsi"/>
          <w:noProof/>
          <w:spacing w:val="-4"/>
          <w:sz w:val="20"/>
        </w:rPr>
        <w:t xml:space="preserve"> proti nezákonnému obchodu s tabakovými výrobkami podpísalo 54 strán vrátane EÚ. Komisia tiež prijala oznámenie o </w:t>
      </w:r>
      <w:r>
        <w:rPr>
          <w:rFonts w:asciiTheme="majorHAnsi" w:hAnsiTheme="majorHAnsi"/>
          <w:b/>
          <w:noProof/>
          <w:spacing w:val="-4"/>
          <w:sz w:val="20"/>
        </w:rPr>
        <w:t>boji proti pašovaniu tabaku</w:t>
      </w:r>
      <w:r>
        <w:rPr>
          <w:rFonts w:asciiTheme="majorHAnsi" w:hAnsiTheme="majorHAnsi"/>
          <w:noProof/>
          <w:spacing w:val="-4"/>
          <w:sz w:val="20"/>
        </w:rPr>
        <w:t xml:space="preserve"> a akčný plán.</w:t>
      </w:r>
    </w:p>
    <w:p>
      <w:pPr>
        <w:spacing w:before="0" w:after="160"/>
        <w:rPr>
          <w:rFonts w:asciiTheme="majorHAnsi" w:hAnsiTheme="majorHAnsi"/>
          <w:noProof/>
          <w:spacing w:val="-4"/>
          <w:sz w:val="20"/>
        </w:rPr>
      </w:pPr>
      <w:r>
        <w:rPr>
          <w:rFonts w:asciiTheme="majorHAnsi" w:hAnsiTheme="majorHAnsi"/>
          <w:noProof/>
          <w:spacing w:val="-4"/>
          <w:sz w:val="20"/>
        </w:rPr>
        <w:t xml:space="preserve">Legislatívny balík stanovený v stratégii Komisie pre boj proti podvodom bol dokončený v roku </w:t>
      </w:r>
      <w:r>
        <w:rPr>
          <w:rFonts w:asciiTheme="majorHAnsi" w:hAnsiTheme="majorHAnsi"/>
          <w:b/>
          <w:noProof/>
          <w:spacing w:val="-4"/>
          <w:sz w:val="20"/>
        </w:rPr>
        <w:t>2014</w:t>
      </w:r>
      <w:r>
        <w:rPr>
          <w:rFonts w:asciiTheme="majorHAnsi" w:hAnsiTheme="majorHAnsi"/>
          <w:noProof/>
          <w:spacing w:val="-4"/>
          <w:sz w:val="20"/>
        </w:rPr>
        <w:t xml:space="preserve"> prijatím revidovaných smerníc o verejnom obstarávaní a verejnoprospešných službách a novej smernice o koncesiách. Všetky prioritné akcie stratégie Komisie pre boj proti podvodom boli dokončené v priebehu toho istého roku.</w:t>
      </w:r>
    </w:p>
    <w:p>
      <w:pPr>
        <w:spacing w:before="0"/>
        <w:rPr>
          <w:rFonts w:asciiTheme="majorHAnsi" w:hAnsiTheme="majorHAnsi"/>
          <w:noProof/>
          <w:spacing w:val="-4"/>
          <w:sz w:val="20"/>
        </w:rPr>
      </w:pPr>
      <w:r>
        <w:rPr>
          <w:rFonts w:asciiTheme="majorHAnsi" w:hAnsiTheme="majorHAnsi"/>
          <w:noProof/>
          <w:spacing w:val="-4"/>
          <w:sz w:val="20"/>
        </w:rPr>
        <w:t>Táto dynamika pokračovala aj počas pôsobenia Junckerovej Komisie a na konci desaťročia boli konečne prijaté dva významné a dlho očakávané legislatívne akty na posilnenie trestnoprávnej ochrany rozpočtu EÚ: smernica o </w:t>
      </w:r>
      <w:r>
        <w:rPr>
          <w:rFonts w:asciiTheme="majorHAnsi" w:hAnsiTheme="majorHAnsi"/>
          <w:b/>
          <w:noProof/>
          <w:spacing w:val="-4"/>
          <w:sz w:val="20"/>
        </w:rPr>
        <w:t>boji proti podvodom, ktoré poškodzujú finančné záujmy Únie, prostredníctvom trestného práva</w:t>
      </w:r>
      <w:r>
        <w:rPr>
          <w:rFonts w:asciiTheme="majorHAnsi" w:hAnsiTheme="majorHAnsi"/>
          <w:noProof/>
          <w:spacing w:val="-4"/>
          <w:sz w:val="20"/>
        </w:rPr>
        <w:t xml:space="preserve"> (ďalej len „smernica o ochrane finančných záujmov“)</w:t>
      </w:r>
      <w:r>
        <w:rPr>
          <w:rStyle w:val="FootnoteReference"/>
          <w:rFonts w:asciiTheme="majorHAnsi" w:hAnsiTheme="majorHAnsi"/>
          <w:noProof/>
          <w:spacing w:val="-4"/>
          <w:sz w:val="20"/>
        </w:rPr>
        <w:footnoteReference w:id="4"/>
      </w:r>
      <w:r>
        <w:rPr>
          <w:rFonts w:asciiTheme="majorHAnsi" w:hAnsiTheme="majorHAnsi"/>
          <w:noProof/>
          <w:spacing w:val="-4"/>
          <w:sz w:val="20"/>
        </w:rPr>
        <w:t xml:space="preserve">, a nariadenie, ktorým sa vykonáva posilnená spolupráca na účely zriadenia </w:t>
      </w:r>
      <w:r>
        <w:rPr>
          <w:rFonts w:asciiTheme="majorHAnsi" w:hAnsiTheme="majorHAnsi"/>
          <w:b/>
          <w:noProof/>
          <w:spacing w:val="-4"/>
          <w:sz w:val="20"/>
        </w:rPr>
        <w:t>Európskej prokuratúry</w:t>
      </w:r>
      <w:r>
        <w:rPr>
          <w:rStyle w:val="FootnoteReference"/>
          <w:rFonts w:asciiTheme="majorHAnsi" w:eastAsiaTheme="minorHAnsi" w:hAnsiTheme="majorHAnsi"/>
          <w:noProof/>
          <w:spacing w:val="-4"/>
          <w:sz w:val="20"/>
        </w:rPr>
        <w:footnoteReference w:id="5"/>
      </w:r>
      <w:r>
        <w:rPr>
          <w:rFonts w:asciiTheme="majorHAnsi" w:hAnsiTheme="majorHAnsi"/>
          <w:noProof/>
          <w:spacing w:val="-4"/>
          <w:sz w:val="20"/>
        </w:rPr>
        <w:t>.</w:t>
      </w:r>
    </w:p>
    <w:p>
      <w:pPr>
        <w:spacing w:before="0"/>
        <w:rPr>
          <w:rFonts w:asciiTheme="majorHAnsi" w:hAnsiTheme="majorHAnsi"/>
          <w:noProof/>
          <w:spacing w:val="-4"/>
          <w:sz w:val="20"/>
        </w:rPr>
      </w:pPr>
      <w:r>
        <w:rPr>
          <w:rFonts w:asciiTheme="majorHAnsi" w:hAnsiTheme="majorHAnsi"/>
          <w:noProof/>
          <w:spacing w:val="-4"/>
          <w:sz w:val="20"/>
        </w:rPr>
        <w:t>V roku 2017 Komisia zrevidovala svoj rámec vnútornej kontroly</w:t>
      </w:r>
      <w:r>
        <w:rPr>
          <w:rStyle w:val="FootnoteReference"/>
          <w:rFonts w:asciiTheme="majorHAnsi" w:hAnsiTheme="majorHAnsi"/>
          <w:noProof/>
          <w:spacing w:val="-4"/>
          <w:sz w:val="20"/>
        </w:rPr>
        <w:footnoteReference w:id="6"/>
      </w:r>
      <w:r>
        <w:rPr>
          <w:rFonts w:asciiTheme="majorHAnsi" w:hAnsiTheme="majorHAnsi"/>
          <w:noProof/>
          <w:spacing w:val="-4"/>
          <w:sz w:val="20"/>
        </w:rPr>
        <w:t xml:space="preserve"> s cieľom zabezpečiť, aby všetky zložky vrátane zložky, ktorá bojuje proti podvodom, boli prítomné a účinné na všetkých úrovniach organizácie.</w:t>
      </w:r>
    </w:p>
    <w:p>
      <w:pPr>
        <w:spacing w:before="0" w:after="240"/>
        <w:rPr>
          <w:rFonts w:asciiTheme="majorHAnsi" w:hAnsiTheme="majorHAnsi"/>
          <w:noProof/>
          <w:spacing w:val="-4"/>
          <w:sz w:val="20"/>
        </w:rPr>
      </w:pPr>
      <w:r>
        <w:rPr>
          <w:rFonts w:asciiTheme="majorHAnsi" w:hAnsiTheme="majorHAnsi"/>
          <w:noProof/>
          <w:spacing w:val="-4"/>
          <w:sz w:val="20"/>
        </w:rPr>
        <w:t>Ďalšie kapitoly tejto správy sa zameriavajú na pokrok dosiahnutý v roku 2018.</w:t>
      </w:r>
    </w:p>
    <w:p>
      <w:pPr>
        <w:pStyle w:val="Heading1"/>
        <w:tabs>
          <w:tab w:val="clear" w:pos="1570"/>
          <w:tab w:val="num" w:pos="567"/>
        </w:tabs>
        <w:spacing w:before="0" w:after="240"/>
        <w:ind w:left="426" w:hanging="426"/>
        <w:rPr>
          <w:rFonts w:asciiTheme="majorHAnsi" w:hAnsiTheme="majorHAnsi"/>
          <w:noProof/>
          <w:color w:val="1F497D" w:themeColor="text2"/>
          <w:spacing w:val="-4"/>
          <w:sz w:val="20"/>
        </w:rPr>
      </w:pPr>
      <w:bookmarkStart w:id="6" w:name="_Toc22547296"/>
      <w:r>
        <w:rPr>
          <w:rFonts w:asciiTheme="majorHAnsi" w:hAnsiTheme="majorHAnsi"/>
          <w:noProof/>
          <w:color w:val="1F497D" w:themeColor="text2"/>
          <w:spacing w:val="-4"/>
          <w:sz w:val="20"/>
        </w:rPr>
        <w:t>Harmonizácia a posilnenie boja proti podvodom v celej EÚ: prierezové politiky a opatrenia na boj proti podvodom a ich výsledky v roku 2018</w:t>
      </w:r>
      <w:bookmarkEnd w:id="6"/>
    </w:p>
    <w:p>
      <w:pPr>
        <w:pStyle w:val="Heading2"/>
        <w:tabs>
          <w:tab w:val="clear" w:pos="850"/>
          <w:tab w:val="num" w:pos="567"/>
        </w:tabs>
        <w:spacing w:before="0" w:after="240"/>
        <w:ind w:left="426" w:hanging="426"/>
        <w:rPr>
          <w:rFonts w:asciiTheme="majorHAnsi" w:hAnsiTheme="majorHAnsi"/>
          <w:noProof/>
          <w:color w:val="1F497D" w:themeColor="text2"/>
          <w:spacing w:val="-4"/>
          <w:sz w:val="20"/>
        </w:rPr>
      </w:pPr>
      <w:bookmarkStart w:id="7" w:name="_Toc22547297"/>
      <w:r>
        <w:rPr>
          <w:rFonts w:asciiTheme="majorHAnsi" w:hAnsiTheme="majorHAnsi"/>
          <w:noProof/>
          <w:color w:val="1F497D" w:themeColor="text2"/>
          <w:spacing w:val="-4"/>
          <w:sz w:val="20"/>
        </w:rPr>
        <w:t>Legislatívne akty prijaté inštitúciami EÚ</w:t>
      </w:r>
      <w:bookmarkEnd w:id="7"/>
    </w:p>
    <w:p>
      <w:pPr>
        <w:pStyle w:val="Heading3"/>
        <w:tabs>
          <w:tab w:val="num" w:pos="567"/>
        </w:tabs>
        <w:ind w:left="567" w:hanging="567"/>
        <w:rPr>
          <w:rFonts w:asciiTheme="majorHAnsi" w:hAnsiTheme="majorHAnsi"/>
          <w:noProof/>
          <w:color w:val="1F497D" w:themeColor="text2"/>
          <w:spacing w:val="-4"/>
          <w:sz w:val="20"/>
        </w:rPr>
      </w:pPr>
      <w:bookmarkStart w:id="8" w:name="_Toc22547298"/>
      <w:r>
        <w:rPr>
          <w:rFonts w:asciiTheme="majorHAnsi" w:hAnsiTheme="majorHAnsi"/>
          <w:noProof/>
          <w:color w:val="1F497D" w:themeColor="text2"/>
          <w:spacing w:val="-4"/>
          <w:sz w:val="20"/>
        </w:rPr>
        <w:t>Nariadenie, ktorým sa vykonáva posilnená spolupráca na účely zriadenia Európskej prokuratúry: súčasný stav</w:t>
      </w:r>
      <w:bookmarkEnd w:id="8"/>
    </w:p>
    <w:p>
      <w:pPr>
        <w:spacing w:before="0" w:after="240"/>
        <w:rPr>
          <w:rFonts w:asciiTheme="majorHAnsi" w:hAnsiTheme="majorHAnsi"/>
          <w:noProof/>
          <w:spacing w:val="-4"/>
          <w:sz w:val="20"/>
        </w:rPr>
      </w:pPr>
      <w:r>
        <w:rPr>
          <w:rFonts w:asciiTheme="majorHAnsi" w:hAnsiTheme="majorHAnsi"/>
          <w:noProof/>
          <w:spacing w:val="-4"/>
          <w:sz w:val="20"/>
        </w:rPr>
        <w:t>Po prijatí nariadenia o Európskej prokuratúre Holandsko a Malta v auguste 2018 potvrdili svoje členstvo v Európskej prokuratúre, čím sa celkový počet zúčastnených členských štátov zvýšil na 22. Európska prokuratúra bude zodpovedná za vyšetrovanie, stíhanie a odsudzovanie trestných činov, ktoré poškodzujú finančné záujmy EÚ, ako sa vymedzuje v smernici o ochrane finančných záujmov.</w:t>
      </w:r>
    </w:p>
    <w:p>
      <w:pPr>
        <w:spacing w:before="0" w:after="240"/>
        <w:rPr>
          <w:rFonts w:asciiTheme="majorHAnsi" w:hAnsiTheme="majorHAnsi"/>
          <w:noProof/>
          <w:spacing w:val="-4"/>
          <w:sz w:val="20"/>
        </w:rPr>
      </w:pPr>
      <w:r>
        <w:rPr>
          <w:rFonts w:asciiTheme="majorHAnsi" w:hAnsiTheme="majorHAnsi"/>
          <w:noProof/>
          <w:spacing w:val="-4"/>
          <w:sz w:val="20"/>
        </w:rPr>
        <w:t>Očakáva sa, že Európska prokuratúra začne svoju činnosť ku koncu roka 2020, a to po uplynutí obdobia najmenej troch rokov stanoveného v nariadení o Európskej prokuratúre. Zriadenie Európskej prokuratúry je prioritou Komisie a tento proces je v pokročilom štádiu.</w:t>
      </w:r>
    </w:p>
    <w:p>
      <w:pPr>
        <w:spacing w:before="0" w:after="240"/>
        <w:rPr>
          <w:rFonts w:asciiTheme="majorHAnsi" w:hAnsiTheme="majorHAnsi"/>
          <w:noProof/>
          <w:spacing w:val="-4"/>
          <w:sz w:val="20"/>
        </w:rPr>
      </w:pPr>
      <w:r>
        <w:rPr>
          <w:rFonts w:asciiTheme="majorHAnsi" w:hAnsiTheme="majorHAnsi"/>
          <w:noProof/>
          <w:spacing w:val="-4"/>
          <w:sz w:val="20"/>
        </w:rPr>
        <w:t>V roku 2018 Komisia vymenovala dočasného administratívneho riaditeľa zodpovedného za administratívne a rozpočtové záležitosti. Zároveň začal prebiehať nábor na pozíciu európskeho hlavného prokurátora a európskych prokurátorov. Komisia vyzvala členské štáty, aby do konca marca 2019 navrhli svojich kandidátov na pozíciu európskeho prokurátora.</w:t>
      </w:r>
    </w:p>
    <w:p>
      <w:pPr>
        <w:spacing w:before="0" w:after="240"/>
        <w:rPr>
          <w:rFonts w:asciiTheme="majorHAnsi" w:hAnsiTheme="majorHAnsi"/>
          <w:noProof/>
          <w:spacing w:val="-4"/>
          <w:sz w:val="20"/>
        </w:rPr>
      </w:pPr>
      <w:r>
        <w:rPr>
          <w:rFonts w:asciiTheme="majorHAnsi" w:hAnsiTheme="majorHAnsi"/>
          <w:noProof/>
          <w:spacing w:val="-4"/>
          <w:sz w:val="20"/>
        </w:rPr>
        <w:t>Počas tohto procesu sa so zúčastnenými členskými štátmi vedú konzultácie prostredníctvom skupiny odborníkov, ktorá bola zriadená v súlade s nariadením o Európskej prokuratúre.</w:t>
      </w:r>
    </w:p>
    <w:p>
      <w:pPr>
        <w:pStyle w:val="Heading3"/>
        <w:tabs>
          <w:tab w:val="num" w:pos="567"/>
        </w:tabs>
        <w:ind w:left="567" w:hanging="567"/>
        <w:rPr>
          <w:rFonts w:asciiTheme="majorHAnsi" w:hAnsiTheme="majorHAnsi"/>
          <w:noProof/>
          <w:color w:val="1F497D" w:themeColor="text2"/>
          <w:spacing w:val="-4"/>
          <w:sz w:val="20"/>
        </w:rPr>
      </w:pPr>
      <w:bookmarkStart w:id="9" w:name="_Toc22547299"/>
      <w:r>
        <w:rPr>
          <w:rFonts w:asciiTheme="majorHAnsi" w:hAnsiTheme="majorHAnsi"/>
          <w:noProof/>
          <w:color w:val="1F497D" w:themeColor="text2"/>
          <w:spacing w:val="-4"/>
          <w:sz w:val="20"/>
        </w:rPr>
        <w:t>Súhrnné nariadenie</w:t>
      </w:r>
      <w:bookmarkEnd w:id="9"/>
    </w:p>
    <w:p>
      <w:pPr>
        <w:rPr>
          <w:rFonts w:ascii="Cambria" w:eastAsia="Calibri" w:hAnsi="Cambria"/>
          <w:noProof/>
          <w:spacing w:val="-4"/>
          <w:sz w:val="20"/>
        </w:rPr>
      </w:pPr>
      <w:r>
        <w:rPr>
          <w:rFonts w:ascii="Cambria" w:hAnsi="Cambria"/>
          <w:noProof/>
          <w:spacing w:val="-4"/>
          <w:sz w:val="20"/>
        </w:rPr>
        <w:t>Nariadenie (EÚ, Euratom) 2018/1046, tzv. súhrnné nariadenie, bolo prijaté 18. júla 2018. Súhrnným nariadením sa mení súčasné nariadenie o rozpočtových pravidlách, v ktorom sa stanovuje celkový rámec pre riadenie rozpočtu, ako aj niekoľko aktov, ktorými sa riadia viacročné programy EÚ v rôznych oblastiach vrátane politiky súdržnosti. Súhrnným nariadením sa teda revidujú rozpočtové pravidlá EÚ s cieľom zjednodušiť ich a zabezpečiť, aby boli viac orientované na výsledky. Nariadenie zahŕňa revízie, ktoré zjednodušujú používanie finančných nástrojov v rámci európskych štrukturálnych a investičných fondov.</w:t>
      </w:r>
    </w:p>
    <w:p>
      <w:pPr>
        <w:rPr>
          <w:rFonts w:ascii="Cambria" w:eastAsia="Calibri" w:hAnsi="Cambria"/>
          <w:noProof/>
          <w:spacing w:val="-4"/>
          <w:sz w:val="20"/>
        </w:rPr>
      </w:pPr>
      <w:r>
        <w:rPr>
          <w:rFonts w:ascii="Cambria" w:hAnsi="Cambria"/>
          <w:noProof/>
          <w:spacing w:val="-4"/>
          <w:sz w:val="20"/>
        </w:rPr>
        <w:t>V článku 61 nariadenia o rozpočtových pravidlách sa nanovo vymedzuje konflikt záujmov v prípade všetkých účastníkov finančných operácií, ktorí plnia rozpočet EÚ v rámci jednotlivých režimov riadenia, a to aj na vnútroštátnej úrovni. Pravdepodobne to povedie k výrazne vyššiemu počtu „vyhlásení o záujmoch“ zo strany účastníkov finančných operácií, zvýšeniu transparentnosti a zvýšeniu dôvery verejnosti.</w:t>
      </w:r>
    </w:p>
    <w:p>
      <w:pPr>
        <w:pStyle w:val="Heading2"/>
        <w:tabs>
          <w:tab w:val="clear" w:pos="850"/>
          <w:tab w:val="num" w:pos="567"/>
        </w:tabs>
        <w:spacing w:before="0" w:after="240"/>
        <w:ind w:left="426" w:hanging="426"/>
        <w:rPr>
          <w:rFonts w:asciiTheme="majorHAnsi" w:hAnsiTheme="majorHAnsi"/>
          <w:noProof/>
          <w:color w:val="1F497D" w:themeColor="text2"/>
          <w:spacing w:val="-4"/>
          <w:sz w:val="20"/>
        </w:rPr>
      </w:pPr>
      <w:bookmarkStart w:id="10" w:name="_Toc22547300"/>
      <w:r>
        <w:rPr>
          <w:rFonts w:asciiTheme="majorHAnsi" w:hAnsiTheme="majorHAnsi"/>
          <w:noProof/>
          <w:color w:val="1F497D" w:themeColor="text2"/>
          <w:spacing w:val="-4"/>
          <w:sz w:val="20"/>
        </w:rPr>
        <w:t>Formovanie budúcnosti: legislatívne a politické iniciatívy európskych inštitúcií</w:t>
      </w:r>
      <w:bookmarkEnd w:id="10"/>
    </w:p>
    <w:p>
      <w:pPr>
        <w:rPr>
          <w:rFonts w:asciiTheme="majorHAnsi" w:hAnsiTheme="majorHAnsi"/>
          <w:noProof/>
          <w:spacing w:val="-4"/>
          <w:sz w:val="20"/>
        </w:rPr>
      </w:pPr>
      <w:r>
        <w:rPr>
          <w:rFonts w:asciiTheme="majorHAnsi" w:hAnsiTheme="majorHAnsi"/>
          <w:noProof/>
          <w:spacing w:val="-4"/>
          <w:sz w:val="20"/>
        </w:rPr>
        <w:t>V nasledujúcom oddiele sa uvádza prehľad najdôležitejších trendov v oblasti politických a legislatívnych iniciatív Komisie v roku 2018.</w:t>
      </w:r>
    </w:p>
    <w:p>
      <w:pPr>
        <w:pStyle w:val="Heading3"/>
        <w:spacing w:before="0" w:after="240"/>
        <w:ind w:left="567" w:hanging="567"/>
        <w:rPr>
          <w:rFonts w:asciiTheme="majorHAnsi" w:hAnsiTheme="majorHAnsi"/>
          <w:noProof/>
          <w:color w:val="1F497D" w:themeColor="text2"/>
          <w:spacing w:val="-4"/>
          <w:sz w:val="20"/>
        </w:rPr>
      </w:pPr>
      <w:bookmarkStart w:id="11" w:name="_Toc22547301"/>
      <w:r>
        <w:rPr>
          <w:rFonts w:asciiTheme="majorHAnsi" w:hAnsiTheme="majorHAnsi"/>
          <w:noProof/>
          <w:color w:val="1F497D" w:themeColor="text2"/>
          <w:spacing w:val="-4"/>
          <w:sz w:val="20"/>
        </w:rPr>
        <w:t>Návrh Komisie na revíziu nariadenia (EÚ, Euratom) č. 883/2013</w:t>
      </w:r>
      <w:bookmarkEnd w:id="11"/>
    </w:p>
    <w:p>
      <w:pPr>
        <w:spacing w:before="0" w:after="240"/>
        <w:rPr>
          <w:rFonts w:asciiTheme="majorHAnsi" w:eastAsiaTheme="minorHAnsi" w:hAnsiTheme="majorHAnsi"/>
          <w:noProof/>
          <w:spacing w:val="-4"/>
          <w:sz w:val="16"/>
        </w:rPr>
      </w:pPr>
      <w:r>
        <w:rPr>
          <w:rFonts w:asciiTheme="majorHAnsi" w:hAnsiTheme="majorHAnsi"/>
          <w:noProof/>
          <w:spacing w:val="-4"/>
          <w:sz w:val="20"/>
        </w:rPr>
        <w:t>Komisia 23. mája 2018 prijala návrh na zmenu vybraných ustanovení nariadenia č. 883/2013</w:t>
      </w:r>
      <w:r>
        <w:rPr>
          <w:rStyle w:val="FootnoteReference"/>
          <w:rFonts w:asciiTheme="majorHAnsi" w:hAnsiTheme="majorHAnsi"/>
          <w:noProof/>
          <w:spacing w:val="-4"/>
          <w:sz w:val="20"/>
        </w:rPr>
        <w:footnoteReference w:id="7"/>
      </w:r>
      <w:r>
        <w:rPr>
          <w:rFonts w:asciiTheme="majorHAnsi" w:hAnsiTheme="majorHAnsi"/>
          <w:noProof/>
          <w:spacing w:val="-4"/>
          <w:sz w:val="20"/>
        </w:rPr>
        <w:t>. Revízia nariadenia vychádza predovšetkým z potreby prispôsobiť fungovanie úradu OLAF fungovaniu budúcej Európskej prokuratúry. Cieľom revízie je aj zvýšiť účinnosť vyšetrovacej funkcie úradu OLAF, najmä: i) objasnením, do akej miery sa právne predpisy EÚ a vnútroštátne právne predpisy uplatňujú pri vykonávaní kontrol a inšpekcií na mieste, a tým kodifikujú judikatúru Všeobecného súdu; ii) zdokonalením prípustnosti dôkazov zhromaždených úradom OLAF v nadväzujúcich konaniach; a iii) poskytnutím jasného právneho základu pre OLAF v súvislosti s prístupom k informáciám o bankových účtoch za pomoci príslušných vnútroštátnych orgánov.</w:t>
      </w:r>
    </w:p>
    <w:p>
      <w:pPr>
        <w:spacing w:before="0" w:after="240"/>
        <w:rPr>
          <w:rFonts w:asciiTheme="majorHAnsi" w:hAnsiTheme="majorHAnsi"/>
          <w:bCs/>
          <w:noProof/>
          <w:spacing w:val="-4"/>
          <w:sz w:val="20"/>
        </w:rPr>
      </w:pPr>
      <w:r>
        <w:rPr>
          <w:rFonts w:asciiTheme="majorHAnsi" w:hAnsiTheme="majorHAnsi"/>
          <w:bCs/>
          <w:noProof/>
          <w:spacing w:val="-4"/>
          <w:sz w:val="20"/>
        </w:rPr>
        <w:t>Pokiaľ ide o budúci vzťah s Európskou prokuratúrou, v návrhu Komisie sa stanovuje povinnosť úradu OLAF podávať správy v prípade, že odhalí možné podvody patriace do právomoci Európskej prokuratúry. Takisto sa v ňom objasňuje, ako a kedy môže OLAF na základe svojej žiadosti podporovať a dopĺňať Európsku prokuratúru a kedy môže OLAF začať administratívne vyšetrovanie alebo v ňom pokračovať z vlastnej iniciatívy, s cieľom zabezpečiť, aby sa tieto dva orgány navzájom dopĺňali v čo najväčšej miere a aby zabezpečili správnu rovnováhu trestnoprávnych a administratívnych prostriedkov na ochranu rozpočtu EÚ.</w:t>
      </w:r>
    </w:p>
    <w:p>
      <w:pPr>
        <w:spacing w:before="0"/>
        <w:rPr>
          <w:rFonts w:asciiTheme="majorHAnsi" w:eastAsiaTheme="minorHAnsi" w:hAnsiTheme="majorHAnsi"/>
          <w:noProof/>
          <w:spacing w:val="-4"/>
          <w:sz w:val="20"/>
        </w:rPr>
      </w:pPr>
      <w:r>
        <w:rPr>
          <w:rFonts w:asciiTheme="majorHAnsi" w:hAnsiTheme="majorHAnsi"/>
          <w:noProof/>
          <w:spacing w:val="-4"/>
          <w:sz w:val="20"/>
        </w:rPr>
        <w:t>Návrh Komisie je cielenou revíziou nariadenia o úrade OLAF, ktorá má zabezpečiť, že zmeny budú účinné, keď koncom roka 2020 Európska prokuratúra začne vykonávať svoju činnosť. V neskoršom štádiu by sa mohlo uvažovať aj o rozsiahlejšej revízii s cieľom modernizovať právny rámec úradu OLAF.</w:t>
      </w:r>
    </w:p>
    <w:p>
      <w:pPr>
        <w:spacing w:before="0" w:after="240"/>
        <w:rPr>
          <w:rFonts w:asciiTheme="majorHAnsi" w:eastAsiaTheme="minorHAnsi" w:hAnsiTheme="majorHAnsi"/>
          <w:noProof/>
          <w:spacing w:val="-4"/>
          <w:sz w:val="20"/>
        </w:rPr>
      </w:pPr>
      <w:r>
        <w:rPr>
          <w:rFonts w:asciiTheme="majorHAnsi" w:hAnsiTheme="majorHAnsi"/>
          <w:noProof/>
          <w:spacing w:val="-4"/>
          <w:sz w:val="20"/>
        </w:rPr>
        <w:t>V roku 2018 počas bulharského a rakúskeho predsedníctva sa o návrhu Komisie rokovalo v rámci skupiny Rady pre boj proti podvodom (GAF). Fínske predsedníctvo má na jeseň 2019 mandát na začatie neformálnych (trojstranných) rokovaní s Parlamentom. Európsky parlament prijal správu o návrhu Komisie 16. apríla 2019</w:t>
      </w:r>
      <w:r>
        <w:rPr>
          <w:rStyle w:val="FootnoteReference"/>
          <w:rFonts w:asciiTheme="majorHAnsi" w:eastAsiaTheme="minorHAnsi" w:hAnsiTheme="majorHAnsi"/>
          <w:noProof/>
          <w:spacing w:val="-4"/>
          <w:sz w:val="20"/>
        </w:rPr>
        <w:footnoteReference w:id="8"/>
      </w:r>
      <w:r>
        <w:rPr>
          <w:rFonts w:asciiTheme="majorHAnsi" w:hAnsiTheme="majorHAnsi"/>
          <w:noProof/>
          <w:spacing w:val="-4"/>
          <w:sz w:val="20"/>
        </w:rPr>
        <w:t>.</w:t>
      </w:r>
    </w:p>
    <w:p>
      <w:pPr>
        <w:pStyle w:val="Heading3"/>
        <w:spacing w:before="0" w:after="240"/>
        <w:ind w:left="567" w:hanging="567"/>
        <w:rPr>
          <w:rFonts w:asciiTheme="majorHAnsi" w:hAnsiTheme="majorHAnsi"/>
          <w:noProof/>
          <w:color w:val="1F497D" w:themeColor="text2"/>
          <w:spacing w:val="-4"/>
          <w:sz w:val="20"/>
        </w:rPr>
      </w:pPr>
      <w:bookmarkStart w:id="12" w:name="_Toc22547302"/>
      <w:r>
        <w:rPr>
          <w:rFonts w:asciiTheme="majorHAnsi" w:hAnsiTheme="majorHAnsi"/>
          <w:noProof/>
          <w:color w:val="1F497D" w:themeColor="text2"/>
          <w:spacing w:val="-4"/>
          <w:sz w:val="20"/>
        </w:rPr>
        <w:t>Návrh Komisie týkajúci sa nariadenia o ochrane rozpočtu Únie v prípade všeobecných nedostatkov v oblasti dodržiavania zásady právneho štátu v členských štátoch</w:t>
      </w:r>
      <w:bookmarkEnd w:id="12"/>
    </w:p>
    <w:p>
      <w:pPr>
        <w:rPr>
          <w:rFonts w:asciiTheme="majorHAnsi" w:hAnsiTheme="majorHAnsi"/>
          <w:noProof/>
          <w:spacing w:val="-4"/>
          <w:sz w:val="20"/>
        </w:rPr>
      </w:pPr>
      <w:r>
        <w:rPr>
          <w:rFonts w:asciiTheme="majorHAnsi" w:hAnsiTheme="majorHAnsi"/>
          <w:noProof/>
          <w:spacing w:val="-4"/>
          <w:sz w:val="20"/>
        </w:rPr>
        <w:t>Komisia 2. mája 2018 navrhla nariadenie o ochrane rozpočtu Únie v prípade všeobecných nedostatkov v oblasti dodržiavania zásady právneho štátu v členských štátoch. Návrh je založený na princípe, že dodržiavanie zásady právneho štátu je nevyhnutným predpokladom dodržiavania zásad riadneho finančného riadenia. Podľa tohto návrhu by EÚ mohla primeraným spôsobom pozastaviť, zredukovať alebo obmedziť prístup k prostriedkom EÚ. Pri rozhodovaní o začatí tohto postupu Komisia zohľadní príslušné informácie, ako napríklad rozhodnutia Súdneho dvora Európskej únie, správy EDA, ako aj závery príslušných medzinárodných organizácií. Dotknutý členský štát bude mať pred prijatím akéhokoľvek rozhodnutia príležitosť predložiť svoje stanovisko. Členské štáty by boli naďalej viazané existujúcimi povinnosťami vykonávať programy a vyplácať platby konečným príjemcom. O návrhu sa v súčasnosti diskutuje v Rade a Parlamente.</w:t>
      </w:r>
    </w:p>
    <w:p>
      <w:pPr>
        <w:pStyle w:val="Heading3"/>
        <w:spacing w:before="0" w:after="240"/>
        <w:ind w:left="567" w:hanging="567"/>
        <w:rPr>
          <w:rFonts w:asciiTheme="majorHAnsi" w:hAnsiTheme="majorHAnsi"/>
          <w:noProof/>
          <w:color w:val="1F497D" w:themeColor="text2"/>
          <w:spacing w:val="-4"/>
          <w:sz w:val="20"/>
        </w:rPr>
      </w:pPr>
      <w:bookmarkStart w:id="13" w:name="_Toc22547303"/>
      <w:r>
        <w:rPr>
          <w:rFonts w:asciiTheme="majorHAnsi" w:hAnsiTheme="majorHAnsi"/>
          <w:noProof/>
          <w:color w:val="1F497D" w:themeColor="text2"/>
          <w:spacing w:val="-4"/>
          <w:sz w:val="20"/>
        </w:rPr>
        <w:t>Prierezové ustanovenia o ochrane finančných záujmov EÚ v rámci všetkých návrhov Komisie týkajúcich sa VFR</w:t>
      </w:r>
      <w:bookmarkEnd w:id="13"/>
    </w:p>
    <w:p>
      <w:pPr>
        <w:spacing w:before="0"/>
        <w:rPr>
          <w:rFonts w:asciiTheme="majorHAnsi" w:eastAsiaTheme="minorHAnsi" w:hAnsiTheme="majorHAnsi"/>
          <w:noProof/>
          <w:spacing w:val="-4"/>
          <w:sz w:val="20"/>
        </w:rPr>
      </w:pPr>
      <w:r>
        <w:rPr>
          <w:rFonts w:asciiTheme="majorHAnsi" w:hAnsiTheme="majorHAnsi"/>
          <w:noProof/>
          <w:spacing w:val="-4"/>
          <w:sz w:val="20"/>
        </w:rPr>
        <w:t>Úrad OLAF v úzkej spolupráci s útvarmi zodpovednými za výdavky a ústrednými útvarmi Komisie zaviedol štandardné ustanovenia o ochrane finančných záujmov EÚ vo všetkých legislatívnych návrhoch Komisie týkajúcich sa výdavkových programov po roku 2020 v rámci priameho, nepriameho a zdieľaného riadenia. Podľa týchto ustanovení sa finančné záujmy EÚ majú chrániť primeranými opatreniami vrátane prevencie, odhaľovania, opravy a vyšetrovania nezrovnalostí a podvodov. Všetky osoby alebo subjekty, ktoré dostávajú finančné prostriedky EÚ, musia okrem toho plne spolupracovať pri ochrane finančných záujmov EÚ, udeliť potrebné prístupové práva Komisii, úradu OLAF, Európskej prokuratúre a Európskemu dvoru audítorov a zabezpečiť, aby rovnaké práva udelili aj všetky tretie strany zapojené do čerpania finančných prostriedkov EÚ.</w:t>
      </w:r>
    </w:p>
    <w:p>
      <w:pPr>
        <w:pStyle w:val="Heading3"/>
        <w:spacing w:before="0" w:after="240"/>
        <w:ind w:left="567" w:hanging="567"/>
        <w:rPr>
          <w:rFonts w:asciiTheme="majorHAnsi" w:hAnsiTheme="majorHAnsi"/>
          <w:noProof/>
          <w:color w:val="1F497D" w:themeColor="text2"/>
          <w:spacing w:val="-4"/>
          <w:sz w:val="20"/>
        </w:rPr>
      </w:pPr>
      <w:bookmarkStart w:id="14" w:name="_Toc22547304"/>
      <w:r>
        <w:rPr>
          <w:rFonts w:asciiTheme="majorHAnsi" w:hAnsiTheme="majorHAnsi"/>
          <w:noProof/>
          <w:color w:val="1F497D" w:themeColor="text2"/>
          <w:spacing w:val="-4"/>
          <w:sz w:val="20"/>
        </w:rPr>
        <w:t>Boj proti korupcii v EÚ</w:t>
      </w:r>
      <w:bookmarkEnd w:id="14"/>
    </w:p>
    <w:p>
      <w:pPr>
        <w:rPr>
          <w:rFonts w:ascii="Cambria" w:hAnsi="Cambria"/>
          <w:noProof/>
          <w:spacing w:val="-4"/>
          <w:sz w:val="20"/>
          <w:szCs w:val="20"/>
        </w:rPr>
      </w:pPr>
      <w:r>
        <w:rPr>
          <w:rFonts w:ascii="Cambria" w:hAnsi="Cambria"/>
          <w:noProof/>
          <w:spacing w:val="-4"/>
          <w:sz w:val="20"/>
          <w:szCs w:val="20"/>
        </w:rPr>
        <w:t>V roku 2018 bol boj proti korupcii prioritou v procese správy hospodárskych záležitostí v rámci európskeho semestra. Štrnásť správ o krajine</w:t>
      </w:r>
      <w:r>
        <w:rPr>
          <w:rStyle w:val="FootnoteReference"/>
          <w:rFonts w:ascii="Cambria" w:hAnsi="Cambria"/>
          <w:noProof/>
          <w:spacing w:val="-4"/>
          <w:sz w:val="20"/>
          <w:szCs w:val="20"/>
        </w:rPr>
        <w:footnoteReference w:id="9"/>
      </w:r>
      <w:r>
        <w:rPr>
          <w:rFonts w:ascii="Cambria" w:hAnsi="Cambria"/>
          <w:noProof/>
          <w:spacing w:val="-4"/>
          <w:sz w:val="20"/>
          <w:szCs w:val="20"/>
        </w:rPr>
        <w:t xml:space="preserve"> obsahovalo posúdenie právneho, politického a inštitucionálneho prostredia na boj proti korupcii vrátane dosiahnutého pokroku a zostávajúcich výziev.</w:t>
      </w:r>
    </w:p>
    <w:p>
      <w:pPr>
        <w:rPr>
          <w:rFonts w:ascii="Cambria" w:hAnsi="Cambria"/>
          <w:noProof/>
          <w:spacing w:val="-4"/>
          <w:sz w:val="20"/>
          <w:szCs w:val="20"/>
        </w:rPr>
      </w:pPr>
      <w:r>
        <w:rPr>
          <w:rFonts w:ascii="Cambria" w:hAnsi="Cambria"/>
          <w:noProof/>
          <w:spacing w:val="-4"/>
          <w:sz w:val="20"/>
          <w:szCs w:val="20"/>
        </w:rPr>
        <w:t>Šiestim členským štátom sa okrem toho individuálne odporučilo, aby zintenzívnili boj proti korupcii, odstránili nedostatky vo verejnom obstarávaní, posilnili protikorupčný rámec, účinnejšie predchádzali korupcii a potláčali ju, predchádzali konfliktom záujmov a zdokonalili vyvodzovanie zodpovednosti na úrovni prokuratúry a polície.</w:t>
      </w:r>
    </w:p>
    <w:p>
      <w:pPr>
        <w:rPr>
          <w:rFonts w:ascii="Cambria" w:hAnsi="Cambria"/>
          <w:noProof/>
          <w:spacing w:val="-4"/>
          <w:sz w:val="20"/>
          <w:szCs w:val="20"/>
        </w:rPr>
      </w:pPr>
      <w:r>
        <w:rPr>
          <w:rFonts w:ascii="Cambria" w:hAnsi="Cambria"/>
          <w:noProof/>
          <w:spacing w:val="-4"/>
          <w:sz w:val="20"/>
          <w:szCs w:val="20"/>
        </w:rPr>
        <w:t>Na základe výzvy na predloženie návrhov bolo na projekty, v rámci ktorých sa navrhovali akcie v oblasti boja proti korupcii, poskytnutých sedem grantov v celkovej hodnote 2,2 milióna EUR.</w:t>
      </w:r>
    </w:p>
    <w:p>
      <w:pPr>
        <w:rPr>
          <w:rFonts w:ascii="Cambria" w:hAnsi="Cambria"/>
          <w:noProof/>
          <w:spacing w:val="-4"/>
          <w:sz w:val="20"/>
          <w:szCs w:val="20"/>
          <w:highlight w:val="yellow"/>
        </w:rPr>
      </w:pPr>
      <w:r>
        <w:rPr>
          <w:rFonts w:ascii="Cambria" w:hAnsi="Cambria"/>
          <w:noProof/>
          <w:spacing w:val="-4"/>
          <w:sz w:val="20"/>
          <w:szCs w:val="20"/>
        </w:rPr>
        <w:t>V roku 2018 sa Komisia vrátane úradu OLAF aktívne zúčastnila na niekoľkých európskych a medzinárodných protikorupčných fórach, ako sú Dohovor Organizácie Spojených národov proti korupcii, Organizácia pre hospodársku spoluprácu a rozvoj, protikorupčná pracovná skupina G20 a Európski partneri proti korupcii (EPAC)/sieť kontaktných osôb EÚ na boj proti korupcii (EACN).</w:t>
      </w:r>
    </w:p>
    <w:p>
      <w:pPr>
        <w:pStyle w:val="Heading3"/>
        <w:spacing w:before="0" w:after="240"/>
        <w:ind w:left="567" w:hanging="567"/>
        <w:rPr>
          <w:rFonts w:asciiTheme="majorHAnsi" w:hAnsiTheme="majorHAnsi"/>
          <w:noProof/>
          <w:color w:val="1F497D" w:themeColor="text2"/>
          <w:spacing w:val="-4"/>
          <w:sz w:val="20"/>
        </w:rPr>
      </w:pPr>
      <w:bookmarkStart w:id="15" w:name="_Toc22547305"/>
      <w:r>
        <w:rPr>
          <w:rFonts w:asciiTheme="majorHAnsi" w:hAnsiTheme="majorHAnsi"/>
          <w:noProof/>
          <w:color w:val="1F497D" w:themeColor="text2"/>
          <w:spacing w:val="-4"/>
          <w:sz w:val="20"/>
        </w:rPr>
        <w:t>Medzinárodná spolupráca</w:t>
      </w:r>
      <w:bookmarkEnd w:id="15"/>
    </w:p>
    <w:p>
      <w:pPr>
        <w:rPr>
          <w:rFonts w:asciiTheme="majorHAnsi" w:hAnsiTheme="majorHAnsi"/>
          <w:bCs/>
          <w:noProof/>
          <w:spacing w:val="-4"/>
          <w:sz w:val="20"/>
          <w:szCs w:val="22"/>
        </w:rPr>
      </w:pPr>
      <w:r>
        <w:rPr>
          <w:rFonts w:asciiTheme="majorHAnsi" w:hAnsiTheme="majorHAnsi"/>
          <w:bCs/>
          <w:noProof/>
          <w:spacing w:val="-4"/>
          <w:sz w:val="20"/>
          <w:szCs w:val="22"/>
        </w:rPr>
        <w:t>S cieľom účinnejšie bojovať proti podvodom poškodzujúcim rozpočet EÚ za hranicami EÚ Komisia pokračovala v začleňovaní ustanovení na boj proti podvodom do dohôd s nečlenskými krajinami EÚ a do vzorových dohôd o príspevku s medzinárodnými finančnými inštitúciami a ďalšími medzinárodnými organizáciami.</w:t>
      </w:r>
    </w:p>
    <w:p>
      <w:pPr>
        <w:rPr>
          <w:rFonts w:asciiTheme="majorHAnsi" w:hAnsiTheme="majorHAnsi"/>
          <w:bCs/>
          <w:noProof/>
          <w:spacing w:val="-4"/>
          <w:sz w:val="20"/>
          <w:szCs w:val="22"/>
        </w:rPr>
      </w:pPr>
      <w:r>
        <w:rPr>
          <w:rFonts w:asciiTheme="majorHAnsi" w:hAnsiTheme="majorHAnsi"/>
          <w:bCs/>
          <w:noProof/>
          <w:spacing w:val="-4"/>
          <w:sz w:val="20"/>
          <w:szCs w:val="22"/>
        </w:rPr>
        <w:t>V roku 2018 úrad OLAF zorganizoval dve konkrétne podujatia na podporu nečlenských krajín EÚ:</w:t>
      </w:r>
    </w:p>
    <w:p>
      <w:pPr>
        <w:rPr>
          <w:rFonts w:asciiTheme="majorHAnsi" w:hAnsiTheme="majorHAnsi"/>
          <w:bCs/>
          <w:noProof/>
          <w:spacing w:val="-4"/>
          <w:sz w:val="20"/>
          <w:szCs w:val="22"/>
        </w:rPr>
      </w:pPr>
      <w:r>
        <w:rPr>
          <w:rFonts w:asciiTheme="majorHAnsi" w:hAnsiTheme="majorHAnsi"/>
          <w:bCs/>
          <w:noProof/>
          <w:spacing w:val="-4"/>
          <w:sz w:val="20"/>
          <w:szCs w:val="22"/>
        </w:rPr>
        <w:t>• svoj výročný seminár (ktorý sa konal v júni 2018 v Bosne a Hercegovine) pre partnerské orgány v kandidátskych a potenciálnych kandidátskych krajinách týkajúci sa najlepších postupov pri úspešnom vyšetrovaní podvodov a</w:t>
      </w:r>
      <w:r>
        <w:rPr>
          <w:rStyle w:val="EndnoteReference"/>
          <w:rFonts w:asciiTheme="majorHAnsi" w:hAnsiTheme="majorHAnsi"/>
          <w:bCs/>
          <w:noProof/>
          <w:spacing w:val="-4"/>
          <w:sz w:val="20"/>
          <w:szCs w:val="22"/>
        </w:rPr>
        <w:endnoteReference w:id="1"/>
      </w:r>
    </w:p>
    <w:p>
      <w:pPr>
        <w:rPr>
          <w:rFonts w:asciiTheme="majorHAnsi" w:hAnsiTheme="majorHAnsi"/>
          <w:bCs/>
          <w:noProof/>
          <w:spacing w:val="-4"/>
          <w:sz w:val="20"/>
          <w:szCs w:val="22"/>
        </w:rPr>
      </w:pPr>
      <w:r>
        <w:rPr>
          <w:rFonts w:asciiTheme="majorHAnsi" w:hAnsiTheme="majorHAnsi"/>
          <w:bCs/>
          <w:noProof/>
          <w:spacing w:val="-4"/>
          <w:sz w:val="20"/>
          <w:szCs w:val="22"/>
        </w:rPr>
        <w:t>• seminár (v júli 2018) v rámci dohody o pridružení medzi EÚ a Ukrajinou, na ktorom sa zúčastnili všetky príslušné útvary boja proti podvodom na Ukrajine.</w:t>
      </w:r>
    </w:p>
    <w:p>
      <w:pPr>
        <w:rPr>
          <w:rFonts w:asciiTheme="majorHAnsi" w:hAnsiTheme="majorHAnsi"/>
          <w:bCs/>
          <w:noProof/>
          <w:spacing w:val="-4"/>
          <w:sz w:val="20"/>
          <w:szCs w:val="22"/>
        </w:rPr>
      </w:pPr>
      <w:r>
        <w:rPr>
          <w:rFonts w:asciiTheme="majorHAnsi" w:hAnsiTheme="majorHAnsi"/>
          <w:bCs/>
          <w:noProof/>
          <w:spacing w:val="-4"/>
          <w:sz w:val="20"/>
          <w:szCs w:val="22"/>
        </w:rPr>
        <w:t>Úrad OLAF takisto podpísal dve dohody o administratívnej spolupráci s Africkou rozvojovou bankou a Úradom generálneho inšpektora Agentúry Spojených štátov pre medzinárodný rozvoj (USAID).</w:t>
      </w:r>
    </w:p>
    <w:p>
      <w:pPr>
        <w:pStyle w:val="Heading3"/>
        <w:spacing w:before="0" w:after="240"/>
        <w:ind w:left="567" w:hanging="567"/>
        <w:rPr>
          <w:rFonts w:asciiTheme="majorHAnsi" w:hAnsiTheme="majorHAnsi"/>
          <w:noProof/>
          <w:color w:val="1F497D" w:themeColor="text2"/>
          <w:spacing w:val="-4"/>
          <w:sz w:val="20"/>
        </w:rPr>
      </w:pPr>
      <w:bookmarkStart w:id="16" w:name="_Toc22547306"/>
      <w:r>
        <w:rPr>
          <w:rFonts w:asciiTheme="majorHAnsi" w:hAnsiTheme="majorHAnsi"/>
          <w:noProof/>
          <w:color w:val="1F497D" w:themeColor="text2"/>
          <w:spacing w:val="-4"/>
          <w:sz w:val="20"/>
        </w:rPr>
        <w:t>Stratégia Komisie v oblasti boja proti podvodom a nový balík opatrení v oblasti riadenia</w:t>
      </w:r>
      <w:bookmarkEnd w:id="16"/>
    </w:p>
    <w:p>
      <w:pPr>
        <w:spacing w:before="0" w:after="240"/>
        <w:rPr>
          <w:rFonts w:asciiTheme="majorHAnsi" w:hAnsiTheme="majorHAnsi"/>
          <w:noProof/>
          <w:spacing w:val="-4"/>
          <w:sz w:val="20"/>
        </w:rPr>
      </w:pPr>
      <w:r>
        <w:rPr>
          <w:rFonts w:asciiTheme="majorHAnsi" w:hAnsiTheme="majorHAnsi"/>
          <w:noProof/>
          <w:spacing w:val="-4"/>
          <w:sz w:val="20"/>
        </w:rPr>
        <w:t>V roku 2018 Komisia pripravila novú stratégiu pre boj proti podvodom, ktorá nahradila stratégiu prijatú 24. júna 2011</w:t>
      </w:r>
      <w:r>
        <w:rPr>
          <w:rStyle w:val="FootnoteReference"/>
          <w:rFonts w:asciiTheme="majorHAnsi" w:hAnsiTheme="majorHAnsi"/>
          <w:noProof/>
          <w:spacing w:val="-4"/>
          <w:sz w:val="20"/>
        </w:rPr>
        <w:footnoteReference w:id="10"/>
      </w:r>
      <w:r>
        <w:rPr>
          <w:rFonts w:asciiTheme="majorHAnsi" w:hAnsiTheme="majorHAnsi"/>
          <w:noProof/>
          <w:spacing w:val="-4"/>
          <w:sz w:val="20"/>
        </w:rPr>
        <w:t>, s cieľom zlepšovať predchádzanie podvodom, ich odhaľovanie a vyšetrovanie a zabezpečiť, že bude venovať dostatočnú pozornosť primeraným sankciám, vymáhaniu a odrádzaniu.</w:t>
      </w:r>
    </w:p>
    <w:p>
      <w:pPr>
        <w:spacing w:before="0" w:after="240"/>
        <w:rPr>
          <w:rFonts w:asciiTheme="majorHAnsi" w:hAnsiTheme="majorHAnsi"/>
          <w:noProof/>
          <w:spacing w:val="-4"/>
          <w:sz w:val="20"/>
        </w:rPr>
      </w:pPr>
      <w:r>
        <w:rPr>
          <w:rFonts w:asciiTheme="majorHAnsi" w:hAnsiTheme="majorHAnsi"/>
          <w:noProof/>
          <w:spacing w:val="-4"/>
          <w:sz w:val="20"/>
        </w:rPr>
        <w:t>Nová stratégia, ktorá bola prijatá 29. apríla 2019, je založená na podrobnom hodnotení rizika, z ktorého vyplynulo, že medzi hlavné oblasti, ktoré možno zlepšiť, patrí zber a analýza údajov o podvodoch, spolupráca medzi útvarmi Komisie a dohľad na úrovni inštitúcií v otázkach týkajúcich sa podvodov v rámci Komisie. Tieto aspekty preto tvoria jadro novej stratégie Komisie pre boj proti podvodom. Sú tiež v súlade s interným hodnotením predchádzajúcej stratégie.</w:t>
      </w:r>
    </w:p>
    <w:p>
      <w:pPr>
        <w:spacing w:before="0" w:after="240"/>
        <w:rPr>
          <w:rFonts w:asciiTheme="majorHAnsi" w:hAnsiTheme="majorHAnsi"/>
          <w:noProof/>
          <w:spacing w:val="-4"/>
          <w:sz w:val="20"/>
        </w:rPr>
      </w:pPr>
      <w:r>
        <w:rPr>
          <w:rFonts w:asciiTheme="majorHAnsi" w:hAnsiTheme="majorHAnsi"/>
          <w:noProof/>
          <w:spacing w:val="-4"/>
          <w:sz w:val="20"/>
        </w:rPr>
        <w:t>Do konca roka 2018 sa zaviedli zlepšenia v oblasti riadenia</w:t>
      </w:r>
      <w:r>
        <w:rPr>
          <w:rStyle w:val="FootnoteReference"/>
          <w:rFonts w:asciiTheme="majorHAnsi" w:hAnsiTheme="majorHAnsi"/>
          <w:noProof/>
          <w:spacing w:val="-4"/>
          <w:sz w:val="20"/>
        </w:rPr>
        <w:footnoteReference w:id="11"/>
      </w:r>
      <w:r>
        <w:rPr>
          <w:rFonts w:asciiTheme="majorHAnsi" w:hAnsiTheme="majorHAnsi"/>
          <w:noProof/>
          <w:spacing w:val="-4"/>
          <w:sz w:val="20"/>
        </w:rPr>
        <w:t>, čím sa posilnila úloha správnej rady Komisie v oblasti boja proti podvodom.</w:t>
      </w:r>
    </w:p>
    <w:p>
      <w:pPr>
        <w:pStyle w:val="Heading3"/>
        <w:spacing w:before="0" w:after="240"/>
        <w:ind w:left="567" w:hanging="567"/>
        <w:rPr>
          <w:rFonts w:asciiTheme="majorHAnsi" w:hAnsiTheme="majorHAnsi"/>
          <w:noProof/>
          <w:color w:val="1F497D" w:themeColor="text2"/>
          <w:spacing w:val="-4"/>
          <w:sz w:val="20"/>
        </w:rPr>
      </w:pPr>
      <w:bookmarkStart w:id="17" w:name="_Toc22547307"/>
      <w:r>
        <w:rPr>
          <w:rFonts w:asciiTheme="majorHAnsi" w:hAnsiTheme="majorHAnsi"/>
          <w:noProof/>
          <w:color w:val="1F497D" w:themeColor="text2"/>
          <w:spacing w:val="-4"/>
          <w:sz w:val="20"/>
        </w:rPr>
        <w:t>Vykonávanie programu Hercule</w:t>
      </w:r>
      <w:bookmarkEnd w:id="17"/>
    </w:p>
    <w:p>
      <w:pPr>
        <w:spacing w:before="0"/>
        <w:rPr>
          <w:rFonts w:asciiTheme="majorHAnsi" w:eastAsiaTheme="minorHAnsi" w:hAnsiTheme="majorHAnsi"/>
          <w:noProof/>
          <w:spacing w:val="-4"/>
          <w:sz w:val="20"/>
        </w:rPr>
      </w:pPr>
      <w:r>
        <w:rPr>
          <w:rFonts w:asciiTheme="majorHAnsi" w:hAnsiTheme="majorHAnsi"/>
          <w:noProof/>
          <w:spacing w:val="-4"/>
          <w:sz w:val="20"/>
        </w:rPr>
        <w:t>V rámci programu Hercule III</w:t>
      </w:r>
      <w:r>
        <w:rPr>
          <w:rStyle w:val="FootnoteReference"/>
          <w:rFonts w:asciiTheme="majorHAnsi" w:eastAsiaTheme="minorHAnsi" w:hAnsiTheme="majorHAnsi"/>
          <w:noProof/>
          <w:spacing w:val="-4"/>
          <w:sz w:val="20"/>
        </w:rPr>
        <w:footnoteReference w:id="12"/>
      </w:r>
      <w:r>
        <w:rPr>
          <w:rFonts w:asciiTheme="majorHAnsi" w:hAnsiTheme="majorHAnsi"/>
          <w:noProof/>
          <w:spacing w:val="-4"/>
          <w:sz w:val="20"/>
        </w:rPr>
        <w:t xml:space="preserve"> na roky 2014 – 2020 sa podporujú činnosti v oblasti boja proti podvodom, korupcii a všetkým ostatným nezákonným činnostiam poškodzujúcim finančné záujmy EÚ. V roku 2018, piatom roku jeho vykonávania, mu bol pridelený rozpočet vo výške 15,35 milióna EUR</w:t>
      </w:r>
      <w:r>
        <w:rPr>
          <w:rStyle w:val="FootnoteReference"/>
          <w:rFonts w:asciiTheme="majorHAnsi" w:eastAsiaTheme="minorHAnsi" w:hAnsiTheme="majorHAnsi"/>
          <w:noProof/>
          <w:spacing w:val="-4"/>
          <w:sz w:val="20"/>
        </w:rPr>
        <w:footnoteReference w:id="13"/>
      </w:r>
      <w:r>
        <w:rPr>
          <w:rFonts w:asciiTheme="majorHAnsi" w:hAnsiTheme="majorHAnsi"/>
          <w:noProof/>
          <w:spacing w:val="-4"/>
          <w:sz w:val="20"/>
        </w:rPr>
        <w:t xml:space="preserve"> na:</w:t>
      </w:r>
    </w:p>
    <w:p>
      <w:pPr>
        <w:pStyle w:val="ListParagraph"/>
        <w:numPr>
          <w:ilvl w:val="0"/>
          <w:numId w:val="2"/>
        </w:numPr>
        <w:spacing w:before="0"/>
        <w:contextualSpacing w:val="0"/>
        <w:rPr>
          <w:rFonts w:asciiTheme="majorHAnsi" w:eastAsiaTheme="minorHAnsi" w:hAnsiTheme="majorHAnsi"/>
          <w:noProof/>
          <w:spacing w:val="-4"/>
          <w:sz w:val="20"/>
        </w:rPr>
      </w:pPr>
      <w:r>
        <w:rPr>
          <w:rFonts w:asciiTheme="majorHAnsi" w:hAnsiTheme="majorHAnsi"/>
          <w:noProof/>
          <w:spacing w:val="-4"/>
          <w:sz w:val="20"/>
        </w:rPr>
        <w:t>financovanie opatrení zameraných na posilnenie operačnej a technickej kapacity colných a policajných orgánov v členských štátoch, ako aj na IT podporu (75 % rozpočtu programu) a</w:t>
      </w:r>
    </w:p>
    <w:p>
      <w:pPr>
        <w:pStyle w:val="ListParagraph"/>
        <w:numPr>
          <w:ilvl w:val="0"/>
          <w:numId w:val="2"/>
        </w:numPr>
        <w:spacing w:before="0" w:after="240"/>
        <w:contextualSpacing w:val="0"/>
        <w:rPr>
          <w:rFonts w:asciiTheme="majorHAnsi" w:eastAsiaTheme="minorHAnsi" w:hAnsiTheme="majorHAnsi"/>
          <w:noProof/>
          <w:spacing w:val="-4"/>
          <w:sz w:val="20"/>
        </w:rPr>
      </w:pPr>
      <w:r>
        <w:rPr>
          <w:rFonts w:asciiTheme="majorHAnsi" w:hAnsiTheme="majorHAnsi"/>
          <w:noProof/>
          <w:spacing w:val="-4"/>
          <w:sz w:val="20"/>
        </w:rPr>
        <w:t>školenia a konferencie vrátane školenia v oblasti digitálnej forenznej vedy pre zamestnancov pracujúcich v orgánoch presadzovania práva členských štátov a partnerských krajín (25 % rozpočtu).</w:t>
      </w:r>
    </w:p>
    <w:p>
      <w:pPr>
        <w:spacing w:before="0"/>
        <w:rPr>
          <w:rFonts w:asciiTheme="majorHAnsi" w:hAnsiTheme="majorHAnsi"/>
          <w:noProof/>
          <w:spacing w:val="-4"/>
          <w:sz w:val="20"/>
        </w:rPr>
      </w:pPr>
      <w:r>
        <w:rPr>
          <w:rFonts w:asciiTheme="majorHAnsi" w:hAnsiTheme="majorHAnsi"/>
          <w:noProof/>
          <w:spacing w:val="-4"/>
          <w:sz w:val="20"/>
        </w:rPr>
        <w:t>Príjemcovia grantov z programu Hercule III oznámili významné úspechy dosiahnuté pomocou zariadení a školení financovaných z programu</w:t>
      </w:r>
      <w:r>
        <w:rPr>
          <w:rStyle w:val="FootnoteReference"/>
          <w:rFonts w:asciiTheme="majorHAnsi" w:hAnsiTheme="majorHAnsi"/>
          <w:noProof/>
          <w:spacing w:val="-4"/>
          <w:sz w:val="20"/>
        </w:rPr>
        <w:footnoteReference w:id="14"/>
      </w:r>
      <w:r>
        <w:rPr>
          <w:rFonts w:asciiTheme="majorHAnsi" w:hAnsiTheme="majorHAnsi"/>
          <w:noProof/>
          <w:spacing w:val="-4"/>
          <w:sz w:val="20"/>
        </w:rPr>
        <w:t>, ako sú:</w:t>
      </w:r>
    </w:p>
    <w:p>
      <w:pPr>
        <w:pStyle w:val="ListParagraph"/>
        <w:numPr>
          <w:ilvl w:val="0"/>
          <w:numId w:val="2"/>
        </w:numPr>
        <w:spacing w:before="0"/>
        <w:contextualSpacing w:val="0"/>
        <w:rPr>
          <w:rFonts w:asciiTheme="majorHAnsi" w:eastAsiaTheme="minorHAnsi" w:hAnsiTheme="majorHAnsi"/>
          <w:noProof/>
          <w:spacing w:val="-4"/>
          <w:sz w:val="20"/>
        </w:rPr>
      </w:pPr>
      <w:r>
        <w:rPr>
          <w:rFonts w:asciiTheme="majorHAnsi" w:hAnsiTheme="majorHAnsi"/>
          <w:noProof/>
          <w:spacing w:val="-4"/>
          <w:sz w:val="20"/>
        </w:rPr>
        <w:t>zaistenie pašovaných a falšovaných cigariet a tabaku,</w:t>
      </w:r>
    </w:p>
    <w:p>
      <w:pPr>
        <w:pStyle w:val="ListParagraph"/>
        <w:numPr>
          <w:ilvl w:val="0"/>
          <w:numId w:val="2"/>
        </w:numPr>
        <w:spacing w:before="0"/>
        <w:contextualSpacing w:val="0"/>
        <w:rPr>
          <w:rFonts w:asciiTheme="majorHAnsi" w:eastAsiaTheme="minorHAnsi" w:hAnsiTheme="majorHAnsi"/>
          <w:noProof/>
          <w:spacing w:val="-4"/>
          <w:sz w:val="20"/>
        </w:rPr>
      </w:pPr>
      <w:r>
        <w:rPr>
          <w:rFonts w:asciiTheme="majorHAnsi" w:hAnsiTheme="majorHAnsi"/>
          <w:noProof/>
          <w:spacing w:val="-4"/>
          <w:sz w:val="20"/>
        </w:rPr>
        <w:t>odhalenie nových systémov podvodov a sietí zločineckých skupín a</w:t>
      </w:r>
    </w:p>
    <w:p>
      <w:pPr>
        <w:pStyle w:val="ListParagraph"/>
        <w:numPr>
          <w:ilvl w:val="0"/>
          <w:numId w:val="2"/>
        </w:numPr>
        <w:spacing w:before="0" w:after="240"/>
        <w:contextualSpacing w:val="0"/>
        <w:rPr>
          <w:rFonts w:asciiTheme="majorHAnsi" w:eastAsiaTheme="minorHAnsi" w:hAnsiTheme="majorHAnsi"/>
          <w:noProof/>
          <w:spacing w:val="-4"/>
          <w:sz w:val="20"/>
        </w:rPr>
      </w:pPr>
      <w:r>
        <w:rPr>
          <w:rFonts w:asciiTheme="majorHAnsi" w:hAnsiTheme="majorHAnsi"/>
          <w:noProof/>
          <w:spacing w:val="-4"/>
          <w:sz w:val="20"/>
        </w:rPr>
        <w:t>zlepšené operácie a rýchlejšie vyšetrovania týkajúce sa nezrovnalostí a korupcie poškodzujúcich finančné záujmy EÚ.</w:t>
      </w:r>
    </w:p>
    <w:p>
      <w:pPr>
        <w:pStyle w:val="Heading2"/>
        <w:tabs>
          <w:tab w:val="clear" w:pos="850"/>
          <w:tab w:val="num" w:pos="567"/>
        </w:tabs>
        <w:spacing w:before="0" w:after="240"/>
        <w:ind w:left="426" w:hanging="426"/>
        <w:rPr>
          <w:rFonts w:asciiTheme="majorHAnsi" w:hAnsiTheme="majorHAnsi"/>
          <w:noProof/>
          <w:color w:val="1F497D" w:themeColor="text2"/>
          <w:spacing w:val="-4"/>
          <w:sz w:val="20"/>
        </w:rPr>
      </w:pPr>
      <w:bookmarkStart w:id="18" w:name="_Toc22547308"/>
      <w:r>
        <w:rPr>
          <w:rFonts w:asciiTheme="majorHAnsi" w:hAnsiTheme="majorHAnsi"/>
          <w:noProof/>
          <w:color w:val="1F497D" w:themeColor="text2"/>
          <w:spacing w:val="-4"/>
          <w:sz w:val="20"/>
        </w:rPr>
        <w:t>Judikatúra SDEÚ</w:t>
      </w:r>
      <w:bookmarkEnd w:id="18"/>
    </w:p>
    <w:p>
      <w:pPr>
        <w:pStyle w:val="Heading3"/>
        <w:spacing w:before="0" w:after="240"/>
        <w:ind w:left="567" w:hanging="567"/>
        <w:rPr>
          <w:rFonts w:asciiTheme="majorHAnsi" w:hAnsiTheme="majorHAnsi"/>
          <w:noProof/>
          <w:color w:val="1F497D" w:themeColor="text2"/>
          <w:spacing w:val="-4"/>
          <w:sz w:val="20"/>
        </w:rPr>
      </w:pPr>
      <w:bookmarkStart w:id="19" w:name="_Toc22547309"/>
      <w:r>
        <w:rPr>
          <w:rFonts w:asciiTheme="majorHAnsi" w:hAnsiTheme="majorHAnsi"/>
          <w:noProof/>
          <w:color w:val="1F497D" w:themeColor="text2"/>
          <w:spacing w:val="-4"/>
          <w:sz w:val="20"/>
        </w:rPr>
        <w:t>Sigma Orionis/Komisia</w:t>
      </w:r>
      <w:bookmarkEnd w:id="19"/>
    </w:p>
    <w:p>
      <w:pPr>
        <w:spacing w:before="0" w:after="240"/>
        <w:rPr>
          <w:rFonts w:asciiTheme="majorHAnsi" w:hAnsiTheme="majorHAnsi"/>
          <w:noProof/>
          <w:spacing w:val="-4"/>
          <w:sz w:val="20"/>
        </w:rPr>
      </w:pPr>
      <w:r>
        <w:rPr>
          <w:rFonts w:asciiTheme="majorHAnsi" w:hAnsiTheme="majorHAnsi"/>
          <w:noProof/>
          <w:spacing w:val="-4"/>
          <w:sz w:val="20"/>
        </w:rPr>
        <w:t>V roku 2018 jedno rozhodnutie Všeobecného súdu doplnilo judikatúru o ochrane finančných záujmov EÚ, pokiaľ ide o kontroly a inšpekcie na mieste vykonávané úradom OLAF.</w:t>
      </w:r>
    </w:p>
    <w:p>
      <w:pPr>
        <w:rPr>
          <w:rFonts w:asciiTheme="majorHAnsi" w:hAnsiTheme="majorHAnsi"/>
          <w:noProof/>
          <w:spacing w:val="-4"/>
          <w:sz w:val="20"/>
          <w:szCs w:val="23"/>
        </w:rPr>
      </w:pPr>
      <w:r>
        <w:rPr>
          <w:rFonts w:asciiTheme="majorHAnsi" w:hAnsiTheme="majorHAnsi"/>
          <w:noProof/>
          <w:spacing w:val="-4"/>
          <w:sz w:val="20"/>
          <w:szCs w:val="23"/>
        </w:rPr>
        <w:t xml:space="preserve">Vo veci </w:t>
      </w:r>
      <w:r>
        <w:rPr>
          <w:rFonts w:asciiTheme="majorHAnsi" w:hAnsiTheme="majorHAnsi"/>
          <w:i/>
          <w:noProof/>
          <w:spacing w:val="-4"/>
          <w:sz w:val="20"/>
          <w:szCs w:val="23"/>
        </w:rPr>
        <w:t>Sigma Orionis/Komisia</w:t>
      </w:r>
      <w:r>
        <w:rPr>
          <w:rStyle w:val="FootnoteReference"/>
          <w:rFonts w:asciiTheme="majorHAnsi" w:hAnsiTheme="majorHAnsi"/>
          <w:noProof/>
          <w:spacing w:val="-4"/>
          <w:sz w:val="20"/>
          <w:szCs w:val="23"/>
        </w:rPr>
        <w:footnoteReference w:id="15"/>
      </w:r>
      <w:r>
        <w:rPr>
          <w:rFonts w:asciiTheme="majorHAnsi" w:hAnsiTheme="majorHAnsi"/>
          <w:noProof/>
          <w:spacing w:val="-4"/>
          <w:sz w:val="20"/>
          <w:szCs w:val="23"/>
        </w:rPr>
        <w:t xml:space="preserve"> Súdny dvor objasnil rozhodné právo, ktoré sa uplatňuje počas týchto kontrol a inšpekcií na mieste.</w:t>
      </w:r>
    </w:p>
    <w:p>
      <w:pPr>
        <w:rPr>
          <w:rFonts w:asciiTheme="majorHAnsi" w:hAnsiTheme="majorHAnsi"/>
          <w:noProof/>
          <w:spacing w:val="-4"/>
          <w:sz w:val="20"/>
          <w:szCs w:val="23"/>
        </w:rPr>
      </w:pPr>
      <w:r>
        <w:rPr>
          <w:rFonts w:asciiTheme="majorHAnsi" w:hAnsiTheme="majorHAnsi"/>
          <w:noProof/>
          <w:spacing w:val="-4"/>
          <w:sz w:val="20"/>
          <w:szCs w:val="23"/>
        </w:rPr>
        <w:t>Súdny dvor rozhodol, že ak hospodársky subjekt nekladie odpor, kontroly a inšpekcie na mieste vykonáva úrad OLAF na základe nariadenia č. 883/2013 a nariadenia č. 2185/1996 a na základe písomného oprávnenia generálneho riaditeľa úradu OLAF. Právo EÚ má prednosť pred vnútroštátnym právom, ak je záležitosť upravená v nariadení č. 883/2013 alebo nariadení č. 2185/1996. Okrem toho Súdny dvor konštatoval, že ustanovenia (v nariadení č. 2185/1996) týkajúce sa prípadného bránenia sa kontrole zo strany dotknutého hospodárskeho subjektu, neznamenajú existenciu „práva brániť sa“, ale jednoducho stanovujú dôsledok, že možno uložiť vykonanie kontroly prostredníctvom vnútroštátnych orgánov (na základe vnútroštátneho práva). Pokiaľ ide o procesné záruky, Súdny dvor pripomenul, že OLAF musí rešpektovať základné práva stanovené v práve EÚ, a najmä v charte.</w:t>
      </w:r>
    </w:p>
    <w:p>
      <w:pPr>
        <w:rPr>
          <w:rFonts w:asciiTheme="majorHAnsi" w:hAnsiTheme="majorHAnsi"/>
          <w:noProof/>
          <w:spacing w:val="-4"/>
          <w:sz w:val="20"/>
          <w:szCs w:val="23"/>
        </w:rPr>
      </w:pPr>
      <w:r>
        <w:rPr>
          <w:rFonts w:asciiTheme="majorHAnsi" w:hAnsiTheme="majorHAnsi"/>
          <w:noProof/>
          <w:spacing w:val="-4"/>
          <w:sz w:val="20"/>
          <w:szCs w:val="23"/>
        </w:rPr>
        <w:t>Podľa názoru Komisie tieto dôležité vysvetlenia Súdneho dvora pomôžu zvýšiť efektívnosť vyšetrovaní úradu OLAF.</w:t>
      </w:r>
    </w:p>
    <w:p>
      <w:pPr>
        <w:pStyle w:val="Heading3"/>
        <w:spacing w:before="0" w:after="240"/>
        <w:ind w:left="567" w:hanging="567"/>
        <w:rPr>
          <w:rFonts w:asciiTheme="majorHAnsi" w:hAnsiTheme="majorHAnsi"/>
          <w:noProof/>
          <w:color w:val="1F497D" w:themeColor="text2"/>
          <w:spacing w:val="-4"/>
          <w:sz w:val="20"/>
        </w:rPr>
      </w:pPr>
      <w:bookmarkStart w:id="20" w:name="_Toc22547310"/>
      <w:r>
        <w:rPr>
          <w:rFonts w:asciiTheme="majorHAnsi" w:hAnsiTheme="majorHAnsi"/>
          <w:noProof/>
          <w:color w:val="1F497D" w:themeColor="text2"/>
          <w:spacing w:val="-4"/>
          <w:sz w:val="20"/>
        </w:rPr>
        <w:t>Judikatúra týkajúca sa systému EDES</w:t>
      </w:r>
      <w:bookmarkEnd w:id="20"/>
    </w:p>
    <w:p>
      <w:pPr>
        <w:rPr>
          <w:rFonts w:asciiTheme="majorHAnsi" w:hAnsiTheme="majorHAnsi"/>
          <w:noProof/>
          <w:spacing w:val="-4"/>
          <w:sz w:val="20"/>
          <w:szCs w:val="23"/>
        </w:rPr>
      </w:pPr>
      <w:r>
        <w:rPr>
          <w:rFonts w:ascii="Cambria" w:hAnsi="Cambria"/>
          <w:noProof/>
          <w:spacing w:val="-4"/>
          <w:sz w:val="20"/>
        </w:rPr>
        <w:t>Súdny dvor potvrdil platnosť systému včasného odhaľovania rizika a vylúčenia (EDES)</w:t>
      </w:r>
      <w:r>
        <w:rPr>
          <w:rStyle w:val="FootnoteReference"/>
          <w:rFonts w:ascii="Cambria" w:hAnsi="Cambria"/>
          <w:noProof/>
          <w:spacing w:val="-4"/>
          <w:sz w:val="20"/>
        </w:rPr>
        <w:footnoteReference w:id="16"/>
      </w:r>
      <w:r>
        <w:rPr>
          <w:rFonts w:ascii="Cambria" w:hAnsi="Cambria"/>
          <w:noProof/>
          <w:spacing w:val="-4"/>
          <w:sz w:val="20"/>
        </w:rPr>
        <w:t xml:space="preserve"> zriadeného v roku 2016, tak pokiaľ ide o včasné odhaľovanie (rozsudok Všeobecného súdu z 24. októbra 2018 vo veci T-477/16, Epsilon International SA/Európska komisia), ako aj pokiaľ ide o vylúčenie (rozsudok Všeobecného súdu z 8. novembra 2018 vo veci T-454/17, „Pro NGO!“ </w:t>
      </w:r>
      <w:r>
        <w:rPr>
          <w:noProof/>
          <w:spacing w:val="-4"/>
        </w:rPr>
        <w:t>/Komisia).</w:t>
      </w:r>
      <w:r>
        <w:rPr>
          <w:rStyle w:val="FootnoteReference"/>
          <w:noProof/>
          <w:spacing w:val="-4"/>
        </w:rPr>
        <w:footnoteReference w:id="17"/>
      </w:r>
    </w:p>
    <w:p>
      <w:pPr>
        <w:pStyle w:val="Heading2"/>
        <w:tabs>
          <w:tab w:val="clear" w:pos="850"/>
          <w:tab w:val="num" w:pos="567"/>
        </w:tabs>
        <w:spacing w:before="0" w:after="240"/>
        <w:ind w:left="0" w:firstLine="0"/>
        <w:rPr>
          <w:rFonts w:asciiTheme="majorHAnsi" w:hAnsiTheme="majorHAnsi"/>
          <w:noProof/>
          <w:color w:val="1F497D" w:themeColor="text2"/>
          <w:spacing w:val="-4"/>
          <w:sz w:val="20"/>
        </w:rPr>
      </w:pPr>
      <w:bookmarkStart w:id="21" w:name="_Toc22547311"/>
      <w:r>
        <w:rPr>
          <w:rFonts w:asciiTheme="majorHAnsi" w:hAnsiTheme="majorHAnsi"/>
          <w:noProof/>
          <w:color w:val="1F497D" w:themeColor="text2"/>
          <w:spacing w:val="-4"/>
          <w:sz w:val="20"/>
        </w:rPr>
        <w:t>Opatrenia prijaté členskými štátmi</w:t>
      </w:r>
      <w:bookmarkEnd w:id="21"/>
    </w:p>
    <w:p>
      <w:pPr>
        <w:pStyle w:val="Heading3"/>
        <w:tabs>
          <w:tab w:val="num" w:pos="851"/>
        </w:tabs>
        <w:spacing w:before="0" w:after="240"/>
        <w:ind w:left="567" w:hanging="567"/>
        <w:rPr>
          <w:rFonts w:asciiTheme="majorHAnsi" w:hAnsiTheme="majorHAnsi"/>
          <w:noProof/>
          <w:color w:val="1F497D" w:themeColor="text2"/>
          <w:spacing w:val="-4"/>
          <w:sz w:val="20"/>
        </w:rPr>
      </w:pPr>
      <w:bookmarkStart w:id="22" w:name="_Toc22547312"/>
      <w:r>
        <w:rPr>
          <w:rFonts w:asciiTheme="majorHAnsi" w:hAnsiTheme="majorHAnsi"/>
          <w:noProof/>
          <w:color w:val="1F497D" w:themeColor="text2"/>
          <w:spacing w:val="-4"/>
          <w:sz w:val="20"/>
        </w:rPr>
        <w:t>Prehľad opatrení prijatých členskými štátmi</w:t>
      </w:r>
      <w:bookmarkEnd w:id="22"/>
    </w:p>
    <w:p>
      <w:pPr>
        <w:spacing w:before="0" w:after="240"/>
        <w:rPr>
          <w:rFonts w:asciiTheme="majorHAnsi" w:hAnsiTheme="majorHAnsi"/>
          <w:noProof/>
          <w:spacing w:val="-4"/>
          <w:sz w:val="20"/>
        </w:rPr>
      </w:pPr>
      <w:r>
        <w:rPr>
          <w:rFonts w:asciiTheme="majorHAnsi" w:hAnsiTheme="majorHAnsi"/>
          <w:noProof/>
          <w:spacing w:val="-4"/>
          <w:sz w:val="20"/>
        </w:rPr>
        <w:t>Toto zhrnutie predstavuje prehľad trendov a priorít v oblasti opatrení na boj proti podvodom, ktoré vykonávajú členské štáty, nie je však úplné. Členské štáty boli vyzvané, aby oznámili najviac tri opatrenia na boj proti podvodom, niektoré ich však mohli prijať viac ako tri</w:t>
      </w:r>
      <w:r>
        <w:rPr>
          <w:rStyle w:val="FootnoteReference"/>
          <w:rFonts w:asciiTheme="majorHAnsi" w:hAnsiTheme="majorHAnsi"/>
          <w:noProof/>
          <w:spacing w:val="-4"/>
          <w:sz w:val="20"/>
        </w:rPr>
        <w:footnoteReference w:id="18"/>
      </w:r>
      <w:r>
        <w:rPr>
          <w:rFonts w:asciiTheme="majorHAnsi" w:hAnsiTheme="majorHAnsi"/>
          <w:noProof/>
          <w:spacing w:val="-4"/>
          <w:sz w:val="20"/>
        </w:rPr>
        <w:t>.</w:t>
      </w:r>
    </w:p>
    <w:p>
      <w:pPr>
        <w:spacing w:before="0" w:after="240"/>
        <w:rPr>
          <w:rFonts w:asciiTheme="majorHAnsi" w:hAnsiTheme="majorHAnsi"/>
          <w:noProof/>
          <w:spacing w:val="-4"/>
          <w:sz w:val="20"/>
        </w:rPr>
      </w:pPr>
      <w:r>
        <w:rPr>
          <w:rFonts w:asciiTheme="majorHAnsi" w:hAnsiTheme="majorHAnsi"/>
          <w:noProof/>
          <w:spacing w:val="-4"/>
          <w:sz w:val="20"/>
        </w:rPr>
        <w:t>V roku 2018 členské štáty oznámili 71 opatrení</w:t>
      </w:r>
      <w:r>
        <w:rPr>
          <w:rStyle w:val="FootnoteReference"/>
          <w:rFonts w:asciiTheme="majorHAnsi" w:hAnsiTheme="majorHAnsi"/>
          <w:noProof/>
          <w:spacing w:val="-4"/>
          <w:sz w:val="20"/>
        </w:rPr>
        <w:footnoteReference w:id="19"/>
      </w:r>
      <w:r>
        <w:rPr>
          <w:rFonts w:asciiTheme="majorHAnsi" w:hAnsiTheme="majorHAnsi"/>
          <w:noProof/>
          <w:spacing w:val="-4"/>
          <w:sz w:val="20"/>
        </w:rPr>
        <w:t xml:space="preserve"> na ochranu finančných záujmov EÚ a boj proti podvodom. Tieto opatrenia sa vzťahovali na celý cyklus boja proti podvodom, najmä v oblasti zdieľaného riadenia a verejného obstarávania, ale aj v oblasti konfliktov záujmov, korupcie a protikorupčných stratégií, finančnej trestnej činnosti, ciel a nezákonného obchodu. Väčšina opatrení sa týkala „predchádzania podvodom“ a „odhaľovania podvodov“. Približne jedna tretina oznámených opatrení sa týkala aj „vyšetrovania a stíhania podvodov“ a „vymáhania a sankcií“.</w:t>
      </w:r>
    </w:p>
    <w:p>
      <w:pPr>
        <w:spacing w:before="0" w:after="240"/>
        <w:rPr>
          <w:rFonts w:asciiTheme="majorHAnsi" w:hAnsiTheme="majorHAnsi"/>
          <w:noProof/>
          <w:spacing w:val="-4"/>
          <w:sz w:val="20"/>
        </w:rPr>
      </w:pPr>
      <w:r>
        <w:rPr>
          <w:rFonts w:asciiTheme="majorHAnsi" w:hAnsiTheme="majorHAnsi"/>
          <w:noProof/>
          <w:spacing w:val="-4"/>
          <w:sz w:val="20"/>
        </w:rPr>
        <w:t>Väčšinu (64 %) tvorili sektorové opatrenia, nie prierezové (36 %). Štrnásť sektorových opatrení sa týkalo príjmov v oblastiach daňových podvodov a ciel. Ďalších 31 opatrení sa týkalo výdavkov vo všetkých oblastiach rozpočtu. Sektorovým opatreniam sa budú venovať odseky týkajúce sa rôznych rozpočtových oblastí, zatiaľ čo tento oddiel sa zameriava na prierezové opatrenia.</w:t>
      </w:r>
    </w:p>
    <w:p>
      <w:pPr>
        <w:pStyle w:val="Heading3"/>
        <w:numPr>
          <w:ilvl w:val="3"/>
          <w:numId w:val="1"/>
        </w:numPr>
        <w:tabs>
          <w:tab w:val="clear" w:pos="1810"/>
          <w:tab w:val="num" w:pos="567"/>
        </w:tabs>
        <w:spacing w:before="0" w:after="240"/>
        <w:ind w:left="284" w:hanging="284"/>
        <w:rPr>
          <w:rFonts w:asciiTheme="majorHAnsi" w:hAnsiTheme="majorHAnsi"/>
          <w:i w:val="0"/>
          <w:noProof/>
          <w:color w:val="1F497D" w:themeColor="text2"/>
          <w:spacing w:val="-4"/>
          <w:sz w:val="20"/>
        </w:rPr>
      </w:pPr>
      <w:bookmarkStart w:id="23" w:name="_Toc22547313"/>
      <w:r>
        <w:rPr>
          <w:rFonts w:asciiTheme="majorHAnsi" w:hAnsiTheme="majorHAnsi"/>
          <w:i w:val="0"/>
          <w:noProof/>
          <w:color w:val="1F497D" w:themeColor="text2"/>
          <w:spacing w:val="-4"/>
          <w:sz w:val="20"/>
        </w:rPr>
        <w:t>Národné stratégie pre boj proti podvodom</w:t>
      </w:r>
      <w:bookmarkEnd w:id="23"/>
    </w:p>
    <w:p>
      <w:pPr>
        <w:spacing w:before="0" w:after="240"/>
        <w:rPr>
          <w:rFonts w:asciiTheme="majorHAnsi" w:hAnsiTheme="majorHAnsi"/>
          <w:noProof/>
          <w:spacing w:val="-4"/>
          <w:sz w:val="20"/>
        </w:rPr>
      </w:pPr>
      <w:r>
        <w:rPr>
          <w:rFonts w:asciiTheme="majorHAnsi" w:hAnsiTheme="majorHAnsi"/>
          <w:noProof/>
          <w:spacing w:val="-4"/>
          <w:sz w:val="20"/>
        </w:rPr>
        <w:t>Do konca roka 2018 spolu 11 členských štátov</w:t>
      </w:r>
      <w:r>
        <w:rPr>
          <w:rStyle w:val="FootnoteReference"/>
          <w:rFonts w:asciiTheme="majorHAnsi" w:hAnsiTheme="majorHAnsi"/>
          <w:noProof/>
          <w:spacing w:val="-4"/>
          <w:sz w:val="20"/>
        </w:rPr>
        <w:footnoteReference w:id="20"/>
      </w:r>
      <w:r>
        <w:rPr>
          <w:rFonts w:asciiTheme="majorHAnsi" w:hAnsiTheme="majorHAnsi"/>
          <w:noProof/>
          <w:spacing w:val="-4"/>
          <w:sz w:val="20"/>
        </w:rPr>
        <w:t xml:space="preserve"> prijalo národnú stratégiu pre boj proti podvodom a zaslalo ju Komisii. </w:t>
      </w:r>
      <w:r>
        <w:rPr>
          <w:rFonts w:asciiTheme="majorHAnsi" w:hAnsiTheme="majorHAnsi"/>
          <w:b/>
          <w:noProof/>
          <w:spacing w:val="-4"/>
          <w:sz w:val="20"/>
        </w:rPr>
        <w:t>Komisia opätovne vyzýva ostatné členské štáty, aby vypracovali takéto stratégie</w:t>
      </w:r>
      <w:r>
        <w:rPr>
          <w:rFonts w:asciiTheme="majorHAnsi" w:hAnsiTheme="majorHAnsi"/>
          <w:noProof/>
          <w:spacing w:val="-4"/>
          <w:sz w:val="20"/>
        </w:rPr>
        <w:t xml:space="preserve"> v súlade so zisteniami EDA v osobitnej správe č. 06/2019.</w:t>
      </w:r>
    </w:p>
    <w:p>
      <w:pPr>
        <w:pStyle w:val="Heading3"/>
        <w:numPr>
          <w:ilvl w:val="3"/>
          <w:numId w:val="1"/>
        </w:numPr>
        <w:tabs>
          <w:tab w:val="clear" w:pos="1810"/>
          <w:tab w:val="num" w:pos="567"/>
        </w:tabs>
        <w:spacing w:before="0" w:after="240"/>
        <w:ind w:left="284" w:hanging="284"/>
        <w:rPr>
          <w:rFonts w:asciiTheme="majorHAnsi" w:hAnsiTheme="majorHAnsi"/>
          <w:i w:val="0"/>
          <w:noProof/>
          <w:color w:val="1F497D" w:themeColor="text2"/>
          <w:spacing w:val="-4"/>
          <w:sz w:val="20"/>
        </w:rPr>
      </w:pPr>
      <w:bookmarkStart w:id="24" w:name="_Toc22547314"/>
      <w:r>
        <w:rPr>
          <w:rFonts w:asciiTheme="majorHAnsi" w:hAnsiTheme="majorHAnsi"/>
          <w:i w:val="0"/>
          <w:noProof/>
          <w:color w:val="1F497D" w:themeColor="text2"/>
          <w:spacing w:val="-4"/>
          <w:sz w:val="20"/>
        </w:rPr>
        <w:t>Posilnenie transparentnosti, boj proti korupcii a konflikt záujmov pri verejnom obstarávaní</w:t>
      </w:r>
      <w:bookmarkEnd w:id="24"/>
    </w:p>
    <w:p>
      <w:pPr>
        <w:spacing w:before="0" w:after="240"/>
        <w:rPr>
          <w:rFonts w:asciiTheme="majorHAnsi" w:eastAsia="Calibri" w:hAnsiTheme="majorHAnsi"/>
          <w:noProof/>
          <w:spacing w:val="-4"/>
          <w:sz w:val="20"/>
        </w:rPr>
      </w:pPr>
      <w:r>
        <w:rPr>
          <w:rFonts w:asciiTheme="majorHAnsi" w:hAnsiTheme="majorHAnsi"/>
          <w:noProof/>
          <w:spacing w:val="-4"/>
          <w:sz w:val="20"/>
        </w:rPr>
        <w:t>V roku 2018 desať členských štátov</w:t>
      </w:r>
      <w:r>
        <w:rPr>
          <w:rStyle w:val="FootnoteReference"/>
          <w:rFonts w:asciiTheme="majorHAnsi" w:eastAsia="Calibri" w:hAnsiTheme="majorHAnsi"/>
          <w:noProof/>
          <w:spacing w:val="-4"/>
          <w:sz w:val="20"/>
        </w:rPr>
        <w:footnoteReference w:id="21"/>
      </w:r>
      <w:r>
        <w:rPr>
          <w:rFonts w:asciiTheme="majorHAnsi" w:hAnsiTheme="majorHAnsi"/>
          <w:noProof/>
          <w:spacing w:val="-4"/>
          <w:sz w:val="20"/>
        </w:rPr>
        <w:t xml:space="preserve"> prijalo trinásť opatrení v oblasti verejného obstarávania. Ich cieľom je boj proti korupcii a konfliktom záujmov a posilnenie transparentnosti. Približne polovica týchto opatrení zahŕňala legislatívne akty na objasnenie alebo konsolidáciu existujúcich pravidiel alebo na prispôsobenie vnútroštátnych systémov vývoju právnych predpisov EÚ. Boli oznámené aj organizačné a operatívne opatrenia týkajúce sa najmä školiacich aktivít a zavádzania nových IT nástrojov.</w:t>
      </w:r>
    </w:p>
    <w:p>
      <w:pPr>
        <w:pStyle w:val="Heading3"/>
        <w:numPr>
          <w:ilvl w:val="3"/>
          <w:numId w:val="1"/>
        </w:numPr>
        <w:tabs>
          <w:tab w:val="clear" w:pos="1810"/>
          <w:tab w:val="num" w:pos="567"/>
        </w:tabs>
        <w:spacing w:before="0"/>
        <w:ind w:left="284" w:hanging="284"/>
        <w:rPr>
          <w:rFonts w:asciiTheme="majorHAnsi" w:hAnsiTheme="majorHAnsi"/>
          <w:i w:val="0"/>
          <w:noProof/>
          <w:color w:val="1F497D" w:themeColor="text2"/>
          <w:spacing w:val="-4"/>
          <w:sz w:val="20"/>
        </w:rPr>
      </w:pPr>
      <w:bookmarkStart w:id="25" w:name="_Toc22547315"/>
      <w:r>
        <w:rPr>
          <w:rFonts w:asciiTheme="majorHAnsi" w:hAnsiTheme="majorHAnsi"/>
          <w:i w:val="0"/>
          <w:noProof/>
          <w:color w:val="1F497D" w:themeColor="text2"/>
          <w:spacing w:val="-4"/>
          <w:sz w:val="20"/>
        </w:rPr>
        <w:t>Ďalšie opatrenia</w:t>
      </w:r>
      <w:bookmarkEnd w:id="25"/>
    </w:p>
    <w:p>
      <w:pPr>
        <w:spacing w:before="0"/>
        <w:rPr>
          <w:rFonts w:asciiTheme="majorHAnsi" w:hAnsiTheme="majorHAnsi"/>
          <w:noProof/>
          <w:spacing w:val="-4"/>
          <w:sz w:val="20"/>
        </w:rPr>
      </w:pPr>
      <w:r>
        <w:rPr>
          <w:rFonts w:asciiTheme="majorHAnsi" w:hAnsiTheme="majorHAnsi"/>
          <w:noProof/>
          <w:spacing w:val="-4"/>
          <w:sz w:val="20"/>
        </w:rPr>
        <w:t>Ďalšie oznámené prierezové opatrenia sa týkali najmä finančnej a organizovanej trestnej činnosti</w:t>
      </w:r>
      <w:r>
        <w:rPr>
          <w:rStyle w:val="FootnoteReference"/>
          <w:rFonts w:asciiTheme="majorHAnsi" w:hAnsiTheme="majorHAnsi"/>
          <w:noProof/>
          <w:spacing w:val="-4"/>
          <w:sz w:val="20"/>
        </w:rPr>
        <w:footnoteReference w:id="22"/>
      </w:r>
      <w:r>
        <w:rPr>
          <w:rFonts w:asciiTheme="majorHAnsi" w:hAnsiTheme="majorHAnsi"/>
          <w:noProof/>
          <w:spacing w:val="-4"/>
          <w:sz w:val="20"/>
        </w:rPr>
        <w:t>, najmä so zreteľom na zriadenie Európskej prokuratúry</w:t>
      </w:r>
      <w:r>
        <w:rPr>
          <w:rStyle w:val="FootnoteReference"/>
          <w:rFonts w:asciiTheme="majorHAnsi" w:hAnsiTheme="majorHAnsi"/>
          <w:noProof/>
          <w:spacing w:val="-4"/>
          <w:sz w:val="20"/>
        </w:rPr>
        <w:footnoteReference w:id="23"/>
      </w:r>
      <w:r>
        <w:rPr>
          <w:rFonts w:asciiTheme="majorHAnsi" w:hAnsiTheme="majorHAnsi"/>
          <w:noProof/>
          <w:spacing w:val="-4"/>
          <w:sz w:val="20"/>
        </w:rPr>
        <w:t>. Lotyšsko pokračovalo vo svojej trojročnej národnej kampani proti podvodom (#FraudOff!), ktorej cieľom bolo zvýšiť informovanosť verejnosti o nulovej tolerancii voči podvodom a podporiť ju.</w:t>
      </w:r>
    </w:p>
    <w:p>
      <w:pPr>
        <w:spacing w:before="0"/>
        <w:rPr>
          <w:rFonts w:asciiTheme="majorHAnsi" w:hAnsiTheme="majorHAnsi"/>
          <w:noProof/>
          <w:spacing w:val="-4"/>
          <w:sz w:val="20"/>
        </w:rPr>
      </w:pPr>
      <w:r>
        <w:rPr>
          <w:rFonts w:asciiTheme="majorHAnsi" w:hAnsiTheme="majorHAnsi"/>
          <w:noProof/>
          <w:spacing w:val="-4"/>
          <w:sz w:val="20"/>
        </w:rPr>
        <w:t>Dva členské štáty oznámili opatrenia týkajúce sa ich systémov vnútornej kontroly</w:t>
      </w:r>
      <w:r>
        <w:rPr>
          <w:rStyle w:val="FootnoteReference"/>
          <w:rFonts w:asciiTheme="majorHAnsi" w:hAnsiTheme="majorHAnsi"/>
          <w:noProof/>
          <w:spacing w:val="-4"/>
          <w:sz w:val="20"/>
        </w:rPr>
        <w:footnoteReference w:id="24"/>
      </w:r>
      <w:r>
        <w:rPr>
          <w:rFonts w:asciiTheme="majorHAnsi" w:hAnsiTheme="majorHAnsi"/>
          <w:noProof/>
          <w:spacing w:val="-4"/>
          <w:sz w:val="20"/>
        </w:rPr>
        <w:t>. Švédsko informovalo o ročnom programe Rady pre ochranu finančných záujmov Európskej únie (SEFI) a Chorvátsko o medzinárodnej konferencii venovanej riadeniu nezrovnalostí.</w:t>
      </w:r>
    </w:p>
    <w:p>
      <w:pPr>
        <w:spacing w:before="0"/>
        <w:rPr>
          <w:rFonts w:asciiTheme="majorHAnsi" w:hAnsiTheme="majorHAnsi"/>
          <w:noProof/>
          <w:spacing w:val="-4"/>
          <w:sz w:val="20"/>
        </w:rPr>
      </w:pPr>
      <w:r>
        <w:rPr>
          <w:rFonts w:asciiTheme="majorHAnsi" w:hAnsiTheme="majorHAnsi"/>
          <w:noProof/>
          <w:spacing w:val="-4"/>
          <w:sz w:val="20"/>
        </w:rPr>
        <w:t>Tri členské štáty oznámili opatrenia na riešenie príjmov a výdavkov v niektorých sektoroch</w:t>
      </w:r>
      <w:r>
        <w:rPr>
          <w:rStyle w:val="FootnoteReference"/>
          <w:rFonts w:asciiTheme="majorHAnsi" w:hAnsiTheme="majorHAnsi"/>
          <w:noProof/>
          <w:spacing w:val="-4"/>
          <w:sz w:val="20"/>
        </w:rPr>
        <w:footnoteReference w:id="25"/>
      </w:r>
      <w:r>
        <w:rPr>
          <w:rFonts w:asciiTheme="majorHAnsi" w:hAnsiTheme="majorHAnsi"/>
          <w:noProof/>
          <w:spacing w:val="-4"/>
          <w:sz w:val="20"/>
        </w:rPr>
        <w:t>:</w:t>
      </w:r>
    </w:p>
    <w:p>
      <w:pPr>
        <w:pStyle w:val="ListParagraph"/>
        <w:numPr>
          <w:ilvl w:val="0"/>
          <w:numId w:val="9"/>
        </w:numPr>
        <w:spacing w:before="0"/>
        <w:ind w:left="425" w:hanging="425"/>
        <w:rPr>
          <w:rFonts w:asciiTheme="majorHAnsi" w:hAnsiTheme="majorHAnsi"/>
          <w:noProof/>
          <w:spacing w:val="-4"/>
          <w:sz w:val="20"/>
        </w:rPr>
      </w:pPr>
      <w:r>
        <w:rPr>
          <w:rFonts w:asciiTheme="majorHAnsi" w:hAnsiTheme="majorHAnsi"/>
          <w:noProof/>
          <w:spacing w:val="-4"/>
          <w:sz w:val="20"/>
        </w:rPr>
        <w:t>talianska hospodárska a finančná polícia vypracovala konkrétne operačné plány na boj proti sprenevere, neoprávneným žiadostiam o finančné prostriedky EÚ a/alebo neoprávnenému čerpaniu finančných prostriedkov EÚ a podvodom s DPH,</w:t>
      </w:r>
    </w:p>
    <w:p>
      <w:pPr>
        <w:pStyle w:val="ListParagraph"/>
        <w:numPr>
          <w:ilvl w:val="0"/>
          <w:numId w:val="9"/>
        </w:numPr>
        <w:spacing w:before="0"/>
        <w:ind w:left="425" w:hanging="425"/>
        <w:rPr>
          <w:rFonts w:asciiTheme="majorHAnsi" w:hAnsiTheme="majorHAnsi"/>
          <w:noProof/>
          <w:spacing w:val="-4"/>
          <w:sz w:val="20"/>
        </w:rPr>
      </w:pPr>
      <w:r>
        <w:rPr>
          <w:rFonts w:asciiTheme="majorHAnsi" w:hAnsiTheme="majorHAnsi"/>
          <w:noProof/>
          <w:spacing w:val="-4"/>
          <w:sz w:val="20"/>
        </w:rPr>
        <w:t>Slovinsko posilnilo spoluprácu medzi orgánmi riadiacimi finančné záujmy EÚ a orgánmi presadzovania práva a justičnými orgánmi, a</w:t>
      </w:r>
    </w:p>
    <w:p>
      <w:pPr>
        <w:pStyle w:val="ListParagraph"/>
        <w:numPr>
          <w:ilvl w:val="0"/>
          <w:numId w:val="9"/>
        </w:numPr>
        <w:spacing w:before="0"/>
        <w:ind w:left="425" w:hanging="425"/>
        <w:rPr>
          <w:rFonts w:asciiTheme="majorHAnsi" w:hAnsiTheme="majorHAnsi"/>
          <w:noProof/>
          <w:spacing w:val="-4"/>
          <w:sz w:val="20"/>
        </w:rPr>
      </w:pPr>
      <w:r>
        <w:rPr>
          <w:rFonts w:asciiTheme="majorHAnsi" w:hAnsiTheme="majorHAnsi"/>
          <w:noProof/>
          <w:spacing w:val="-4"/>
          <w:sz w:val="20"/>
        </w:rPr>
        <w:t>Spojené kráľovstvo oznámilo opatrenie zamerané na daňové podvody a ochranu fondu pre najodkázanejšie osoby (FEAD).</w:t>
      </w:r>
    </w:p>
    <w:p>
      <w:pPr>
        <w:pStyle w:val="Heading3"/>
        <w:tabs>
          <w:tab w:val="num" w:pos="851"/>
        </w:tabs>
        <w:spacing w:before="0" w:after="240"/>
        <w:ind w:left="567" w:hanging="567"/>
        <w:rPr>
          <w:rFonts w:asciiTheme="majorHAnsi" w:hAnsiTheme="majorHAnsi"/>
          <w:noProof/>
          <w:color w:val="1F497D" w:themeColor="text2"/>
          <w:sz w:val="20"/>
        </w:rPr>
      </w:pPr>
      <w:bookmarkStart w:id="26" w:name="_Toc22547316"/>
      <w:r>
        <w:rPr>
          <w:rFonts w:asciiTheme="majorHAnsi" w:hAnsiTheme="majorHAnsi"/>
          <w:noProof/>
          <w:color w:val="1F497D" w:themeColor="text2"/>
          <w:sz w:val="20"/>
        </w:rPr>
        <w:t>Plnenie odporúčaní z roku 2017</w:t>
      </w:r>
      <w:bookmarkEnd w:id="26"/>
    </w:p>
    <w:p>
      <w:pPr>
        <w:spacing w:before="0"/>
        <w:rPr>
          <w:rFonts w:asciiTheme="majorHAnsi" w:hAnsiTheme="majorHAnsi"/>
          <w:noProof/>
          <w:spacing w:val="-4"/>
          <w:sz w:val="20"/>
        </w:rPr>
      </w:pPr>
      <w:r>
        <w:rPr>
          <w:rFonts w:asciiTheme="majorHAnsi" w:hAnsiTheme="majorHAnsi"/>
          <w:noProof/>
          <w:sz w:val="20"/>
        </w:rPr>
        <w:t>V </w:t>
      </w:r>
      <w:r>
        <w:rPr>
          <w:rFonts w:asciiTheme="majorHAnsi" w:hAnsiTheme="majorHAnsi"/>
          <w:noProof/>
          <w:spacing w:val="-4"/>
          <w:sz w:val="20"/>
        </w:rPr>
        <w:t>správe z roku 2017 o ochrane finančných záujmov Komisia členským štátom poskytla dva súbory odporúčaní; jeden súbor bol zameraný na príjmy a druhý na výdavky.</w:t>
      </w:r>
    </w:p>
    <w:p>
      <w:pPr>
        <w:keepNext/>
        <w:spacing w:before="0"/>
        <w:rPr>
          <w:rFonts w:asciiTheme="majorHAnsi" w:hAnsiTheme="majorHAnsi"/>
          <w:noProof/>
          <w:spacing w:val="-4"/>
          <w:sz w:val="20"/>
        </w:rPr>
      </w:pPr>
      <w:r>
        <w:rPr>
          <w:rFonts w:asciiTheme="majorHAnsi" w:hAnsiTheme="majorHAnsi"/>
          <w:noProof/>
          <w:spacing w:val="-4"/>
          <w:sz w:val="20"/>
        </w:rPr>
        <w:t>Komisia odporučila členským štátom, aby</w:t>
      </w:r>
      <w:r>
        <w:rPr>
          <w:rStyle w:val="FootnoteReference"/>
          <w:rFonts w:asciiTheme="majorHAnsi" w:hAnsiTheme="majorHAnsi"/>
          <w:noProof/>
          <w:spacing w:val="-4"/>
          <w:sz w:val="20"/>
        </w:rPr>
        <w:footnoteReference w:id="26"/>
      </w:r>
      <w:r>
        <w:rPr>
          <w:rFonts w:asciiTheme="majorHAnsi" w:hAnsiTheme="majorHAnsi"/>
          <w:noProof/>
          <w:spacing w:val="-4"/>
          <w:sz w:val="20"/>
        </w:rPr>
        <w:t>:</w:t>
      </w:r>
    </w:p>
    <w:p>
      <w:pPr>
        <w:pStyle w:val="ListParagraph"/>
        <w:keepNext/>
        <w:numPr>
          <w:ilvl w:val="1"/>
          <w:numId w:val="8"/>
        </w:numPr>
        <w:pBdr>
          <w:top w:val="single" w:sz="4" w:space="1" w:color="auto"/>
          <w:left w:val="single" w:sz="4" w:space="4" w:color="auto"/>
          <w:bottom w:val="single" w:sz="4" w:space="1" w:color="auto"/>
          <w:right w:val="single" w:sz="4" w:space="4" w:color="auto"/>
        </w:pBdr>
        <w:shd w:val="clear" w:color="auto" w:fill="FDE9D9" w:themeFill="accent6" w:themeFillTint="33"/>
        <w:ind w:left="499" w:hanging="357"/>
        <w:contextualSpacing w:val="0"/>
        <w:rPr>
          <w:rFonts w:asciiTheme="majorHAnsi" w:hAnsiTheme="majorHAnsi"/>
          <w:i/>
          <w:noProof/>
          <w:sz w:val="20"/>
        </w:rPr>
      </w:pPr>
      <w:r>
        <w:rPr>
          <w:rFonts w:asciiTheme="majorHAnsi" w:hAnsiTheme="majorHAnsi"/>
          <w:i/>
          <w:noProof/>
          <w:sz w:val="20"/>
        </w:rPr>
        <w:t>naďalej pozorne sledovali riziko podhodnotenia</w:t>
      </w:r>
    </w:p>
    <w:p>
      <w:pPr>
        <w:pBdr>
          <w:top w:val="single" w:sz="4" w:space="1" w:color="auto"/>
          <w:left w:val="single" w:sz="4" w:space="4" w:color="auto"/>
          <w:bottom w:val="single" w:sz="4" w:space="1" w:color="auto"/>
          <w:right w:val="single" w:sz="4" w:space="4" w:color="auto"/>
        </w:pBdr>
        <w:shd w:val="clear" w:color="auto" w:fill="FDE9D9" w:themeFill="accent6" w:themeFillTint="33"/>
        <w:ind w:left="142"/>
        <w:jc w:val="center"/>
        <w:rPr>
          <w:rFonts w:asciiTheme="majorHAnsi" w:hAnsiTheme="majorHAnsi"/>
          <w:i/>
          <w:noProof/>
          <w:sz w:val="20"/>
        </w:rPr>
      </w:pPr>
      <w:r>
        <w:rPr>
          <w:noProof/>
          <w:highlight w:val="green"/>
          <w:lang w:val="en-GB" w:eastAsia="en-GB"/>
        </w:rPr>
        <w:drawing>
          <wp:inline distT="0" distB="0" distL="0" distR="0">
            <wp:extent cx="2591435" cy="302944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8549" t="4925" r="5100" b="5309"/>
                    <a:stretch/>
                  </pic:blipFill>
                  <pic:spPr bwMode="auto">
                    <a:xfrm>
                      <a:off x="0" y="0"/>
                      <a:ext cx="2595956" cy="3034732"/>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ListParagraph"/>
        <w:keepNext/>
        <w:numPr>
          <w:ilvl w:val="1"/>
          <w:numId w:val="8"/>
        </w:numPr>
        <w:pBdr>
          <w:top w:val="single" w:sz="4" w:space="1" w:color="auto"/>
          <w:left w:val="single" w:sz="4" w:space="4" w:color="auto"/>
          <w:bottom w:val="single" w:sz="4" w:space="1" w:color="auto"/>
          <w:right w:val="single" w:sz="4" w:space="4" w:color="auto"/>
        </w:pBdr>
        <w:shd w:val="clear" w:color="auto" w:fill="FDE9D9" w:themeFill="accent6" w:themeFillTint="33"/>
        <w:ind w:left="499" w:hanging="357"/>
        <w:contextualSpacing w:val="0"/>
        <w:rPr>
          <w:rFonts w:asciiTheme="majorHAnsi" w:hAnsiTheme="majorHAnsi"/>
          <w:i/>
          <w:noProof/>
          <w:sz w:val="20"/>
        </w:rPr>
      </w:pPr>
      <w:r>
        <w:rPr>
          <w:rFonts w:asciiTheme="majorHAnsi" w:hAnsiTheme="majorHAnsi"/>
          <w:i/>
          <w:noProof/>
          <w:sz w:val="20"/>
        </w:rPr>
        <w:t>posilnili colné kontroly</w:t>
      </w:r>
    </w:p>
    <w:p>
      <w:pPr>
        <w:pBdr>
          <w:top w:val="single" w:sz="4" w:space="1" w:color="auto"/>
          <w:left w:val="single" w:sz="4" w:space="4" w:color="auto"/>
          <w:bottom w:val="single" w:sz="4" w:space="1" w:color="auto"/>
          <w:right w:val="single" w:sz="4" w:space="4" w:color="auto"/>
        </w:pBdr>
        <w:shd w:val="clear" w:color="auto" w:fill="FDE9D9" w:themeFill="accent6" w:themeFillTint="33"/>
        <w:ind w:left="142"/>
        <w:jc w:val="center"/>
        <w:rPr>
          <w:rFonts w:asciiTheme="majorHAnsi" w:hAnsiTheme="majorHAnsi"/>
          <w:noProof/>
          <w:sz w:val="20"/>
        </w:rPr>
      </w:pPr>
      <w:r>
        <w:rPr>
          <w:noProof/>
          <w:lang w:val="en-GB" w:eastAsia="en-GB"/>
        </w:rPr>
        <w:drawing>
          <wp:inline distT="0" distB="0" distL="0" distR="0">
            <wp:extent cx="2679410" cy="3431862"/>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7695" t="1474" r="3073"/>
                    <a:stretch/>
                  </pic:blipFill>
                  <pic:spPr bwMode="auto">
                    <a:xfrm>
                      <a:off x="0" y="0"/>
                      <a:ext cx="2682735" cy="3436121"/>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ListParagraph"/>
        <w:keepNext/>
        <w:numPr>
          <w:ilvl w:val="1"/>
          <w:numId w:val="8"/>
        </w:numPr>
        <w:pBdr>
          <w:top w:val="single" w:sz="4" w:space="1" w:color="auto"/>
          <w:left w:val="single" w:sz="4" w:space="4" w:color="auto"/>
          <w:bottom w:val="single" w:sz="4" w:space="1" w:color="auto"/>
          <w:right w:val="single" w:sz="4" w:space="4" w:color="auto"/>
        </w:pBdr>
        <w:shd w:val="clear" w:color="auto" w:fill="FDE9D9" w:themeFill="accent6" w:themeFillTint="33"/>
        <w:ind w:left="499" w:hanging="357"/>
        <w:contextualSpacing w:val="0"/>
        <w:rPr>
          <w:rFonts w:asciiTheme="majorHAnsi" w:hAnsiTheme="majorHAnsi"/>
          <w:noProof/>
          <w:sz w:val="20"/>
        </w:rPr>
      </w:pPr>
      <w:r>
        <w:rPr>
          <w:rFonts w:asciiTheme="majorHAnsi" w:hAnsiTheme="majorHAnsi"/>
          <w:i/>
          <w:noProof/>
          <w:sz w:val="20"/>
        </w:rPr>
        <w:t>prijali ďalšie opatrenia na posilnenie riadenia colných rizík</w:t>
      </w:r>
    </w:p>
    <w:p>
      <w:pPr>
        <w:keepNext/>
        <w:pBdr>
          <w:top w:val="single" w:sz="4" w:space="1" w:color="auto"/>
          <w:left w:val="single" w:sz="4" w:space="4" w:color="auto"/>
          <w:bottom w:val="single" w:sz="4" w:space="1" w:color="auto"/>
          <w:right w:val="single" w:sz="4" w:space="4" w:color="auto"/>
        </w:pBdr>
        <w:shd w:val="clear" w:color="auto" w:fill="FDE9D9" w:themeFill="accent6" w:themeFillTint="33"/>
        <w:ind w:left="142"/>
        <w:jc w:val="center"/>
        <w:rPr>
          <w:rFonts w:asciiTheme="majorHAnsi" w:hAnsiTheme="majorHAnsi"/>
          <w:noProof/>
          <w:sz w:val="20"/>
        </w:rPr>
      </w:pPr>
      <w:r>
        <w:rPr>
          <w:noProof/>
          <w:lang w:val="en-GB" w:eastAsia="en-GB"/>
        </w:rPr>
        <w:drawing>
          <wp:inline distT="0" distB="0" distL="0" distR="0">
            <wp:extent cx="2451100" cy="3616705"/>
            <wp:effectExtent l="0" t="0" r="635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9101" t="1429" r="7165" b="1590"/>
                    <a:stretch/>
                  </pic:blipFill>
                  <pic:spPr bwMode="auto">
                    <a:xfrm>
                      <a:off x="0" y="0"/>
                      <a:ext cx="2451726" cy="3617628"/>
                    </a:xfrm>
                    <a:prstGeom prst="rect">
                      <a:avLst/>
                    </a:prstGeom>
                    <a:noFill/>
                    <a:ln>
                      <a:noFill/>
                    </a:ln>
                    <a:extLst>
                      <a:ext uri="{53640926-AAD7-44D8-BBD7-CCE9431645EC}">
                        <a14:shadowObscured xmlns:a14="http://schemas.microsoft.com/office/drawing/2010/main"/>
                      </a:ext>
                    </a:extLst>
                  </pic:spPr>
                </pic:pic>
              </a:graphicData>
            </a:graphic>
          </wp:inline>
        </w:drawing>
      </w:r>
    </w:p>
    <w:p>
      <w:pPr>
        <w:rPr>
          <w:rFonts w:asciiTheme="majorHAnsi" w:hAnsiTheme="majorHAnsi"/>
          <w:noProof/>
          <w:sz w:val="20"/>
        </w:rPr>
        <w:sectPr>
          <w:headerReference w:type="even" r:id="rId64"/>
          <w:headerReference w:type="default" r:id="rId65"/>
          <w:footerReference w:type="even" r:id="rId66"/>
          <w:footerReference w:type="default" r:id="rId67"/>
          <w:headerReference w:type="first" r:id="rId68"/>
          <w:footerReference w:type="first" r:id="rId69"/>
          <w:type w:val="continuous"/>
          <w:pgSz w:w="11907" w:h="16839"/>
          <w:pgMar w:top="1134" w:right="1417" w:bottom="1134" w:left="1417" w:header="709" w:footer="709" w:gutter="0"/>
          <w:cols w:num="2" w:space="283"/>
          <w:docGrid w:linePitch="360"/>
        </w:sectPr>
      </w:pPr>
    </w:p>
    <w:p>
      <w:pPr>
        <w:rPr>
          <w:rFonts w:asciiTheme="majorHAnsi" w:hAnsiTheme="majorHAnsi"/>
          <w:noProof/>
          <w:sz w:val="20"/>
        </w:rPr>
      </w:pPr>
      <w:r>
        <w:rPr>
          <w:rFonts w:asciiTheme="majorHAnsi" w:hAnsiTheme="majorHAnsi"/>
          <w:noProof/>
          <w:sz w:val="20"/>
        </w:rPr>
        <w:t>Pokiaľ ide o výdavky, členské štáty boli požiadané, aby:</w:t>
      </w:r>
    </w:p>
    <w:p>
      <w:pPr>
        <w:ind w:left="68"/>
        <w:jc w:val="center"/>
        <w:rPr>
          <w:rFonts w:asciiTheme="majorHAnsi" w:hAnsiTheme="majorHAnsi"/>
          <w:noProof/>
          <w:sz w:val="20"/>
        </w:rPr>
      </w:pPr>
      <w:r>
        <w:rPr>
          <w:noProof/>
          <w:lang w:val="en-GB" w:eastAsia="en-GB"/>
        </w:rPr>
        <w:drawing>
          <wp:inline distT="0" distB="0" distL="0" distR="0">
            <wp:extent cx="4972050" cy="4495165"/>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70">
                      <a:extLst>
                        <a:ext uri="{28A0092B-C50C-407E-A947-70E740481C1C}">
                          <a14:useLocalDpi xmlns:a14="http://schemas.microsoft.com/office/drawing/2010/main" val="0"/>
                        </a:ext>
                      </a:extLst>
                    </a:blip>
                    <a:srcRect l="8599" t="3582" r="5086" b="5834"/>
                    <a:stretch/>
                  </pic:blipFill>
                  <pic:spPr bwMode="auto">
                    <a:xfrm>
                      <a:off x="0" y="0"/>
                      <a:ext cx="4972924" cy="4495955"/>
                    </a:xfrm>
                    <a:prstGeom prst="rect">
                      <a:avLst/>
                    </a:prstGeom>
                    <a:noFill/>
                    <a:ln>
                      <a:noFill/>
                    </a:ln>
                    <a:extLst>
                      <a:ext uri="{53640926-AAD7-44D8-BBD7-CCE9431645EC}">
                        <a14:shadowObscured xmlns:a14="http://schemas.microsoft.com/office/drawing/2010/main"/>
                      </a:ext>
                    </a:extLst>
                  </pic:spPr>
                </pic:pic>
              </a:graphicData>
            </a:graphic>
          </wp:inline>
        </w:drawing>
      </w:r>
    </w:p>
    <w:p>
      <w:pPr>
        <w:spacing w:before="0"/>
        <w:rPr>
          <w:rFonts w:asciiTheme="majorHAnsi" w:hAnsiTheme="majorHAnsi"/>
          <w:noProof/>
          <w:sz w:val="20"/>
        </w:rPr>
      </w:pPr>
      <w:r>
        <w:rPr>
          <w:rFonts w:asciiTheme="majorHAnsi" w:hAnsiTheme="majorHAnsi"/>
          <w:noProof/>
          <w:sz w:val="20"/>
        </w:rPr>
        <w:t>Celkovo z opatrení nadväzujúcich na odporúčania vyplýva, že väčšina členských štátov dosiahla pokrok. Výsledky ukázali účinné nadväzujúce opatrenia na príjmovej strane rozpočtu. Na strane výdavkov však jednoznačne existuje čoraz väčšia potreba užšej spolupráce medzi orgánmi, ktoré sa venujú ochrane finančných záujmov EÚ.</w:t>
      </w:r>
    </w:p>
    <w:p>
      <w:pPr>
        <w:rPr>
          <w:rFonts w:asciiTheme="majorHAnsi" w:hAnsiTheme="majorHAnsi"/>
          <w:noProof/>
          <w:sz w:val="20"/>
        </w:rPr>
      </w:pPr>
      <w:r>
        <w:rPr>
          <w:rFonts w:asciiTheme="majorHAnsi" w:hAnsiTheme="majorHAnsi"/>
          <w:noProof/>
          <w:sz w:val="20"/>
        </w:rPr>
        <w:t>Väčšina členských štátov zaviedla množstvo nástrojov a postupov na zhromažďovanie tipov od oznamovateľov a na zabezpečenie ich anonymity. Zdá sa však, že často chýba centrálna koordinácia alebo harmonizácia pravidiel a prístupov, a to aj na vnútroštátnej úrovni. Niektoré zostávajúce nedostatky pomôže odstrániť smernica o ochrane osôb nahlasujúcich porušenia práva Únie, na ktorej sa spoluzákonodarcovia dohodli v apríli 2019</w:t>
      </w:r>
      <w:r>
        <w:rPr>
          <w:rStyle w:val="FootnoteReference"/>
          <w:rFonts w:asciiTheme="majorHAnsi" w:hAnsiTheme="majorHAnsi"/>
          <w:noProof/>
          <w:sz w:val="20"/>
        </w:rPr>
        <w:footnoteReference w:id="27"/>
      </w:r>
      <w:r>
        <w:rPr>
          <w:rFonts w:asciiTheme="majorHAnsi" w:hAnsiTheme="majorHAnsi"/>
          <w:noProof/>
          <w:sz w:val="20"/>
        </w:rPr>
        <w:t>.</w:t>
      </w:r>
    </w:p>
    <w:p>
      <w:pPr>
        <w:rPr>
          <w:rFonts w:asciiTheme="majorHAnsi" w:hAnsiTheme="majorHAnsi"/>
          <w:noProof/>
          <w:sz w:val="20"/>
        </w:rPr>
      </w:pPr>
      <w:r>
        <w:rPr>
          <w:rFonts w:asciiTheme="majorHAnsi" w:hAnsiTheme="majorHAnsi"/>
          <w:noProof/>
          <w:sz w:val="20"/>
        </w:rPr>
        <w:t>Ďalšou potenciálnou oblasťou zlepšenia je spolupráca medzi správnymi orgánmi a orgánmi presadzovania práva a súdnictvom. AFCOS môže zohrávať dôležitú úlohu pri podpore a rozvíjaní takejto spolupráce, a to aj so zreteľom na zriadenie Európskej prokuratúry. To zdôraznil aj Dvor audítorov v osobitnej správe č. 06/2019.</w:t>
      </w:r>
    </w:p>
    <w:p>
      <w:pPr>
        <w:pStyle w:val="Heading2"/>
        <w:tabs>
          <w:tab w:val="clear" w:pos="850"/>
          <w:tab w:val="num" w:pos="567"/>
        </w:tabs>
        <w:spacing w:before="0" w:after="240"/>
        <w:ind w:left="0" w:firstLine="0"/>
        <w:rPr>
          <w:rFonts w:asciiTheme="majorHAnsi" w:hAnsiTheme="majorHAnsi"/>
          <w:noProof/>
          <w:color w:val="1F497D" w:themeColor="text2"/>
          <w:sz w:val="20"/>
        </w:rPr>
      </w:pPr>
      <w:bookmarkStart w:id="27" w:name="_Toc22547317"/>
      <w:r>
        <w:rPr>
          <w:rFonts w:asciiTheme="majorHAnsi" w:hAnsiTheme="majorHAnsi"/>
          <w:noProof/>
          <w:color w:val="1F497D" w:themeColor="text2"/>
          <w:sz w:val="20"/>
        </w:rPr>
        <w:t>Zhrnutie štatistík o odhalených nezrovnalostiach a podvodoch</w:t>
      </w:r>
      <w:r>
        <w:rPr>
          <w:rStyle w:val="FootnoteReference"/>
          <w:noProof/>
        </w:rPr>
        <w:footnoteReference w:id="28"/>
      </w:r>
      <w:bookmarkEnd w:id="27"/>
    </w:p>
    <w:p>
      <w:pPr>
        <w:spacing w:before="0" w:after="240"/>
        <w:rPr>
          <w:rFonts w:asciiTheme="majorHAnsi" w:hAnsiTheme="majorHAnsi"/>
          <w:noProof/>
          <w:sz w:val="20"/>
        </w:rPr>
      </w:pPr>
      <w:r>
        <w:rPr>
          <w:rFonts w:asciiTheme="majorHAnsi" w:hAnsiTheme="majorHAnsi"/>
          <w:noProof/>
          <w:sz w:val="20"/>
        </w:rPr>
        <w:t>V roku 2018 bolo Komisii oznámených spolu 11 638 podvodných a nepodvodných nezrovnalostí, čo je o 25 % menej než v roku 2017. Týkali sa približne 2,5 miliardy EUR, čo je porovnateľné so sumou v predchádzajúcom roku.</w:t>
      </w:r>
    </w:p>
    <w:p>
      <w:pPr>
        <w:spacing w:before="0" w:after="240"/>
        <w:rPr>
          <w:rFonts w:asciiTheme="majorHAnsi" w:hAnsiTheme="majorHAnsi"/>
          <w:noProof/>
          <w:sz w:val="20"/>
        </w:rPr>
      </w:pPr>
      <w:r>
        <w:rPr>
          <w:rFonts w:asciiTheme="majorHAnsi" w:hAnsiTheme="majorHAnsi"/>
          <w:noProof/>
          <w:sz w:val="20"/>
        </w:rPr>
        <w:t>Odhalenie a oznámenie nezrovnalosti znamená, že boli prijaté nápravné opatrenia zamerané na ochranu finančných záujmov EÚ a že v prípade podozrenia z podvodu bolo začaté trestné konanie.</w:t>
      </w:r>
    </w:p>
    <w:p>
      <w:pPr>
        <w:pStyle w:val="Caption"/>
        <w:keepNext/>
        <w:ind w:left="1134" w:hanging="1134"/>
        <w:rPr>
          <w:rFonts w:asciiTheme="majorHAnsi" w:hAnsiTheme="majorHAnsi"/>
          <w:noProof/>
          <w:sz w:val="20"/>
          <w:szCs w:val="20"/>
        </w:rPr>
      </w:pPr>
      <w:bookmarkStart w:id="28" w:name="_Toc22547532"/>
      <w:r>
        <w:rPr>
          <w:rFonts w:asciiTheme="majorHAnsi" w:hAnsiTheme="majorHAnsi"/>
          <w:noProof/>
          <w:sz w:val="20"/>
          <w:szCs w:val="20"/>
        </w:rPr>
        <w:t xml:space="preserve">Obr. </w:t>
      </w:r>
      <w:r>
        <w:rPr>
          <w:rFonts w:asciiTheme="majorHAnsi" w:hAnsiTheme="majorHAnsi"/>
          <w:noProof/>
          <w:sz w:val="20"/>
          <w:szCs w:val="20"/>
        </w:rPr>
        <w:fldChar w:fldCharType="begin"/>
      </w:r>
      <w:r>
        <w:rPr>
          <w:rFonts w:asciiTheme="majorHAnsi" w:hAnsiTheme="majorHAnsi"/>
          <w:noProof/>
          <w:sz w:val="20"/>
          <w:szCs w:val="20"/>
        </w:rPr>
        <w:instrText xml:space="preserve"> SEQ Figure \* ARABIC </w:instrText>
      </w:r>
      <w:r>
        <w:rPr>
          <w:rFonts w:asciiTheme="majorHAnsi" w:hAnsiTheme="majorHAnsi"/>
          <w:noProof/>
          <w:sz w:val="20"/>
          <w:szCs w:val="20"/>
        </w:rPr>
        <w:fldChar w:fldCharType="separate"/>
      </w:r>
      <w:r>
        <w:rPr>
          <w:rFonts w:asciiTheme="majorHAnsi" w:hAnsiTheme="majorHAnsi"/>
          <w:noProof/>
          <w:sz w:val="20"/>
          <w:szCs w:val="20"/>
        </w:rPr>
        <w:t>1</w:t>
      </w:r>
      <w:r>
        <w:rPr>
          <w:rFonts w:asciiTheme="majorHAnsi" w:hAnsiTheme="majorHAnsi"/>
          <w:noProof/>
          <w:sz w:val="20"/>
          <w:szCs w:val="20"/>
        </w:rPr>
        <w:fldChar w:fldCharType="end"/>
      </w:r>
      <w:r>
        <w:rPr>
          <w:rFonts w:asciiTheme="majorHAnsi" w:hAnsiTheme="majorHAnsi"/>
          <w:noProof/>
          <w:sz w:val="20"/>
          <w:szCs w:val="20"/>
        </w:rPr>
        <w:t xml:space="preserve">: </w:t>
      </w:r>
      <w:r>
        <w:rPr>
          <w:rFonts w:asciiTheme="majorHAnsi" w:hAnsiTheme="majorHAnsi"/>
          <w:noProof/>
          <w:sz w:val="20"/>
          <w:szCs w:val="20"/>
        </w:rPr>
        <w:tab/>
        <w:t>Nezrovnalosti oznámené ako podvodné v roku 2018</w:t>
      </w:r>
      <w:bookmarkEnd w:id="28"/>
    </w:p>
    <w:p>
      <w:pPr>
        <w:spacing w:before="0" w:after="240"/>
        <w:rPr>
          <w:rFonts w:asciiTheme="majorHAnsi" w:hAnsiTheme="majorHAnsi"/>
          <w:noProof/>
          <w:sz w:val="20"/>
        </w:rPr>
      </w:pPr>
      <w:r>
        <w:rPr>
          <w:rFonts w:asciiTheme="majorHAnsi" w:hAnsiTheme="majorHAnsi"/>
          <w:noProof/>
          <w:sz w:val="20"/>
          <w:lang w:val="en-GB" w:eastAsia="en-GB"/>
        </w:rPr>
        <w:drawing>
          <wp:inline distT="0" distB="0" distL="0" distR="0">
            <wp:extent cx="5761355" cy="4217158"/>
            <wp:effectExtent l="0" t="0" r="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p>
    <w:p>
      <w:pPr>
        <w:spacing w:before="0" w:after="240"/>
        <w:rPr>
          <w:rFonts w:asciiTheme="majorHAnsi" w:hAnsiTheme="majorHAnsi"/>
          <w:noProof/>
          <w:sz w:val="20"/>
        </w:rPr>
      </w:pPr>
    </w:p>
    <w:p>
      <w:pPr>
        <w:spacing w:before="0" w:after="240"/>
        <w:rPr>
          <w:rFonts w:asciiTheme="majorHAnsi" w:hAnsiTheme="majorHAnsi"/>
          <w:noProof/>
          <w:sz w:val="20"/>
        </w:rPr>
        <w:sectPr>
          <w:headerReference w:type="even" r:id="rId76"/>
          <w:headerReference w:type="default" r:id="rId77"/>
          <w:footerReference w:type="even" r:id="rId78"/>
          <w:footerReference w:type="default" r:id="rId79"/>
          <w:headerReference w:type="first" r:id="rId80"/>
          <w:footerReference w:type="first" r:id="rId81"/>
          <w:type w:val="continuous"/>
          <w:pgSz w:w="11907" w:h="16839"/>
          <w:pgMar w:top="1134" w:right="1417" w:bottom="1134" w:left="1417" w:header="709" w:footer="709" w:gutter="0"/>
          <w:cols w:space="283"/>
          <w:docGrid w:linePitch="360"/>
        </w:sectPr>
      </w:pPr>
    </w:p>
    <w:p>
      <w:pPr>
        <w:pStyle w:val="Heading3"/>
        <w:ind w:left="567" w:hanging="567"/>
        <w:rPr>
          <w:rFonts w:asciiTheme="majorHAnsi" w:hAnsiTheme="majorHAnsi"/>
          <w:noProof/>
          <w:color w:val="1F497D" w:themeColor="text2"/>
          <w:sz w:val="20"/>
        </w:rPr>
      </w:pPr>
      <w:bookmarkStart w:id="29" w:name="_Toc22547318"/>
      <w:r>
        <w:rPr>
          <w:rFonts w:asciiTheme="majorHAnsi" w:hAnsiTheme="majorHAnsi"/>
          <w:noProof/>
          <w:color w:val="1F497D" w:themeColor="text2"/>
          <w:sz w:val="20"/>
        </w:rPr>
        <w:t>Odhalené podvodné nezrovnalosti</w:t>
      </w:r>
      <w:bookmarkEnd w:id="29"/>
    </w:p>
    <w:p>
      <w:pPr>
        <w:spacing w:before="0" w:after="240"/>
        <w:rPr>
          <w:rFonts w:asciiTheme="majorHAnsi" w:hAnsiTheme="majorHAnsi"/>
          <w:noProof/>
          <w:sz w:val="20"/>
        </w:rPr>
      </w:pPr>
      <w:r>
        <w:rPr>
          <w:rFonts w:asciiTheme="majorHAnsi" w:hAnsiTheme="majorHAnsi"/>
          <w:noProof/>
          <w:sz w:val="20"/>
        </w:rPr>
        <w:t>Počet nezrovnalostí oznámených ako podvodné (čo zahŕňa prípady podozrenia z podvodu alebo preukázané podvody) a súvisiace sumy nepredstavujú priamy ukazovateľ úrovne podvodov poškodzujúcich rozpočet EÚ. Poukazujú iba na to, koľko prípadov potenciálnych podvodov orgány členských štátov a EÚ odhalili a oznámili.</w:t>
      </w:r>
    </w:p>
    <w:p>
      <w:pPr>
        <w:spacing w:before="0" w:after="240"/>
        <w:rPr>
          <w:rFonts w:asciiTheme="majorHAnsi" w:hAnsiTheme="majorHAnsi"/>
          <w:noProof/>
          <w:sz w:val="20"/>
        </w:rPr>
      </w:pPr>
      <w:r>
        <w:rPr>
          <w:rFonts w:asciiTheme="majorHAnsi" w:hAnsiTheme="majorHAnsi"/>
          <w:noProof/>
          <w:sz w:val="20"/>
        </w:rPr>
        <w:t>V roku 2018 bolo oznámených 1 152 podvodných nezrovnalostí (t. j. 10 % všetkých odhalených a oznámených nezrovnalostí)</w:t>
      </w:r>
      <w:r>
        <w:rPr>
          <w:rStyle w:val="FootnoteReference"/>
          <w:rFonts w:asciiTheme="majorHAnsi" w:hAnsiTheme="majorHAnsi"/>
          <w:noProof/>
          <w:sz w:val="20"/>
        </w:rPr>
        <w:footnoteReference w:id="29"/>
      </w:r>
      <w:r>
        <w:rPr>
          <w:rFonts w:asciiTheme="majorHAnsi" w:hAnsiTheme="majorHAnsi"/>
          <w:noProof/>
          <w:sz w:val="20"/>
        </w:rPr>
        <w:t>, ktoré sa týkali 1 197,2 milióna EUR (nezrovnalosťami bolo teda poškodených 48 % celkových finančných prostriedkov)</w:t>
      </w:r>
      <w:r>
        <w:rPr>
          <w:rStyle w:val="FootnoteReference"/>
          <w:rFonts w:asciiTheme="majorHAnsi" w:hAnsiTheme="majorHAnsi"/>
          <w:noProof/>
          <w:sz w:val="20"/>
        </w:rPr>
        <w:footnoteReference w:id="30"/>
      </w:r>
      <w:r>
        <w:rPr>
          <w:rFonts w:asciiTheme="majorHAnsi" w:hAnsiTheme="majorHAnsi"/>
          <w:noProof/>
          <w:sz w:val="20"/>
        </w:rPr>
        <w:t xml:space="preserve"> v oblasti výdavkov aj príjmov, ako je to znázornené na obrázku 1.</w:t>
      </w:r>
    </w:p>
    <w:p>
      <w:pPr>
        <w:spacing w:before="0" w:after="240"/>
        <w:rPr>
          <w:rFonts w:asciiTheme="majorHAnsi" w:hAnsiTheme="majorHAnsi"/>
          <w:noProof/>
          <w:sz w:val="20"/>
        </w:rPr>
      </w:pPr>
      <w:r>
        <w:rPr>
          <w:rFonts w:asciiTheme="majorHAnsi" w:hAnsiTheme="majorHAnsi"/>
          <w:noProof/>
          <w:sz w:val="20"/>
        </w:rPr>
        <w:t xml:space="preserve">Počet podvodných nezrovnalostí oznámených v roku 2018 zostal v porovnaní s rokom 2017 stabilný, zatiaľ čo ich finančná hodnota sa zvýšila o významných 183 %. Za päťročné obdobie (2014 – 2018) to bolo o 27 % menej než v roku 2014, čo je 16 % pod päťročným priemerom. Finančný vplyv však značne kolíše (pozri obr. 4), keďže môže byť ovplyvnený jednotlivými prípadmi týkajúcimi sa vysokých súm. </w:t>
      </w:r>
      <w:r>
        <w:rPr>
          <w:rFonts w:asciiTheme="majorHAnsi" w:hAnsiTheme="majorHAnsi"/>
          <w:noProof/>
          <w:sz w:val="20"/>
          <w:szCs w:val="20"/>
        </w:rPr>
        <w:t>Dôvody prudkého nárastu v roku 2018 súvisia s politikou súdržnosti, a preto sú uvedené v časti 4.3.2.1.</w:t>
      </w:r>
    </w:p>
    <w:p>
      <w:pPr>
        <w:pStyle w:val="Caption"/>
        <w:keepNext/>
        <w:spacing w:after="240"/>
        <w:ind w:left="1134" w:hanging="1134"/>
        <w:rPr>
          <w:rFonts w:asciiTheme="majorHAnsi" w:hAnsiTheme="majorHAnsi"/>
          <w:noProof/>
          <w:sz w:val="20"/>
          <w:szCs w:val="20"/>
        </w:rPr>
      </w:pPr>
      <w:bookmarkStart w:id="30" w:name="_Toc22547533"/>
      <w:r>
        <w:rPr>
          <w:noProof/>
        </w:rPr>
        <w:t xml:space="preserve">Obr. </w:t>
      </w:r>
      <w:r>
        <w:rPr>
          <w:rFonts w:asciiTheme="majorHAnsi" w:hAnsiTheme="majorHAnsi"/>
          <w:noProof/>
          <w:sz w:val="20"/>
          <w:szCs w:val="20"/>
        </w:rPr>
        <w:fldChar w:fldCharType="begin"/>
      </w:r>
      <w:r>
        <w:rPr>
          <w:rFonts w:asciiTheme="majorHAnsi" w:hAnsiTheme="majorHAnsi"/>
          <w:noProof/>
          <w:sz w:val="20"/>
          <w:szCs w:val="20"/>
        </w:rPr>
        <w:instrText xml:space="preserve"> SEQ Figure \* ARABIC </w:instrText>
      </w:r>
      <w:r>
        <w:rPr>
          <w:rFonts w:asciiTheme="majorHAnsi" w:hAnsiTheme="majorHAnsi"/>
          <w:noProof/>
          <w:sz w:val="20"/>
          <w:szCs w:val="20"/>
        </w:rPr>
        <w:fldChar w:fldCharType="separate"/>
      </w:r>
      <w:r>
        <w:rPr>
          <w:rFonts w:asciiTheme="majorHAnsi" w:hAnsiTheme="majorHAnsi"/>
          <w:noProof/>
          <w:sz w:val="20"/>
          <w:szCs w:val="20"/>
        </w:rPr>
        <w:t>2</w:t>
      </w:r>
      <w:r>
        <w:rPr>
          <w:rFonts w:asciiTheme="majorHAnsi" w:hAnsiTheme="majorHAnsi"/>
          <w:noProof/>
          <w:sz w:val="20"/>
          <w:szCs w:val="20"/>
        </w:rPr>
        <w:fldChar w:fldCharType="end"/>
      </w:r>
      <w:r>
        <w:rPr>
          <w:noProof/>
        </w:rPr>
        <w:t>:</w:t>
      </w:r>
      <w:r>
        <w:rPr>
          <w:rFonts w:asciiTheme="majorHAnsi" w:hAnsiTheme="majorHAnsi"/>
          <w:noProof/>
          <w:sz w:val="20"/>
          <w:szCs w:val="20"/>
        </w:rPr>
        <w:t xml:space="preserve"> </w:t>
      </w:r>
      <w:r>
        <w:rPr>
          <w:rFonts w:asciiTheme="majorHAnsi" w:hAnsiTheme="majorHAnsi"/>
          <w:noProof/>
          <w:sz w:val="20"/>
          <w:szCs w:val="20"/>
        </w:rPr>
        <w:tab/>
        <w:t>Nezrovnalosti oznámené ako podvodné a súvisiace sumy, 2014 – 2018</w:t>
      </w:r>
      <w:bookmarkEnd w:id="30"/>
    </w:p>
    <w:p>
      <w:pPr>
        <w:spacing w:before="0" w:after="200"/>
        <w:jc w:val="center"/>
        <w:rPr>
          <w:rFonts w:asciiTheme="majorHAnsi" w:hAnsiTheme="majorHAnsi"/>
          <w:noProof/>
          <w:sz w:val="20"/>
          <w:highlight w:val="yellow"/>
        </w:rPr>
      </w:pPr>
      <w:r>
        <w:rPr>
          <w:noProof/>
          <w:highlight w:val="yellow"/>
          <w:lang w:val="en-GB" w:eastAsia="en-GB"/>
        </w:rPr>
        <w:drawing>
          <wp:inline distT="0" distB="0" distL="0" distR="0">
            <wp:extent cx="6036129" cy="2983374"/>
            <wp:effectExtent l="0" t="0" r="3175"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82">
                      <a:extLst>
                        <a:ext uri="{28A0092B-C50C-407E-A947-70E740481C1C}">
                          <a14:useLocalDpi xmlns:a14="http://schemas.microsoft.com/office/drawing/2010/main" val="0"/>
                        </a:ext>
                      </a:extLst>
                    </a:blip>
                    <a:srcRect l="4960" t="-1" r="8732" b="1048"/>
                    <a:stretch/>
                  </pic:blipFill>
                  <pic:spPr bwMode="auto">
                    <a:xfrm>
                      <a:off x="0" y="0"/>
                      <a:ext cx="6057114" cy="2993746"/>
                    </a:xfrm>
                    <a:prstGeom prst="rect">
                      <a:avLst/>
                    </a:prstGeom>
                    <a:noFill/>
                    <a:ln>
                      <a:noFill/>
                    </a:ln>
                    <a:extLst>
                      <a:ext uri="{53640926-AAD7-44D8-BBD7-CCE9431645EC}">
                        <a14:shadowObscured xmlns:a14="http://schemas.microsoft.com/office/drawing/2010/main"/>
                      </a:ext>
                    </a:extLst>
                  </pic:spPr>
                </pic:pic>
              </a:graphicData>
            </a:graphic>
          </wp:inline>
        </w:drawing>
      </w:r>
    </w:p>
    <w:p>
      <w:pPr>
        <w:spacing w:before="0" w:after="240"/>
        <w:rPr>
          <w:rFonts w:asciiTheme="majorHAnsi" w:hAnsiTheme="majorHAnsi"/>
          <w:noProof/>
          <w:sz w:val="20"/>
          <w:highlight w:val="yellow"/>
        </w:rPr>
      </w:pPr>
      <w:r>
        <w:rPr>
          <w:rFonts w:asciiTheme="majorHAnsi" w:hAnsiTheme="majorHAnsi"/>
          <w:noProof/>
          <w:sz w:val="20"/>
        </w:rPr>
        <w:t>Rozdelenie podvodných nezrovnalostí, ktoré boli oznámené v roku 2018, podľa členského štátu a oblasti rozpočtu je uvedené v prílohe 1.</w:t>
      </w:r>
    </w:p>
    <w:p>
      <w:pPr>
        <w:pStyle w:val="Heading3"/>
        <w:tabs>
          <w:tab w:val="num" w:pos="851"/>
        </w:tabs>
        <w:spacing w:before="0" w:after="240"/>
        <w:ind w:left="567" w:hanging="567"/>
        <w:rPr>
          <w:rFonts w:asciiTheme="majorHAnsi" w:hAnsiTheme="majorHAnsi"/>
          <w:noProof/>
          <w:color w:val="1F497D" w:themeColor="text2"/>
          <w:sz w:val="20"/>
        </w:rPr>
      </w:pPr>
      <w:bookmarkStart w:id="31" w:name="_Toc22547319"/>
      <w:r>
        <w:rPr>
          <w:rFonts w:asciiTheme="majorHAnsi" w:hAnsiTheme="majorHAnsi"/>
          <w:noProof/>
          <w:color w:val="1F497D" w:themeColor="text2"/>
          <w:sz w:val="20"/>
        </w:rPr>
        <w:t>Odhalené a oznámené nepodvodné nezrovnalosti</w:t>
      </w:r>
      <w:bookmarkEnd w:id="31"/>
    </w:p>
    <w:p>
      <w:pPr>
        <w:spacing w:before="0"/>
        <w:rPr>
          <w:noProof/>
        </w:rPr>
      </w:pPr>
      <w:r>
        <w:rPr>
          <w:rFonts w:asciiTheme="majorHAnsi" w:hAnsiTheme="majorHAnsi"/>
          <w:noProof/>
          <w:sz w:val="20"/>
        </w:rPr>
        <w:t>V roku 2018 bolo Komisii oznámených 10 487 nepodvodných nezrovnalostí (o 27 % menej ako v roku 2017). Vo všetkých oblastiach okrem predvstupovej politiky sa číselné údaje znížili.</w:t>
      </w:r>
      <w:r>
        <w:rPr>
          <w:rFonts w:asciiTheme="majorHAnsi" w:hAnsiTheme="majorHAnsi"/>
          <w:noProof/>
          <w:color w:val="FF0000"/>
          <w:sz w:val="20"/>
        </w:rPr>
        <w:t xml:space="preserve"> </w:t>
      </w:r>
      <w:r>
        <w:rPr>
          <w:rFonts w:asciiTheme="majorHAnsi" w:hAnsiTheme="majorHAnsi"/>
          <w:noProof/>
          <w:sz w:val="20"/>
        </w:rPr>
        <w:t>Príslušná finančná hodnota klesla o 37 % na približne 1,3 miliardy EUR, ako je to uvedené na obrázku 3</w:t>
      </w:r>
      <w:r>
        <w:rPr>
          <w:noProof/>
        </w:rPr>
        <w:t>.</w:t>
      </w:r>
    </w:p>
    <w:p>
      <w:pPr>
        <w:spacing w:before="0"/>
        <w:rPr>
          <w:rFonts w:asciiTheme="majorHAnsi" w:hAnsiTheme="majorHAnsi"/>
          <w:noProof/>
          <w:sz w:val="20"/>
        </w:rPr>
      </w:pPr>
      <w:r>
        <w:rPr>
          <w:rFonts w:asciiTheme="majorHAnsi" w:hAnsiTheme="majorHAnsi"/>
          <w:noProof/>
          <w:sz w:val="20"/>
        </w:rPr>
        <w:t>Rozdelenie nepodvodných nezrovnalostí, ktoré boli oznámené v roku 2018, podľa členského štátu a oblasti rozpočtu je uvedené v prílohe 2.</w:t>
      </w:r>
    </w:p>
    <w:p>
      <w:pPr>
        <w:pStyle w:val="Caption"/>
        <w:keepNext/>
        <w:spacing w:after="240"/>
        <w:ind w:left="1134" w:hanging="1134"/>
        <w:rPr>
          <w:rFonts w:asciiTheme="majorHAnsi" w:hAnsiTheme="majorHAnsi"/>
          <w:noProof/>
          <w:sz w:val="20"/>
          <w:szCs w:val="20"/>
        </w:rPr>
      </w:pPr>
      <w:bookmarkStart w:id="32" w:name="_Toc22547534"/>
      <w:r>
        <w:rPr>
          <w:rFonts w:asciiTheme="majorHAnsi" w:hAnsiTheme="majorHAnsi"/>
          <w:noProof/>
          <w:sz w:val="20"/>
          <w:szCs w:val="20"/>
        </w:rPr>
        <w:t xml:space="preserve">Obr. </w:t>
      </w:r>
      <w:r>
        <w:rPr>
          <w:rFonts w:asciiTheme="majorHAnsi" w:hAnsiTheme="majorHAnsi"/>
          <w:noProof/>
          <w:sz w:val="20"/>
          <w:szCs w:val="20"/>
        </w:rPr>
        <w:fldChar w:fldCharType="begin"/>
      </w:r>
      <w:r>
        <w:rPr>
          <w:rFonts w:asciiTheme="majorHAnsi" w:hAnsiTheme="majorHAnsi"/>
          <w:noProof/>
          <w:sz w:val="20"/>
          <w:szCs w:val="20"/>
        </w:rPr>
        <w:instrText xml:space="preserve"> SEQ Figure \* ARABIC </w:instrText>
      </w:r>
      <w:r>
        <w:rPr>
          <w:rFonts w:asciiTheme="majorHAnsi" w:hAnsiTheme="majorHAnsi"/>
          <w:noProof/>
          <w:sz w:val="20"/>
          <w:szCs w:val="20"/>
        </w:rPr>
        <w:fldChar w:fldCharType="separate"/>
      </w:r>
      <w:r>
        <w:rPr>
          <w:rFonts w:asciiTheme="majorHAnsi" w:hAnsiTheme="majorHAnsi"/>
          <w:noProof/>
          <w:sz w:val="20"/>
          <w:szCs w:val="20"/>
        </w:rPr>
        <w:t>3</w:t>
      </w:r>
      <w:r>
        <w:rPr>
          <w:rFonts w:asciiTheme="majorHAnsi" w:hAnsiTheme="majorHAnsi"/>
          <w:noProof/>
          <w:sz w:val="20"/>
          <w:szCs w:val="20"/>
        </w:rPr>
        <w:fldChar w:fldCharType="end"/>
      </w:r>
      <w:r>
        <w:rPr>
          <w:noProof/>
        </w:rPr>
        <w:t>:</w:t>
      </w:r>
      <w:r>
        <w:rPr>
          <w:rFonts w:asciiTheme="majorHAnsi" w:hAnsiTheme="majorHAnsi"/>
          <w:noProof/>
          <w:sz w:val="20"/>
          <w:szCs w:val="20"/>
        </w:rPr>
        <w:t xml:space="preserve"> </w:t>
      </w:r>
      <w:r>
        <w:rPr>
          <w:rFonts w:asciiTheme="majorHAnsi" w:hAnsiTheme="majorHAnsi"/>
          <w:noProof/>
          <w:sz w:val="20"/>
          <w:szCs w:val="20"/>
        </w:rPr>
        <w:tab/>
        <w:t>Nezrovnalosti oznámené ako nepodvodné v roku 2018</w:t>
      </w:r>
      <w:bookmarkEnd w:id="32"/>
    </w:p>
    <w:p>
      <w:pPr>
        <w:rPr>
          <w:rFonts w:asciiTheme="majorHAnsi" w:hAnsiTheme="majorHAnsi"/>
          <w:noProof/>
          <w:sz w:val="20"/>
        </w:rPr>
      </w:pPr>
      <w:r>
        <w:rPr>
          <w:rFonts w:asciiTheme="majorHAnsi" w:hAnsiTheme="majorHAnsi"/>
          <w:noProof/>
          <w:sz w:val="20"/>
          <w:lang w:val="en-GB" w:eastAsia="en-GB"/>
        </w:rPr>
        <w:drawing>
          <wp:inline distT="0" distB="0" distL="0" distR="0">
            <wp:extent cx="5761355" cy="3919385"/>
            <wp:effectExtent l="0" t="0" r="0" b="508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inline>
        </w:drawing>
      </w:r>
    </w:p>
    <w:p>
      <w:pPr>
        <w:jc w:val="center"/>
        <w:rPr>
          <w:noProof/>
        </w:rPr>
      </w:pPr>
    </w:p>
    <w:p>
      <w:pPr>
        <w:spacing w:before="0" w:after="240"/>
        <w:rPr>
          <w:rFonts w:asciiTheme="majorHAnsi" w:hAnsiTheme="majorHAnsi"/>
          <w:noProof/>
          <w:sz w:val="20"/>
        </w:rPr>
        <w:sectPr>
          <w:headerReference w:type="even" r:id="rId88"/>
          <w:headerReference w:type="default" r:id="rId89"/>
          <w:footerReference w:type="even" r:id="rId90"/>
          <w:footerReference w:type="default" r:id="rId91"/>
          <w:headerReference w:type="first" r:id="rId92"/>
          <w:footerReference w:type="first" r:id="rId93"/>
          <w:type w:val="continuous"/>
          <w:pgSz w:w="11907" w:h="16839"/>
          <w:pgMar w:top="1134" w:right="1417" w:bottom="1134" w:left="1417" w:header="709" w:footer="709" w:gutter="0"/>
          <w:cols w:space="283"/>
          <w:docGrid w:linePitch="360"/>
        </w:sectPr>
      </w:pPr>
    </w:p>
    <w:p>
      <w:pPr>
        <w:pStyle w:val="Heading3"/>
        <w:tabs>
          <w:tab w:val="clear" w:pos="991"/>
          <w:tab w:val="num" w:pos="850"/>
        </w:tabs>
        <w:spacing w:before="240" w:after="240"/>
        <w:ind w:left="567" w:hanging="567"/>
        <w:rPr>
          <w:rFonts w:asciiTheme="majorHAnsi" w:hAnsiTheme="majorHAnsi"/>
          <w:noProof/>
          <w:color w:val="1F497D" w:themeColor="text2"/>
          <w:sz w:val="20"/>
        </w:rPr>
      </w:pPr>
      <w:bookmarkStart w:id="33" w:name="_Toc22547320"/>
      <w:r>
        <w:rPr>
          <w:rFonts w:asciiTheme="majorHAnsi" w:hAnsiTheme="majorHAnsi"/>
          <w:noProof/>
          <w:color w:val="1F497D" w:themeColor="text2"/>
          <w:sz w:val="20"/>
        </w:rPr>
        <w:t>Vyšetrovania vedené úradom OLAF</w:t>
      </w:r>
      <w:bookmarkEnd w:id="33"/>
    </w:p>
    <w:p>
      <w:pPr>
        <w:spacing w:before="0" w:after="240"/>
        <w:rPr>
          <w:rFonts w:asciiTheme="majorHAnsi" w:eastAsia="Calibri" w:hAnsiTheme="majorHAnsi"/>
          <w:noProof/>
          <w:spacing w:val="-4"/>
          <w:sz w:val="20"/>
        </w:rPr>
      </w:pPr>
      <w:r>
        <w:rPr>
          <w:rFonts w:asciiTheme="majorHAnsi" w:hAnsiTheme="majorHAnsi"/>
          <w:noProof/>
          <w:spacing w:val="-4"/>
          <w:sz w:val="20"/>
        </w:rPr>
        <w:t>V roku 2018 úrad OLAF začal 219 vyšetrovaní, uzavrel 167 vyšetrovaní a odporučil vymáhanie finančných prostriedkov vo výške 371 miliardy EUR. Na konci roka prebiehalo 414 vyšetrovaní</w:t>
      </w:r>
      <w:r>
        <w:rPr>
          <w:rStyle w:val="FootnoteReference"/>
          <w:rFonts w:asciiTheme="majorHAnsi" w:eastAsia="Calibri" w:hAnsiTheme="majorHAnsi"/>
          <w:noProof/>
          <w:spacing w:val="-4"/>
          <w:sz w:val="20"/>
        </w:rPr>
        <w:footnoteReference w:id="31"/>
      </w:r>
      <w:r>
        <w:rPr>
          <w:noProof/>
          <w:spacing w:val="-4"/>
        </w:rPr>
        <w:t>.</w:t>
      </w:r>
    </w:p>
    <w:p>
      <w:pPr>
        <w:pStyle w:val="Heading1"/>
        <w:tabs>
          <w:tab w:val="clear" w:pos="1570"/>
          <w:tab w:val="num" w:pos="567"/>
        </w:tabs>
        <w:spacing w:before="0" w:after="240"/>
        <w:ind w:left="426" w:hanging="426"/>
        <w:rPr>
          <w:rFonts w:asciiTheme="majorHAnsi" w:hAnsiTheme="majorHAnsi"/>
          <w:noProof/>
          <w:color w:val="1F497D" w:themeColor="text2"/>
          <w:spacing w:val="-4"/>
          <w:sz w:val="20"/>
        </w:rPr>
      </w:pPr>
      <w:bookmarkStart w:id="34" w:name="_Toc22547321"/>
      <w:r>
        <w:rPr>
          <w:rFonts w:asciiTheme="majorHAnsi" w:hAnsiTheme="majorHAnsi"/>
          <w:noProof/>
          <w:color w:val="1F497D" w:themeColor="text2"/>
          <w:spacing w:val="-4"/>
          <w:sz w:val="20"/>
        </w:rPr>
        <w:t>Politiky a opatrenia na boj proti podvodom a ich výsledky – príjmy</w:t>
      </w:r>
      <w:bookmarkEnd w:id="34"/>
    </w:p>
    <w:p>
      <w:pPr>
        <w:pStyle w:val="Heading2"/>
        <w:tabs>
          <w:tab w:val="clear" w:pos="850"/>
          <w:tab w:val="num" w:pos="567"/>
        </w:tabs>
        <w:spacing w:before="0" w:after="240"/>
        <w:ind w:left="0" w:firstLine="0"/>
        <w:rPr>
          <w:rFonts w:asciiTheme="majorHAnsi" w:hAnsiTheme="majorHAnsi"/>
          <w:noProof/>
          <w:color w:val="1F497D" w:themeColor="text2"/>
          <w:spacing w:val="-4"/>
          <w:sz w:val="20"/>
        </w:rPr>
      </w:pPr>
      <w:bookmarkStart w:id="35" w:name="_Toc22547322"/>
      <w:r>
        <w:rPr>
          <w:rFonts w:asciiTheme="majorHAnsi" w:hAnsiTheme="majorHAnsi"/>
          <w:noProof/>
          <w:color w:val="1F497D" w:themeColor="text2"/>
          <w:spacing w:val="-4"/>
          <w:sz w:val="20"/>
        </w:rPr>
        <w:t>Opatrenia inštitúcií EÚ na boj proti podvodom – príjmy</w:t>
      </w:r>
      <w:bookmarkEnd w:id="35"/>
    </w:p>
    <w:p>
      <w:pPr>
        <w:pStyle w:val="Heading3"/>
        <w:tabs>
          <w:tab w:val="num" w:pos="851"/>
        </w:tabs>
        <w:ind w:left="709" w:hanging="709"/>
        <w:rPr>
          <w:rFonts w:asciiTheme="majorHAnsi" w:hAnsiTheme="majorHAnsi"/>
          <w:noProof/>
          <w:color w:val="1F497D" w:themeColor="text2"/>
          <w:spacing w:val="-4"/>
          <w:sz w:val="20"/>
        </w:rPr>
      </w:pPr>
      <w:bookmarkStart w:id="36" w:name="_Toc22547323"/>
      <w:r>
        <w:rPr>
          <w:rFonts w:asciiTheme="majorHAnsi" w:hAnsiTheme="majorHAnsi"/>
          <w:noProof/>
          <w:color w:val="1F497D" w:themeColor="text2"/>
          <w:spacing w:val="-4"/>
          <w:sz w:val="20"/>
        </w:rPr>
        <w:t>Vzájomná administratívna pomoc</w:t>
      </w:r>
      <w:bookmarkEnd w:id="36"/>
    </w:p>
    <w:p>
      <w:pPr>
        <w:pStyle w:val="Heading3"/>
        <w:numPr>
          <w:ilvl w:val="3"/>
          <w:numId w:val="1"/>
        </w:numPr>
        <w:tabs>
          <w:tab w:val="clear" w:pos="1810"/>
          <w:tab w:val="num" w:pos="567"/>
        </w:tabs>
        <w:ind w:left="709" w:hanging="709"/>
        <w:rPr>
          <w:rFonts w:asciiTheme="majorHAnsi" w:hAnsiTheme="majorHAnsi"/>
          <w:i w:val="0"/>
          <w:noProof/>
          <w:color w:val="1F497D" w:themeColor="text2"/>
          <w:spacing w:val="-4"/>
          <w:sz w:val="20"/>
        </w:rPr>
      </w:pPr>
      <w:bookmarkStart w:id="37" w:name="_Toc22547324"/>
      <w:r>
        <w:rPr>
          <w:rFonts w:asciiTheme="majorHAnsi" w:hAnsiTheme="majorHAnsi"/>
          <w:i w:val="0"/>
          <w:noProof/>
          <w:color w:val="1F497D" w:themeColor="text2"/>
          <w:spacing w:val="-4"/>
          <w:sz w:val="20"/>
        </w:rPr>
        <w:t>Informačný systém pre boj proti podvodom (AFIS)</w:t>
      </w:r>
      <w:bookmarkEnd w:id="37"/>
    </w:p>
    <w:p>
      <w:pPr>
        <w:spacing w:before="0" w:after="240"/>
        <w:rPr>
          <w:rFonts w:asciiTheme="majorHAnsi" w:eastAsia="Calibri" w:hAnsiTheme="majorHAnsi"/>
          <w:noProof/>
          <w:spacing w:val="-4"/>
          <w:sz w:val="20"/>
        </w:rPr>
      </w:pPr>
      <w:r>
        <w:rPr>
          <w:rFonts w:asciiTheme="majorHAnsi" w:hAnsiTheme="majorHAnsi"/>
          <w:noProof/>
          <w:spacing w:val="-4"/>
          <w:sz w:val="20"/>
        </w:rPr>
        <w:t>Systém AFIS</w:t>
      </w:r>
      <w:r>
        <w:rPr>
          <w:rStyle w:val="FootnoteReference"/>
          <w:rFonts w:asciiTheme="majorHAnsi" w:eastAsia="Calibri" w:hAnsiTheme="majorHAnsi"/>
          <w:noProof/>
          <w:spacing w:val="-4"/>
          <w:sz w:val="20"/>
        </w:rPr>
        <w:footnoteReference w:id="32"/>
      </w:r>
      <w:r>
        <w:rPr>
          <w:rFonts w:asciiTheme="majorHAnsi" w:hAnsiTheme="majorHAnsi"/>
          <w:noProof/>
          <w:spacing w:val="-4"/>
          <w:sz w:val="20"/>
        </w:rPr>
        <w:t xml:space="preserve"> je systém zastrešujúci súbor IT aplikácií zameraných na boj proti podvodom, ktoré prevádzkuje Európska komisia (OLAF) a ktoré vytvárajú kontakty s príslušnými orgánmi v členských štátoch a zabezpečujú včasnú a bezpečnú výmenu informácií o podvodoch medzi vnútroštátnymi správnymi orgánmi a príslušnými orgánmi EÚ. Portál AFIS je jednotná a spoločná infraštruktúra na poskytovanie uvedených služieb takmer 8 800 registrovaným koncovým používateľom vo viac ako 1 900 príslušných útvaroch z členských štátov, partnerských tretích krajín, medzinárodných organizácií, útvarov Komisie a iných inštitúcií EÚ. Projekt AFIS sa týka dvoch hlavných oblastí: i) vzájomnej pomoci v colných záležitostiach a ii) riadenia nezrovnalostí (vzťahujúceho sa na niekoľko sektorov výdavkov).</w:t>
      </w:r>
    </w:p>
    <w:p>
      <w:pPr>
        <w:spacing w:before="0" w:after="240"/>
        <w:rPr>
          <w:rFonts w:asciiTheme="majorHAnsi" w:eastAsia="Calibri" w:hAnsiTheme="majorHAnsi"/>
          <w:noProof/>
          <w:spacing w:val="-4"/>
          <w:sz w:val="20"/>
        </w:rPr>
      </w:pPr>
      <w:r>
        <w:rPr>
          <w:rFonts w:asciiTheme="majorHAnsi" w:hAnsiTheme="majorHAnsi"/>
          <w:noProof/>
          <w:spacing w:val="-4"/>
          <w:sz w:val="20"/>
        </w:rPr>
        <w:t>Systém AFIS podporuje vzájomnú pomoc v colných záležitostiach prostredníctvom zabezpečeného systému výmeny informácií v reálnom čase VOCU (Virtual Operations Coordination Unit – koordinačná jednotka virtuálnych operácií), ktorý sa používa na spoločné colné operácie, zabezpečeného web-mailu (AFIS-Mail), databáz ako CIS+ (Colný informačný systém) a FIDE (Databáza na identifikáciu súborov colného vyšetrovania) a analytických nástrojov, ako je A-TIS (Tranzitný informačný systém na boj proti podvodom).</w:t>
      </w:r>
    </w:p>
    <w:p>
      <w:pPr>
        <w:spacing w:before="0" w:after="240"/>
        <w:rPr>
          <w:rFonts w:asciiTheme="majorHAnsi" w:eastAsia="Calibri" w:hAnsiTheme="majorHAnsi"/>
          <w:noProof/>
          <w:spacing w:val="-4"/>
          <w:sz w:val="20"/>
        </w:rPr>
      </w:pPr>
      <w:r>
        <w:rPr>
          <w:rFonts w:asciiTheme="majorHAnsi" w:hAnsiTheme="majorHAnsi"/>
          <w:noProof/>
          <w:spacing w:val="-4"/>
          <w:sz w:val="20"/>
        </w:rPr>
        <w:t>Systém riadenia nezrovnalostí (IMS) je bezpečný elektronický nástroj, ktorý pomáha členským štátom pri ich povinnosti oznamovať nezrovnalosti zistené v súvislosti s poľnohospodárskymi a štrukturálnymi fondmi, Kohéznym fondom, Fondom pre rybné hospodárstvo, Fondom pre azyl, migráciu a integráciu (AMIF), nástrojom pre finančnú podporu v oblasti policajnej spolupráce, predchádzania trestnej činnosti, boja proti trestnej činnosti a krízového riadenia (ISF) a Fondom európskej pomoci pre najodkázanejšie osoby (FEAD), ako aj v súvislosti s predvstupovou pomocou. Podporuje riadenie a analýzu nezrovnalostí.</w:t>
      </w:r>
    </w:p>
    <w:p>
      <w:pPr>
        <w:pStyle w:val="Heading3"/>
        <w:numPr>
          <w:ilvl w:val="3"/>
          <w:numId w:val="1"/>
        </w:numPr>
        <w:tabs>
          <w:tab w:val="clear" w:pos="1810"/>
        </w:tabs>
        <w:ind w:left="851" w:hanging="851"/>
        <w:rPr>
          <w:rFonts w:asciiTheme="majorHAnsi" w:hAnsiTheme="majorHAnsi"/>
          <w:i w:val="0"/>
          <w:noProof/>
          <w:color w:val="1F497D" w:themeColor="text2"/>
          <w:spacing w:val="-4"/>
          <w:sz w:val="20"/>
        </w:rPr>
      </w:pPr>
      <w:bookmarkStart w:id="38" w:name="_Toc22547325"/>
      <w:r>
        <w:rPr>
          <w:rFonts w:asciiTheme="majorHAnsi" w:hAnsiTheme="majorHAnsi"/>
          <w:i w:val="0"/>
          <w:noProof/>
          <w:color w:val="1F497D" w:themeColor="text2"/>
          <w:spacing w:val="-4"/>
          <w:sz w:val="20"/>
        </w:rPr>
        <w:t>Spoločné colné operácie</w:t>
      </w:r>
      <w:bookmarkEnd w:id="38"/>
    </w:p>
    <w:p>
      <w:pPr>
        <w:spacing w:before="0" w:after="240"/>
        <w:rPr>
          <w:rFonts w:asciiTheme="majorHAnsi" w:hAnsiTheme="majorHAnsi"/>
          <w:noProof/>
          <w:spacing w:val="-4"/>
          <w:sz w:val="20"/>
        </w:rPr>
      </w:pPr>
      <w:r>
        <w:rPr>
          <w:rFonts w:asciiTheme="majorHAnsi" w:hAnsiTheme="majorHAnsi"/>
          <w:noProof/>
          <w:spacing w:val="-4"/>
          <w:sz w:val="20"/>
        </w:rPr>
        <w:t>Úrad OLAF okrem vyšetrovania prípadov podvodov s príjmami koordinuje aj rozsiahle spoločné colné operácie, do ktorých sú zapojení operační partneri z EÚ a zo zahraničia. Spoločné colné operácie sú cielené akcie s obmedzeným trvaním, ktorých zámerom je bojovať proti podvodom a pašovaniu citlivého tovaru v konkrétnych rizikových oblastiach, resp. na určených obchodných trasách.</w:t>
      </w:r>
    </w:p>
    <w:p>
      <w:pPr>
        <w:spacing w:after="240"/>
        <w:rPr>
          <w:rFonts w:asciiTheme="majorHAnsi" w:hAnsiTheme="majorHAnsi"/>
          <w:noProof/>
          <w:spacing w:val="-4"/>
          <w:sz w:val="20"/>
        </w:rPr>
      </w:pPr>
      <w:r>
        <w:rPr>
          <w:rFonts w:asciiTheme="majorHAnsi" w:hAnsiTheme="majorHAnsi"/>
          <w:noProof/>
          <w:spacing w:val="-4"/>
          <w:sz w:val="20"/>
        </w:rPr>
        <w:t>V roku 2018 OLAF poskytoval podporu v 5 spoločných colných operáciách. Modul VOCU systému AFIS sa použil na bezpečnú výmenu informácií v štyroch takýchto spoločných colných operáciách. Okrem nevyhnutnej podpory príslušných krajín pri vykonávaní koordinovaných opatrení prostredníctvom stálej technickej infraštruktúry úradu OLAF, IT nástrojov a komunikačných nástrojov OLAF poskytuje aj strategicko-analytickú, administratívnu a finančnú podporu.</w:t>
      </w:r>
    </w:p>
    <w:p>
      <w:pPr>
        <w:spacing w:before="0" w:after="240"/>
        <w:rPr>
          <w:rFonts w:asciiTheme="majorHAnsi" w:eastAsia="Calibri" w:hAnsiTheme="majorHAnsi"/>
          <w:noProof/>
          <w:spacing w:val="-4"/>
          <w:sz w:val="20"/>
        </w:rPr>
      </w:pPr>
      <w:r>
        <w:rPr>
          <w:rFonts w:asciiTheme="majorHAnsi" w:hAnsiTheme="majorHAnsi"/>
          <w:noProof/>
          <w:spacing w:val="-4"/>
          <w:sz w:val="20"/>
        </w:rPr>
        <w:t>Tieto operácie: i) pomáhajú zvyšovať efektívnosť colných správ pri vykonávaní cielených kontrol na európskej úrovni; ii) identifikujú, kde na konkrétnych obchodných trasách existujú riziká; iii) chránia verejnosť a legitímne podniky tým, že bránia vstupu nelegálnych výrobkov do EÚ, a iv) chránia verejné financie EÚ.</w:t>
      </w:r>
    </w:p>
    <w:p>
      <w:pPr>
        <w:spacing w:before="0" w:after="240"/>
        <w:rPr>
          <w:rFonts w:asciiTheme="majorHAnsi" w:eastAsia="Calibri" w:hAnsiTheme="majorHAnsi"/>
          <w:noProof/>
          <w:spacing w:val="-4"/>
          <w:sz w:val="20"/>
        </w:rPr>
      </w:pPr>
      <w:r>
        <w:rPr>
          <w:rFonts w:asciiTheme="majorHAnsi" w:hAnsiTheme="majorHAnsi"/>
          <w:noProof/>
          <w:spacing w:val="-4"/>
          <w:sz w:val="20"/>
        </w:rPr>
        <w:t>Na obrázku 4 je znázornené zhrnutie týchto operácií.</w:t>
      </w:r>
    </w:p>
    <w:p>
      <w:pPr>
        <w:spacing w:before="0" w:after="240"/>
        <w:rPr>
          <w:rFonts w:asciiTheme="majorHAnsi" w:eastAsia="Calibri" w:hAnsiTheme="majorHAnsi"/>
          <w:noProof/>
          <w:sz w:val="20"/>
        </w:rPr>
        <w:sectPr>
          <w:headerReference w:type="even" r:id="rId94"/>
          <w:headerReference w:type="default" r:id="rId95"/>
          <w:footerReference w:type="even" r:id="rId96"/>
          <w:footerReference w:type="default" r:id="rId97"/>
          <w:headerReference w:type="first" r:id="rId98"/>
          <w:footerReference w:type="first" r:id="rId99"/>
          <w:type w:val="continuous"/>
          <w:pgSz w:w="11907" w:h="16839"/>
          <w:pgMar w:top="1134" w:right="1417" w:bottom="1134" w:left="1417" w:header="709" w:footer="709" w:gutter="0"/>
          <w:cols w:num="2" w:space="720"/>
          <w:docGrid w:linePitch="360"/>
        </w:sectPr>
      </w:pPr>
    </w:p>
    <w:p>
      <w:pPr>
        <w:pStyle w:val="Caption"/>
        <w:keepNext/>
        <w:spacing w:before="240" w:after="240"/>
        <w:ind w:left="1134" w:hanging="1134"/>
        <w:rPr>
          <w:rFonts w:asciiTheme="majorHAnsi" w:hAnsiTheme="majorHAnsi"/>
          <w:noProof/>
          <w:sz w:val="8"/>
          <w:szCs w:val="8"/>
        </w:rPr>
      </w:pPr>
      <w:bookmarkStart w:id="39" w:name="_Toc22547535"/>
    </w:p>
    <w:p>
      <w:pPr>
        <w:pStyle w:val="Caption"/>
        <w:keepNext/>
        <w:spacing w:before="240" w:after="240"/>
        <w:ind w:left="1134" w:hanging="1134"/>
        <w:rPr>
          <w:rFonts w:asciiTheme="majorHAnsi" w:hAnsiTheme="majorHAnsi"/>
          <w:noProof/>
          <w:sz w:val="20"/>
          <w:szCs w:val="20"/>
        </w:rPr>
      </w:pPr>
      <w:r>
        <w:rPr>
          <w:rFonts w:asciiTheme="majorHAnsi" w:hAnsiTheme="majorHAnsi"/>
          <w:noProof/>
          <w:sz w:val="20"/>
          <w:szCs w:val="20"/>
        </w:rPr>
        <w:t xml:space="preserve">Obr. </w:t>
      </w:r>
      <w:r>
        <w:rPr>
          <w:rFonts w:asciiTheme="majorHAnsi" w:hAnsiTheme="majorHAnsi"/>
          <w:noProof/>
          <w:sz w:val="20"/>
          <w:szCs w:val="20"/>
        </w:rPr>
        <w:fldChar w:fldCharType="begin"/>
      </w:r>
      <w:r>
        <w:rPr>
          <w:rFonts w:asciiTheme="majorHAnsi" w:hAnsiTheme="majorHAnsi"/>
          <w:noProof/>
          <w:sz w:val="20"/>
          <w:szCs w:val="20"/>
        </w:rPr>
        <w:instrText xml:space="preserve"> SEQ Figure \* ARABIC </w:instrText>
      </w:r>
      <w:r>
        <w:rPr>
          <w:rFonts w:asciiTheme="majorHAnsi" w:hAnsiTheme="majorHAnsi"/>
          <w:noProof/>
          <w:sz w:val="20"/>
          <w:szCs w:val="20"/>
        </w:rPr>
        <w:fldChar w:fldCharType="separate"/>
      </w:r>
      <w:r>
        <w:rPr>
          <w:rFonts w:asciiTheme="majorHAnsi" w:hAnsiTheme="majorHAnsi"/>
          <w:noProof/>
          <w:sz w:val="20"/>
          <w:szCs w:val="20"/>
        </w:rPr>
        <w:t>4</w:t>
      </w:r>
      <w:r>
        <w:rPr>
          <w:rFonts w:asciiTheme="majorHAnsi" w:hAnsiTheme="majorHAnsi"/>
          <w:noProof/>
          <w:sz w:val="20"/>
          <w:szCs w:val="20"/>
        </w:rPr>
        <w:fldChar w:fldCharType="end"/>
      </w:r>
      <w:r>
        <w:rPr>
          <w:rFonts w:asciiTheme="majorHAnsi" w:hAnsiTheme="majorHAnsi"/>
          <w:noProof/>
          <w:sz w:val="20"/>
          <w:szCs w:val="20"/>
        </w:rPr>
        <w:t xml:space="preserve">: </w:t>
      </w:r>
      <w:r>
        <w:rPr>
          <w:rFonts w:asciiTheme="majorHAnsi" w:hAnsiTheme="majorHAnsi"/>
          <w:noProof/>
          <w:sz w:val="20"/>
          <w:szCs w:val="20"/>
        </w:rPr>
        <w:tab/>
        <w:t>Spoločné colné operácie v roku 2018</w:t>
      </w:r>
      <w:bookmarkEnd w:id="39"/>
    </w:p>
    <w:tbl>
      <w:tblPr>
        <w:tblW w:w="9642" w:type="dxa"/>
        <w:tblInd w:w="93" w:type="dxa"/>
        <w:tblLook w:val="04A0" w:firstRow="1" w:lastRow="0" w:firstColumn="1" w:lastColumn="0" w:noHBand="0" w:noVBand="1"/>
      </w:tblPr>
      <w:tblGrid>
        <w:gridCol w:w="1340"/>
        <w:gridCol w:w="2822"/>
        <w:gridCol w:w="2985"/>
        <w:gridCol w:w="2495"/>
      </w:tblGrid>
      <w:tr>
        <w:trPr>
          <w:trHeight w:val="531"/>
          <w:tblHeader/>
        </w:trPr>
        <w:tc>
          <w:tcPr>
            <w:tcW w:w="1340" w:type="dxa"/>
            <w:tcBorders>
              <w:top w:val="single" w:sz="4" w:space="0" w:color="1F497D"/>
              <w:left w:val="single" w:sz="4" w:space="0" w:color="1F497D"/>
              <w:bottom w:val="nil"/>
              <w:right w:val="nil"/>
            </w:tcBorders>
            <w:shd w:val="clear" w:color="000000" w:fill="1F497D"/>
            <w:noWrap/>
            <w:vAlign w:val="center"/>
            <w:hideMark/>
          </w:tcPr>
          <w:p>
            <w:pPr>
              <w:spacing w:before="0" w:after="0"/>
              <w:jc w:val="center"/>
              <w:rPr>
                <w:rFonts w:ascii="Arial" w:hAnsi="Arial" w:cs="Arial"/>
                <w:b/>
                <w:bCs/>
                <w:noProof/>
                <w:color w:val="FFFFFF"/>
                <w:sz w:val="18"/>
                <w:szCs w:val="20"/>
              </w:rPr>
            </w:pPr>
            <w:r>
              <w:rPr>
                <w:rFonts w:ascii="Arial" w:hAnsi="Arial"/>
                <w:b/>
                <w:bCs/>
                <w:noProof/>
                <w:color w:val="FFFFFF"/>
                <w:sz w:val="18"/>
                <w:szCs w:val="20"/>
              </w:rPr>
              <w:t>Operácia</w:t>
            </w:r>
          </w:p>
        </w:tc>
        <w:tc>
          <w:tcPr>
            <w:tcW w:w="2822" w:type="dxa"/>
            <w:tcBorders>
              <w:top w:val="single" w:sz="4" w:space="0" w:color="1F497D"/>
              <w:left w:val="nil"/>
              <w:bottom w:val="nil"/>
              <w:right w:val="nil"/>
            </w:tcBorders>
            <w:shd w:val="clear" w:color="000000" w:fill="1F497D"/>
            <w:noWrap/>
            <w:vAlign w:val="center"/>
            <w:hideMark/>
          </w:tcPr>
          <w:p>
            <w:pPr>
              <w:spacing w:before="0" w:after="0"/>
              <w:jc w:val="center"/>
              <w:rPr>
                <w:rFonts w:ascii="Arial" w:hAnsi="Arial" w:cs="Arial"/>
                <w:b/>
                <w:bCs/>
                <w:noProof/>
                <w:color w:val="FFFFFF"/>
                <w:sz w:val="18"/>
                <w:szCs w:val="20"/>
              </w:rPr>
            </w:pPr>
            <w:r>
              <w:rPr>
                <w:rFonts w:ascii="Arial" w:hAnsi="Arial"/>
                <w:b/>
                <w:bCs/>
                <w:noProof/>
                <w:color w:val="FFFFFF"/>
                <w:sz w:val="18"/>
                <w:szCs w:val="20"/>
              </w:rPr>
              <w:t>Účastnícke krajiny</w:t>
            </w:r>
          </w:p>
        </w:tc>
        <w:tc>
          <w:tcPr>
            <w:tcW w:w="2985" w:type="dxa"/>
            <w:tcBorders>
              <w:top w:val="single" w:sz="4" w:space="0" w:color="1F497D"/>
              <w:left w:val="nil"/>
              <w:bottom w:val="nil"/>
              <w:right w:val="nil"/>
            </w:tcBorders>
            <w:shd w:val="clear" w:color="000000" w:fill="1F497D"/>
            <w:noWrap/>
            <w:vAlign w:val="center"/>
            <w:hideMark/>
          </w:tcPr>
          <w:p>
            <w:pPr>
              <w:spacing w:before="0" w:after="0"/>
              <w:jc w:val="center"/>
              <w:rPr>
                <w:rFonts w:ascii="Arial" w:hAnsi="Arial" w:cs="Arial"/>
                <w:b/>
                <w:bCs/>
                <w:noProof/>
                <w:color w:val="FFFFFF"/>
                <w:sz w:val="18"/>
                <w:szCs w:val="20"/>
              </w:rPr>
            </w:pPr>
            <w:r>
              <w:rPr>
                <w:rFonts w:ascii="Arial" w:hAnsi="Arial"/>
                <w:b/>
                <w:bCs/>
                <w:noProof/>
                <w:color w:val="FFFFFF"/>
                <w:sz w:val="18"/>
                <w:szCs w:val="20"/>
              </w:rPr>
              <w:t>Rozsah pôsobnosti</w:t>
            </w:r>
          </w:p>
        </w:tc>
        <w:tc>
          <w:tcPr>
            <w:tcW w:w="2495" w:type="dxa"/>
            <w:tcBorders>
              <w:top w:val="single" w:sz="4" w:space="0" w:color="1F497D"/>
              <w:left w:val="nil"/>
              <w:bottom w:val="nil"/>
              <w:right w:val="nil"/>
            </w:tcBorders>
            <w:shd w:val="clear" w:color="000000" w:fill="1F497D"/>
            <w:noWrap/>
            <w:vAlign w:val="center"/>
            <w:hideMark/>
          </w:tcPr>
          <w:p>
            <w:pPr>
              <w:spacing w:before="0" w:after="0"/>
              <w:jc w:val="center"/>
              <w:rPr>
                <w:rFonts w:ascii="Arial" w:hAnsi="Arial" w:cs="Arial"/>
                <w:b/>
                <w:bCs/>
                <w:noProof/>
                <w:color w:val="FFFFFF"/>
                <w:sz w:val="18"/>
                <w:szCs w:val="20"/>
              </w:rPr>
            </w:pPr>
            <w:r>
              <w:rPr>
                <w:rFonts w:ascii="Arial" w:hAnsi="Arial"/>
                <w:b/>
                <w:bCs/>
                <w:noProof/>
                <w:color w:val="FFFFFF"/>
                <w:sz w:val="18"/>
                <w:szCs w:val="20"/>
              </w:rPr>
              <w:t>Výsledky</w:t>
            </w:r>
          </w:p>
        </w:tc>
      </w:tr>
      <w:tr>
        <w:trPr>
          <w:trHeight w:val="957"/>
        </w:trPr>
        <w:tc>
          <w:tcPr>
            <w:tcW w:w="1340" w:type="dxa"/>
            <w:tcBorders>
              <w:top w:val="nil"/>
              <w:left w:val="single" w:sz="4" w:space="0" w:color="1F497D"/>
              <w:bottom w:val="nil"/>
              <w:right w:val="nil"/>
            </w:tcBorders>
            <w:shd w:val="clear" w:color="000000" w:fill="DCE6F1"/>
            <w:noWrap/>
            <w:vAlign w:val="center"/>
            <w:hideMark/>
          </w:tcPr>
          <w:p>
            <w:pPr>
              <w:spacing w:before="100" w:beforeAutospacing="1" w:after="100" w:afterAutospacing="1"/>
              <w:jc w:val="left"/>
              <w:rPr>
                <w:rFonts w:ascii="Arial" w:hAnsi="Arial" w:cs="Arial"/>
                <w:b/>
                <w:bCs/>
                <w:noProof/>
                <w:color w:val="000000"/>
                <w:sz w:val="16"/>
                <w:szCs w:val="20"/>
              </w:rPr>
            </w:pPr>
            <w:r>
              <w:rPr>
                <w:rFonts w:ascii="Arial" w:hAnsi="Arial"/>
                <w:b/>
                <w:bCs/>
                <w:noProof/>
                <w:sz w:val="16"/>
                <w:szCs w:val="20"/>
              </w:rPr>
              <w:t>Spoločná colná operácia Poseidon</w:t>
            </w:r>
          </w:p>
        </w:tc>
        <w:tc>
          <w:tcPr>
            <w:tcW w:w="2822" w:type="dxa"/>
            <w:tcBorders>
              <w:top w:val="nil"/>
              <w:left w:val="nil"/>
              <w:bottom w:val="nil"/>
              <w:right w:val="nil"/>
            </w:tcBorders>
            <w:shd w:val="clear" w:color="000000" w:fill="DCE6F1"/>
            <w:vAlign w:val="center"/>
            <w:hideMark/>
          </w:tcPr>
          <w:p>
            <w:pPr>
              <w:spacing w:before="100" w:beforeAutospacing="1" w:after="100" w:afterAutospacing="1"/>
              <w:jc w:val="left"/>
              <w:rPr>
                <w:rFonts w:ascii="Arial" w:hAnsi="Arial" w:cs="Arial"/>
                <w:noProof/>
                <w:color w:val="000000"/>
                <w:sz w:val="16"/>
                <w:szCs w:val="20"/>
              </w:rPr>
            </w:pPr>
            <w:r>
              <w:rPr>
                <w:rFonts w:ascii="Arial" w:hAnsi="Arial"/>
                <w:noProof/>
                <w:sz w:val="16"/>
                <w:szCs w:val="20"/>
              </w:rPr>
              <w:t>Organizovaná talianskymi colnými orgánmi v spolupráci s úradom OLAF</w:t>
            </w:r>
          </w:p>
        </w:tc>
        <w:tc>
          <w:tcPr>
            <w:tcW w:w="2985" w:type="dxa"/>
            <w:tcBorders>
              <w:top w:val="nil"/>
              <w:left w:val="nil"/>
              <w:bottom w:val="nil"/>
              <w:right w:val="nil"/>
            </w:tcBorders>
            <w:shd w:val="clear" w:color="000000" w:fill="DCE6F1"/>
            <w:vAlign w:val="center"/>
            <w:hideMark/>
          </w:tcPr>
          <w:p>
            <w:pPr>
              <w:spacing w:before="100" w:beforeAutospacing="1" w:after="100" w:afterAutospacing="1"/>
              <w:jc w:val="left"/>
              <w:rPr>
                <w:rFonts w:ascii="Arial" w:hAnsi="Arial" w:cs="Arial"/>
                <w:noProof/>
                <w:color w:val="000000"/>
                <w:sz w:val="16"/>
                <w:szCs w:val="20"/>
              </w:rPr>
            </w:pPr>
            <w:r>
              <w:rPr>
                <w:rFonts w:ascii="Arial" w:hAnsi="Arial"/>
                <w:noProof/>
                <w:sz w:val="16"/>
                <w:szCs w:val="20"/>
              </w:rPr>
              <w:t>Podvody v oblasti príjmov</w:t>
            </w:r>
          </w:p>
        </w:tc>
        <w:tc>
          <w:tcPr>
            <w:tcW w:w="2495" w:type="dxa"/>
            <w:tcBorders>
              <w:top w:val="nil"/>
              <w:left w:val="nil"/>
              <w:bottom w:val="nil"/>
              <w:right w:val="nil"/>
            </w:tcBorders>
            <w:shd w:val="clear" w:color="000000" w:fill="DCE6F1"/>
            <w:vAlign w:val="center"/>
            <w:hideMark/>
          </w:tcPr>
          <w:p>
            <w:pPr>
              <w:spacing w:before="100" w:beforeAutospacing="1" w:after="100" w:afterAutospacing="1"/>
              <w:jc w:val="left"/>
              <w:rPr>
                <w:rFonts w:ascii="Arial" w:hAnsi="Arial" w:cs="Arial"/>
                <w:noProof/>
                <w:color w:val="000000"/>
                <w:sz w:val="16"/>
                <w:szCs w:val="20"/>
              </w:rPr>
            </w:pPr>
            <w:r>
              <w:rPr>
                <w:rFonts w:ascii="Arial" w:hAnsi="Arial"/>
                <w:noProof/>
                <w:sz w:val="16"/>
                <w:szCs w:val="20"/>
              </w:rPr>
              <w:t>Hodnotenie stále prebieha</w:t>
            </w:r>
          </w:p>
        </w:tc>
      </w:tr>
      <w:tr>
        <w:trPr>
          <w:trHeight w:val="664"/>
        </w:trPr>
        <w:tc>
          <w:tcPr>
            <w:tcW w:w="1340" w:type="dxa"/>
            <w:tcBorders>
              <w:top w:val="single" w:sz="4" w:space="0" w:color="1F497D"/>
              <w:left w:val="single" w:sz="4" w:space="0" w:color="1F497D"/>
              <w:bottom w:val="single" w:sz="4" w:space="0" w:color="1F497D"/>
              <w:right w:val="nil"/>
            </w:tcBorders>
            <w:shd w:val="clear" w:color="000000" w:fill="DCE6F1"/>
            <w:noWrap/>
            <w:vAlign w:val="center"/>
            <w:hideMark/>
          </w:tcPr>
          <w:p>
            <w:pPr>
              <w:spacing w:before="100" w:beforeAutospacing="1" w:after="100" w:afterAutospacing="1"/>
              <w:jc w:val="left"/>
              <w:rPr>
                <w:rFonts w:ascii="Arial" w:hAnsi="Arial" w:cs="Arial"/>
                <w:b/>
                <w:bCs/>
                <w:noProof/>
                <w:color w:val="000000"/>
                <w:sz w:val="16"/>
                <w:szCs w:val="20"/>
              </w:rPr>
            </w:pPr>
            <w:r>
              <w:rPr>
                <w:rFonts w:ascii="Arial" w:hAnsi="Arial"/>
                <w:b/>
                <w:bCs/>
                <w:noProof/>
                <w:sz w:val="16"/>
                <w:szCs w:val="20"/>
              </w:rPr>
              <w:t>Spoločná operácia kontroly hraníc JANUS</w:t>
            </w:r>
          </w:p>
        </w:tc>
        <w:tc>
          <w:tcPr>
            <w:tcW w:w="2822" w:type="dxa"/>
            <w:tcBorders>
              <w:top w:val="single" w:sz="4" w:space="0" w:color="1F497D"/>
              <w:left w:val="nil"/>
              <w:bottom w:val="single" w:sz="4" w:space="0" w:color="1F497D"/>
              <w:right w:val="nil"/>
            </w:tcBorders>
            <w:shd w:val="clear" w:color="000000" w:fill="DCE6F1"/>
            <w:vAlign w:val="center"/>
            <w:hideMark/>
          </w:tcPr>
          <w:p>
            <w:pPr>
              <w:spacing w:before="100" w:beforeAutospacing="1" w:after="100" w:afterAutospacing="1"/>
              <w:jc w:val="left"/>
              <w:rPr>
                <w:rFonts w:ascii="Arial" w:hAnsi="Arial" w:cs="Arial"/>
                <w:noProof/>
                <w:color w:val="000000"/>
                <w:sz w:val="16"/>
                <w:szCs w:val="20"/>
              </w:rPr>
            </w:pPr>
            <w:r>
              <w:rPr>
                <w:rFonts w:ascii="Arial" w:hAnsi="Arial"/>
                <w:noProof/>
                <w:sz w:val="16"/>
                <w:szCs w:val="20"/>
              </w:rPr>
              <w:t>Spoluorganizovaná pomocnou hraničnou misiou Európskej únie v Moldavsku a na Ukrajine (EUBAM) a úradom OLAF</w:t>
            </w:r>
          </w:p>
        </w:tc>
        <w:tc>
          <w:tcPr>
            <w:tcW w:w="2985" w:type="dxa"/>
            <w:tcBorders>
              <w:top w:val="single" w:sz="4" w:space="0" w:color="1F497D"/>
              <w:left w:val="nil"/>
              <w:bottom w:val="single" w:sz="4" w:space="0" w:color="1F497D"/>
              <w:right w:val="nil"/>
            </w:tcBorders>
            <w:shd w:val="clear" w:color="000000" w:fill="DCE6F1"/>
            <w:vAlign w:val="center"/>
            <w:hideMark/>
          </w:tcPr>
          <w:p>
            <w:pPr>
              <w:spacing w:before="100" w:beforeAutospacing="1" w:after="100" w:afterAutospacing="1"/>
              <w:jc w:val="left"/>
              <w:rPr>
                <w:rFonts w:ascii="Arial" w:hAnsi="Arial" w:cs="Arial"/>
                <w:noProof/>
                <w:color w:val="000000"/>
                <w:sz w:val="16"/>
                <w:szCs w:val="20"/>
              </w:rPr>
            </w:pPr>
            <w:r>
              <w:rPr>
                <w:rFonts w:ascii="Arial" w:hAnsi="Arial"/>
                <w:noProof/>
                <w:sz w:val="16"/>
                <w:szCs w:val="20"/>
              </w:rPr>
              <w:t>Pašovanie tabakových výrobkov na východnej hranici EÚ</w:t>
            </w:r>
          </w:p>
        </w:tc>
        <w:tc>
          <w:tcPr>
            <w:tcW w:w="2495" w:type="dxa"/>
            <w:tcBorders>
              <w:top w:val="single" w:sz="4" w:space="0" w:color="1F497D"/>
              <w:left w:val="nil"/>
              <w:bottom w:val="single" w:sz="4" w:space="0" w:color="1F497D"/>
              <w:right w:val="nil"/>
            </w:tcBorders>
            <w:shd w:val="clear" w:color="000000" w:fill="DCE6F1"/>
            <w:vAlign w:val="center"/>
            <w:hideMark/>
          </w:tcPr>
          <w:p>
            <w:pPr>
              <w:spacing w:before="100" w:beforeAutospacing="1" w:after="100" w:afterAutospacing="1"/>
              <w:jc w:val="left"/>
              <w:rPr>
                <w:rFonts w:ascii="Arial" w:hAnsi="Arial" w:cs="Arial"/>
                <w:noProof/>
                <w:color w:val="000000"/>
                <w:sz w:val="16"/>
                <w:szCs w:val="20"/>
              </w:rPr>
            </w:pPr>
            <w:r>
              <w:rPr>
                <w:rFonts w:ascii="Arial" w:hAnsi="Arial"/>
                <w:noProof/>
                <w:sz w:val="16"/>
                <w:szCs w:val="20"/>
              </w:rPr>
              <w:t>Zaistenie viac ako 7 miliónov kusov cigariet</w:t>
            </w:r>
          </w:p>
        </w:tc>
      </w:tr>
      <w:tr>
        <w:trPr>
          <w:trHeight w:val="886"/>
        </w:trPr>
        <w:tc>
          <w:tcPr>
            <w:tcW w:w="1340" w:type="dxa"/>
            <w:tcBorders>
              <w:top w:val="nil"/>
              <w:left w:val="single" w:sz="4" w:space="0" w:color="1F497D"/>
              <w:bottom w:val="nil"/>
              <w:right w:val="nil"/>
            </w:tcBorders>
            <w:shd w:val="clear" w:color="000000" w:fill="DCE6F1"/>
            <w:noWrap/>
            <w:vAlign w:val="center"/>
            <w:hideMark/>
          </w:tcPr>
          <w:p>
            <w:pPr>
              <w:spacing w:before="100" w:beforeAutospacing="1" w:after="100" w:afterAutospacing="1"/>
              <w:jc w:val="left"/>
              <w:rPr>
                <w:rFonts w:ascii="Arial" w:hAnsi="Arial" w:cs="Arial"/>
                <w:b/>
                <w:bCs/>
                <w:noProof/>
                <w:color w:val="000000"/>
                <w:sz w:val="16"/>
                <w:szCs w:val="20"/>
              </w:rPr>
            </w:pPr>
            <w:r>
              <w:rPr>
                <w:rFonts w:ascii="Arial" w:hAnsi="Arial"/>
                <w:b/>
                <w:bCs/>
                <w:noProof/>
                <w:sz w:val="16"/>
                <w:szCs w:val="20"/>
              </w:rPr>
              <w:t>Regionálna spoločná colná operácia MARCO</w:t>
            </w:r>
          </w:p>
        </w:tc>
        <w:tc>
          <w:tcPr>
            <w:tcW w:w="2822" w:type="dxa"/>
            <w:tcBorders>
              <w:top w:val="nil"/>
              <w:left w:val="nil"/>
              <w:bottom w:val="nil"/>
              <w:right w:val="nil"/>
            </w:tcBorders>
            <w:shd w:val="clear" w:color="000000" w:fill="DCE6F1"/>
            <w:vAlign w:val="center"/>
            <w:hideMark/>
          </w:tcPr>
          <w:p>
            <w:pPr>
              <w:spacing w:before="100" w:beforeAutospacing="1" w:after="100" w:afterAutospacing="1"/>
              <w:jc w:val="left"/>
              <w:rPr>
                <w:rFonts w:ascii="Arial" w:hAnsi="Arial" w:cs="Arial"/>
                <w:noProof/>
                <w:color w:val="000000"/>
                <w:sz w:val="16"/>
                <w:szCs w:val="20"/>
              </w:rPr>
            </w:pPr>
            <w:r>
              <w:rPr>
                <w:rFonts w:ascii="Arial" w:hAnsi="Arial"/>
                <w:noProof/>
                <w:sz w:val="16"/>
                <w:szCs w:val="20"/>
              </w:rPr>
              <w:t>Regionálna operácia námorného dozoru koordinovaná francúzskymi colnými orgánmi v oblasti Atlantiku</w:t>
            </w:r>
          </w:p>
        </w:tc>
        <w:tc>
          <w:tcPr>
            <w:tcW w:w="2985" w:type="dxa"/>
            <w:tcBorders>
              <w:top w:val="nil"/>
              <w:left w:val="nil"/>
              <w:bottom w:val="nil"/>
              <w:right w:val="nil"/>
            </w:tcBorders>
            <w:shd w:val="clear" w:color="000000" w:fill="DCE6F1"/>
            <w:vAlign w:val="center"/>
            <w:hideMark/>
          </w:tcPr>
          <w:p>
            <w:pPr>
              <w:spacing w:before="100" w:beforeAutospacing="1" w:after="100" w:afterAutospacing="1"/>
              <w:jc w:val="left"/>
              <w:rPr>
                <w:rFonts w:ascii="Arial" w:hAnsi="Arial" w:cs="Arial"/>
                <w:noProof/>
                <w:color w:val="000000"/>
                <w:sz w:val="16"/>
                <w:szCs w:val="20"/>
              </w:rPr>
            </w:pPr>
            <w:r>
              <w:rPr>
                <w:rFonts w:ascii="Arial" w:hAnsi="Arial"/>
                <w:noProof/>
                <w:sz w:val="16"/>
                <w:szCs w:val="20"/>
              </w:rPr>
              <w:t>Odhaľovanie nezákonného obchodovania s citlivým tovarom na mori</w:t>
            </w:r>
          </w:p>
        </w:tc>
        <w:tc>
          <w:tcPr>
            <w:tcW w:w="2495" w:type="dxa"/>
            <w:tcBorders>
              <w:top w:val="nil"/>
              <w:left w:val="nil"/>
              <w:bottom w:val="nil"/>
              <w:right w:val="nil"/>
            </w:tcBorders>
            <w:shd w:val="clear" w:color="000000" w:fill="DCE6F1"/>
            <w:vAlign w:val="center"/>
            <w:hideMark/>
          </w:tcPr>
          <w:p>
            <w:pPr>
              <w:spacing w:before="100" w:beforeAutospacing="1" w:after="100" w:afterAutospacing="1"/>
              <w:jc w:val="left"/>
              <w:rPr>
                <w:rFonts w:ascii="Arial" w:hAnsi="Arial" w:cs="Arial"/>
                <w:noProof/>
                <w:color w:val="000000"/>
                <w:sz w:val="16"/>
                <w:szCs w:val="20"/>
              </w:rPr>
            </w:pPr>
            <w:r>
              <w:rPr>
                <w:rFonts w:ascii="Arial" w:hAnsi="Arial"/>
                <w:noProof/>
                <w:sz w:val="16"/>
                <w:szCs w:val="20"/>
              </w:rPr>
              <w:t>Viac ako 200 nekomerčných plavidiel bolo podrobených kontrole</w:t>
            </w:r>
          </w:p>
        </w:tc>
      </w:tr>
      <w:tr>
        <w:trPr>
          <w:trHeight w:val="400"/>
        </w:trPr>
        <w:tc>
          <w:tcPr>
            <w:tcW w:w="1340" w:type="dxa"/>
            <w:tcBorders>
              <w:top w:val="single" w:sz="4" w:space="0" w:color="1F497D"/>
              <w:left w:val="single" w:sz="4" w:space="0" w:color="1F497D"/>
              <w:bottom w:val="single" w:sz="4" w:space="0" w:color="1F497D"/>
              <w:right w:val="nil"/>
            </w:tcBorders>
            <w:shd w:val="clear" w:color="000000" w:fill="DCE6F1"/>
            <w:noWrap/>
            <w:vAlign w:val="center"/>
            <w:hideMark/>
          </w:tcPr>
          <w:p>
            <w:pPr>
              <w:spacing w:before="100" w:beforeAutospacing="1" w:after="100" w:afterAutospacing="1"/>
              <w:jc w:val="left"/>
              <w:rPr>
                <w:rFonts w:ascii="Arial" w:hAnsi="Arial" w:cs="Arial"/>
                <w:b/>
                <w:bCs/>
                <w:noProof/>
                <w:color w:val="000000"/>
                <w:sz w:val="16"/>
                <w:szCs w:val="20"/>
              </w:rPr>
            </w:pPr>
            <w:r>
              <w:rPr>
                <w:rFonts w:ascii="Arial" w:hAnsi="Arial"/>
                <w:b/>
                <w:bCs/>
                <w:noProof/>
                <w:sz w:val="16"/>
                <w:szCs w:val="20"/>
              </w:rPr>
              <w:t>Spoločná colná operácia Hansa</w:t>
            </w:r>
          </w:p>
        </w:tc>
        <w:tc>
          <w:tcPr>
            <w:tcW w:w="2822" w:type="dxa"/>
            <w:tcBorders>
              <w:top w:val="single" w:sz="4" w:space="0" w:color="1F497D"/>
              <w:left w:val="nil"/>
              <w:bottom w:val="single" w:sz="4" w:space="0" w:color="1F497D"/>
              <w:right w:val="nil"/>
            </w:tcBorders>
            <w:shd w:val="clear" w:color="000000" w:fill="DCE6F1"/>
            <w:vAlign w:val="center"/>
            <w:hideMark/>
          </w:tcPr>
          <w:p>
            <w:pPr>
              <w:spacing w:before="100" w:beforeAutospacing="1" w:after="100" w:afterAutospacing="1"/>
              <w:jc w:val="left"/>
              <w:rPr>
                <w:rFonts w:ascii="Arial" w:hAnsi="Arial" w:cs="Arial"/>
                <w:noProof/>
                <w:color w:val="000000"/>
                <w:sz w:val="16"/>
                <w:szCs w:val="20"/>
              </w:rPr>
            </w:pPr>
            <w:r>
              <w:rPr>
                <w:rFonts w:ascii="Arial" w:hAnsi="Arial"/>
                <w:noProof/>
                <w:sz w:val="16"/>
                <w:szCs w:val="20"/>
              </w:rPr>
              <w:t>Riadená colnými orgánmi Spojeného kráľovstva v spolupráci s Europolom. Úrad OLAF poskytol systém AFIS na bezpečnú výmenu informácií a zúčastnil sa na operácii</w:t>
            </w:r>
          </w:p>
        </w:tc>
        <w:tc>
          <w:tcPr>
            <w:tcW w:w="2985" w:type="dxa"/>
            <w:tcBorders>
              <w:top w:val="single" w:sz="4" w:space="0" w:color="1F497D"/>
              <w:left w:val="nil"/>
              <w:bottom w:val="single" w:sz="4" w:space="0" w:color="1F497D"/>
              <w:right w:val="nil"/>
            </w:tcBorders>
            <w:shd w:val="clear" w:color="000000" w:fill="DCE6F1"/>
            <w:vAlign w:val="center"/>
            <w:hideMark/>
          </w:tcPr>
          <w:p>
            <w:pPr>
              <w:spacing w:before="100" w:beforeAutospacing="1" w:after="100" w:afterAutospacing="1"/>
              <w:jc w:val="left"/>
              <w:rPr>
                <w:rFonts w:ascii="Arial" w:hAnsi="Arial" w:cs="Arial"/>
                <w:noProof/>
                <w:color w:val="000000"/>
                <w:sz w:val="16"/>
                <w:szCs w:val="20"/>
              </w:rPr>
            </w:pPr>
            <w:r>
              <w:rPr>
                <w:rFonts w:ascii="Arial" w:hAnsi="Arial"/>
                <w:noProof/>
                <w:sz w:val="16"/>
                <w:szCs w:val="20"/>
              </w:rPr>
              <w:t>Vnútorný pohyb nezákonného tovaru podliehajúceho spotrebnej dani, najmä cigariet</w:t>
            </w:r>
          </w:p>
        </w:tc>
        <w:tc>
          <w:tcPr>
            <w:tcW w:w="2495" w:type="dxa"/>
            <w:tcBorders>
              <w:top w:val="single" w:sz="4" w:space="0" w:color="1F497D"/>
              <w:left w:val="nil"/>
              <w:bottom w:val="single" w:sz="4" w:space="0" w:color="1F497D"/>
              <w:right w:val="nil"/>
            </w:tcBorders>
            <w:shd w:val="clear" w:color="000000" w:fill="DCE6F1"/>
            <w:vAlign w:val="center"/>
            <w:hideMark/>
          </w:tcPr>
          <w:p>
            <w:pPr>
              <w:spacing w:before="100" w:beforeAutospacing="1" w:after="100" w:afterAutospacing="1"/>
              <w:jc w:val="left"/>
              <w:rPr>
                <w:rFonts w:ascii="Arial" w:hAnsi="Arial" w:cs="Arial"/>
                <w:noProof/>
                <w:color w:val="000000"/>
                <w:sz w:val="16"/>
                <w:szCs w:val="20"/>
              </w:rPr>
            </w:pPr>
            <w:r>
              <w:rPr>
                <w:rFonts w:ascii="Arial" w:hAnsi="Arial"/>
                <w:noProof/>
                <w:sz w:val="16"/>
                <w:szCs w:val="20"/>
              </w:rPr>
              <w:t>Zaistenie veľkého množstva cigariet a iných tabakových výrobkov</w:t>
            </w:r>
          </w:p>
        </w:tc>
      </w:tr>
      <w:tr>
        <w:trPr>
          <w:trHeight w:val="916"/>
        </w:trPr>
        <w:tc>
          <w:tcPr>
            <w:tcW w:w="1340" w:type="dxa"/>
            <w:tcBorders>
              <w:top w:val="nil"/>
              <w:left w:val="single" w:sz="4" w:space="0" w:color="1F497D"/>
              <w:bottom w:val="nil"/>
              <w:right w:val="nil"/>
            </w:tcBorders>
            <w:shd w:val="clear" w:color="000000" w:fill="DCE6F1"/>
            <w:vAlign w:val="center"/>
            <w:hideMark/>
          </w:tcPr>
          <w:p>
            <w:pPr>
              <w:spacing w:before="100" w:beforeAutospacing="1" w:after="100" w:afterAutospacing="1"/>
              <w:jc w:val="left"/>
              <w:rPr>
                <w:rFonts w:ascii="Arial" w:hAnsi="Arial" w:cs="Arial"/>
                <w:b/>
                <w:bCs/>
                <w:noProof/>
                <w:color w:val="000000"/>
                <w:sz w:val="16"/>
                <w:szCs w:val="20"/>
              </w:rPr>
            </w:pPr>
            <w:r>
              <w:rPr>
                <w:rFonts w:ascii="Arial" w:hAnsi="Arial"/>
                <w:b/>
                <w:bCs/>
                <w:noProof/>
                <w:sz w:val="16"/>
                <w:szCs w:val="20"/>
              </w:rPr>
              <w:t>Operácia SILVER AXE III</w:t>
            </w:r>
          </w:p>
        </w:tc>
        <w:tc>
          <w:tcPr>
            <w:tcW w:w="2822" w:type="dxa"/>
            <w:tcBorders>
              <w:top w:val="nil"/>
              <w:left w:val="nil"/>
              <w:bottom w:val="nil"/>
              <w:right w:val="nil"/>
            </w:tcBorders>
            <w:shd w:val="clear" w:color="000000" w:fill="DCE6F1"/>
            <w:vAlign w:val="center"/>
            <w:hideMark/>
          </w:tcPr>
          <w:p>
            <w:pPr>
              <w:spacing w:before="100" w:beforeAutospacing="1" w:after="100" w:afterAutospacing="1"/>
              <w:jc w:val="left"/>
              <w:rPr>
                <w:rFonts w:ascii="Arial" w:hAnsi="Arial" w:cs="Arial"/>
                <w:noProof/>
                <w:color w:val="000000"/>
                <w:sz w:val="16"/>
                <w:szCs w:val="20"/>
              </w:rPr>
            </w:pPr>
            <w:r>
              <w:rPr>
                <w:rFonts w:ascii="Arial" w:hAnsi="Arial"/>
                <w:noProof/>
                <w:sz w:val="16"/>
                <w:szCs w:val="20"/>
              </w:rPr>
              <w:t>Organizovaná Europolom v spolupráci s úradom OLAF a za účasti colných a policajných orgánov a orgánov na ochranu rastlín z 27 krajín</w:t>
            </w:r>
          </w:p>
        </w:tc>
        <w:tc>
          <w:tcPr>
            <w:tcW w:w="2985" w:type="dxa"/>
            <w:tcBorders>
              <w:top w:val="nil"/>
              <w:left w:val="nil"/>
              <w:bottom w:val="nil"/>
              <w:right w:val="nil"/>
            </w:tcBorders>
            <w:shd w:val="clear" w:color="000000" w:fill="DCE6F1"/>
            <w:vAlign w:val="center"/>
            <w:hideMark/>
          </w:tcPr>
          <w:p>
            <w:pPr>
              <w:spacing w:before="100" w:beforeAutospacing="1" w:after="100" w:afterAutospacing="1"/>
              <w:jc w:val="left"/>
              <w:rPr>
                <w:rFonts w:ascii="Arial" w:hAnsi="Arial" w:cs="Arial"/>
                <w:noProof/>
                <w:color w:val="000000"/>
                <w:sz w:val="16"/>
                <w:szCs w:val="20"/>
              </w:rPr>
            </w:pPr>
            <w:r>
              <w:rPr>
                <w:rFonts w:ascii="Arial" w:hAnsi="Arial"/>
                <w:noProof/>
                <w:sz w:val="16"/>
                <w:szCs w:val="20"/>
              </w:rPr>
              <w:t>Dovoz a obchodovanie s falšovanými a nedovolenými prípravkami na ochranu rastlín v rámci Únie</w:t>
            </w:r>
          </w:p>
        </w:tc>
        <w:tc>
          <w:tcPr>
            <w:tcW w:w="2495" w:type="dxa"/>
            <w:tcBorders>
              <w:top w:val="nil"/>
              <w:left w:val="nil"/>
              <w:bottom w:val="nil"/>
              <w:right w:val="nil"/>
            </w:tcBorders>
            <w:shd w:val="clear" w:color="000000" w:fill="DCE6F1"/>
            <w:vAlign w:val="center"/>
            <w:hideMark/>
          </w:tcPr>
          <w:p>
            <w:pPr>
              <w:spacing w:before="100" w:beforeAutospacing="1" w:after="100" w:afterAutospacing="1"/>
              <w:jc w:val="left"/>
              <w:rPr>
                <w:rFonts w:ascii="Arial" w:hAnsi="Arial" w:cs="Arial"/>
                <w:noProof/>
                <w:color w:val="000000"/>
                <w:sz w:val="16"/>
                <w:szCs w:val="20"/>
              </w:rPr>
            </w:pPr>
            <w:r>
              <w:rPr>
                <w:rFonts w:ascii="Arial" w:hAnsi="Arial"/>
                <w:noProof/>
                <w:sz w:val="16"/>
                <w:szCs w:val="20"/>
              </w:rPr>
              <w:t>Zaistenie 360 ton nedovolených alebo falšovaných pesticídov</w:t>
            </w:r>
          </w:p>
        </w:tc>
      </w:tr>
    </w:tbl>
    <w:p>
      <w:pPr>
        <w:rPr>
          <w:rFonts w:eastAsia="Calibri"/>
          <w:noProof/>
          <w:sz w:val="10"/>
          <w:szCs w:val="10"/>
        </w:rPr>
      </w:pPr>
    </w:p>
    <w:p>
      <w:pPr>
        <w:spacing w:before="0" w:after="0"/>
        <w:rPr>
          <w:rFonts w:asciiTheme="majorHAnsi" w:eastAsia="Calibri" w:hAnsiTheme="majorHAnsi"/>
          <w:noProof/>
          <w:sz w:val="20"/>
        </w:rPr>
        <w:sectPr>
          <w:headerReference w:type="even" r:id="rId100"/>
          <w:headerReference w:type="default" r:id="rId101"/>
          <w:footerReference w:type="even" r:id="rId102"/>
          <w:footerReference w:type="default" r:id="rId103"/>
          <w:headerReference w:type="first" r:id="rId104"/>
          <w:footerReference w:type="first" r:id="rId105"/>
          <w:type w:val="continuous"/>
          <w:pgSz w:w="11907" w:h="16839"/>
          <w:pgMar w:top="1134" w:right="1417" w:bottom="1134" w:left="1417" w:header="709" w:footer="709" w:gutter="0"/>
          <w:cols w:space="720"/>
          <w:docGrid w:linePitch="360"/>
        </w:sectPr>
      </w:pPr>
    </w:p>
    <w:p>
      <w:pPr>
        <w:pStyle w:val="Heading3"/>
        <w:tabs>
          <w:tab w:val="num" w:pos="851"/>
        </w:tabs>
        <w:spacing w:before="0" w:after="240"/>
        <w:ind w:left="567" w:hanging="567"/>
        <w:rPr>
          <w:rFonts w:asciiTheme="majorHAnsi" w:hAnsiTheme="majorHAnsi"/>
          <w:noProof/>
          <w:color w:val="1F497D" w:themeColor="text2"/>
          <w:sz w:val="20"/>
        </w:rPr>
      </w:pPr>
      <w:bookmarkStart w:id="40" w:name="_Toc22547326"/>
      <w:r>
        <w:rPr>
          <w:rFonts w:asciiTheme="majorHAnsi" w:hAnsiTheme="majorHAnsi"/>
          <w:noProof/>
          <w:color w:val="1F497D" w:themeColor="text2"/>
          <w:sz w:val="20"/>
        </w:rPr>
        <w:t>Ustanovenia týkajúce sa vzájomnej pomoci a boja proti podvodom v medzinárodných dohodách</w:t>
      </w:r>
      <w:bookmarkEnd w:id="40"/>
    </w:p>
    <w:p>
      <w:pPr>
        <w:spacing w:before="0" w:after="240"/>
        <w:rPr>
          <w:rFonts w:asciiTheme="majorHAnsi" w:eastAsia="Calibri" w:hAnsiTheme="majorHAnsi"/>
          <w:iCs/>
          <w:noProof/>
          <w:spacing w:val="-4"/>
          <w:sz w:val="20"/>
        </w:rPr>
      </w:pPr>
      <w:r>
        <w:rPr>
          <w:rFonts w:asciiTheme="majorHAnsi" w:hAnsiTheme="majorHAnsi"/>
          <w:iCs/>
          <w:noProof/>
          <w:spacing w:val="-4"/>
          <w:sz w:val="20"/>
        </w:rPr>
        <w:t>Spolupráca s tretími krajinami s cieľom predchádzať porušovaniu colných predpisov, odhaľovať ich a bojovať proti nim je založená na dohodách o vzájomnej administratívnej pomoci v colných záležitostiach. V súčasnosti existujú dohody s viac ako 80 krajinami vrátane významných obchodných partnerov EÚ, ako sú USA, Čína a Japonsko. V roku 2018 nadobudol platnosť Protokol o vzájomnej administratívnej pomoci s Novým Zélandom. Okrem toho sa dokončili rokovania s Mercosurom (Argentínou, Brazíliou, Paraguajom a Uruguajom) a Čile a prebiehali rokovania s Austráliou, Indonéziou, Azerbajdžanom, Kirgizskom, Uzbekistanom a Andorrou.</w:t>
      </w:r>
    </w:p>
    <w:p>
      <w:pPr>
        <w:spacing w:before="0" w:after="240"/>
        <w:rPr>
          <w:rFonts w:asciiTheme="majorHAnsi" w:eastAsia="Calibri" w:hAnsiTheme="majorHAnsi"/>
          <w:iCs/>
          <w:noProof/>
          <w:spacing w:val="-4"/>
          <w:sz w:val="20"/>
        </w:rPr>
      </w:pPr>
      <w:r>
        <w:rPr>
          <w:rFonts w:asciiTheme="majorHAnsi" w:hAnsiTheme="majorHAnsi"/>
          <w:iCs/>
          <w:noProof/>
          <w:spacing w:val="-4"/>
          <w:sz w:val="20"/>
        </w:rPr>
        <w:t>Dohody o voľnom obchode zvyčajne obsahujú doložku o boji proti podvodom, ktorá umožňuje dočasné zrušenie colnej preferencie pre výrobok v prípade závažných colných podvodov a pretrvávajúcej nedostatočnej spolupráce v oblasti boja proti colným podvodom. Úrad OLAF aktívne prispieva k rokovaniam o týchto doložkách. V roku 2018 bola na technickej úrovni dohodnutá doložka s Mercosurom a Novým Zélandom. Doložka sa začlení aj do modernizovanej dohody o voľnom obchode s Mexikom.</w:t>
      </w:r>
    </w:p>
    <w:p>
      <w:pPr>
        <w:spacing w:before="0" w:after="240"/>
        <w:rPr>
          <w:rFonts w:asciiTheme="majorHAnsi" w:eastAsia="Calibri" w:hAnsiTheme="majorHAnsi"/>
          <w:iCs/>
          <w:noProof/>
          <w:spacing w:val="-4"/>
          <w:sz w:val="20"/>
        </w:rPr>
      </w:pPr>
      <w:r>
        <w:rPr>
          <w:rFonts w:asciiTheme="majorHAnsi" w:hAnsiTheme="majorHAnsi"/>
          <w:iCs/>
          <w:noProof/>
          <w:spacing w:val="-4"/>
          <w:sz w:val="20"/>
        </w:rPr>
        <w:t>Dohoda WTO o uľahčení obchodu (dohoda z Bali), ktorej je EÚ zmluvnou stranou, je v platnosti od roku 2017. V článku 12 o colnej spolupráci sa stanovujú ďalšie možnosti výmeny informácií s tretími krajinami na overenie dovozného alebo vývozného colného vyhlásenia, ak existujú dôvodné pochybnosti o pravdivosti alebo presnosti tohto colného vyhlásenia.</w:t>
      </w:r>
    </w:p>
    <w:p>
      <w:pPr>
        <w:pStyle w:val="Heading3"/>
        <w:tabs>
          <w:tab w:val="num" w:pos="851"/>
        </w:tabs>
        <w:spacing w:before="0" w:after="240"/>
        <w:ind w:left="567" w:hanging="567"/>
        <w:rPr>
          <w:rFonts w:asciiTheme="majorHAnsi" w:hAnsiTheme="majorHAnsi"/>
          <w:noProof/>
          <w:color w:val="1F497D" w:themeColor="text2"/>
          <w:spacing w:val="-4"/>
          <w:sz w:val="20"/>
        </w:rPr>
      </w:pPr>
      <w:bookmarkStart w:id="41" w:name="_Toc22547327"/>
      <w:r>
        <w:rPr>
          <w:rFonts w:asciiTheme="majorHAnsi" w:hAnsiTheme="majorHAnsi"/>
          <w:noProof/>
          <w:color w:val="1F497D" w:themeColor="text2"/>
          <w:spacing w:val="-4"/>
          <w:sz w:val="20"/>
        </w:rPr>
        <w:t>Boj proti nezákonnému obchodu s tabakovými výrobkami</w:t>
      </w:r>
      <w:bookmarkEnd w:id="41"/>
    </w:p>
    <w:p>
      <w:pPr>
        <w:spacing w:before="0" w:after="240"/>
        <w:rPr>
          <w:rFonts w:asciiTheme="majorHAnsi" w:hAnsiTheme="majorHAnsi"/>
          <w:noProof/>
          <w:spacing w:val="-4"/>
          <w:sz w:val="20"/>
        </w:rPr>
      </w:pPr>
      <w:r>
        <w:rPr>
          <w:rFonts w:asciiTheme="majorHAnsi" w:hAnsiTheme="majorHAnsi"/>
          <w:noProof/>
          <w:spacing w:val="-4"/>
          <w:sz w:val="20"/>
        </w:rPr>
        <w:t>Okrem úlohy presadzovania práva v boji proti nezákonnému obchodu s tabakom OLAF tiež pomáha posilniť politiku EÚ v tejto oblasti.</w:t>
      </w:r>
    </w:p>
    <w:p>
      <w:pPr>
        <w:spacing w:before="0" w:after="240"/>
        <w:rPr>
          <w:rFonts w:asciiTheme="majorHAnsi" w:hAnsiTheme="majorHAnsi"/>
          <w:noProof/>
          <w:spacing w:val="-4"/>
          <w:sz w:val="20"/>
        </w:rPr>
      </w:pPr>
      <w:r>
        <w:rPr>
          <w:rFonts w:asciiTheme="majorHAnsi" w:hAnsiTheme="majorHAnsi"/>
          <w:b/>
          <w:noProof/>
          <w:spacing w:val="-4"/>
          <w:sz w:val="20"/>
        </w:rPr>
        <w:t>Akčný plán</w:t>
      </w:r>
      <w:r>
        <w:rPr>
          <w:rFonts w:asciiTheme="majorHAnsi" w:hAnsiTheme="majorHAnsi"/>
          <w:noProof/>
          <w:spacing w:val="-4"/>
          <w:sz w:val="20"/>
        </w:rPr>
        <w:t xml:space="preserve"> – Európska komisia 7. decembra 2018 predstavila nový akčný plán</w:t>
      </w:r>
      <w:r>
        <w:rPr>
          <w:rStyle w:val="FootnoteReference"/>
          <w:rFonts w:asciiTheme="majorHAnsi" w:hAnsiTheme="majorHAnsi"/>
          <w:noProof/>
          <w:spacing w:val="-4"/>
        </w:rPr>
        <w:footnoteReference w:id="33"/>
      </w:r>
      <w:r>
        <w:rPr>
          <w:rFonts w:asciiTheme="majorHAnsi" w:hAnsiTheme="majorHAnsi"/>
          <w:noProof/>
          <w:spacing w:val="-4"/>
          <w:sz w:val="20"/>
        </w:rPr>
        <w:t>, ktorý má Európskej únii umožniť pokračovať v boji proti nezákonnému obchodu s tabakom, čo je jav, ktorý každoročne pripravuje EÚ a jej členské štáty o verejné príjmy v hodnote približne 10 miliárd EUR. V akčnom pláne sa načrtávajú konkrétne kroky na riešenie tak ponuky nelegálnych tabakových výrobkov, ako aj dopytu po nich. Okrem toho podobne ako v predchádzajúcom akčnom pláne aj v druhom akčnom pláne sa predkladajú politické i operačné opatrenia na presadzovanie práva, keďže len ich kombinácia môže viesť k udržateľnému obmedzeniu nezákonného obchodovania s tabakom. Nový akčný plán vychádza z analýzy stratégie z roku 2013 zameranej na zintenzívnenie boja proti nezákonnému obchodu s tabakom. Zabezpečuje kontinuitu tým, že sa zameriava na Protokol na odstránenie nezákonného obchodu s tabakovými výrobkami (protokol RDKT) na celosvetovej úrovni a úspešné zavedenie nového systému vysledovateľnosti tabakových výrobkov v EÚ.</w:t>
      </w:r>
    </w:p>
    <w:p>
      <w:pPr>
        <w:spacing w:before="0" w:after="240"/>
        <w:rPr>
          <w:rFonts w:asciiTheme="majorHAnsi" w:hAnsiTheme="majorHAnsi"/>
          <w:noProof/>
          <w:spacing w:val="-4"/>
          <w:sz w:val="20"/>
        </w:rPr>
      </w:pPr>
      <w:r>
        <w:rPr>
          <w:rFonts w:asciiTheme="majorHAnsi" w:hAnsiTheme="majorHAnsi"/>
          <w:b/>
          <w:noProof/>
          <w:spacing w:val="-4"/>
          <w:sz w:val="20"/>
        </w:rPr>
        <w:t>Protokol RDKT</w:t>
      </w:r>
      <w:r>
        <w:rPr>
          <w:rFonts w:asciiTheme="majorHAnsi" w:hAnsiTheme="majorHAnsi"/>
          <w:noProof/>
          <w:spacing w:val="-4"/>
          <w:sz w:val="20"/>
        </w:rPr>
        <w:t xml:space="preserve"> – Protokol pomôže účinne obmedziť nezákonný obchod, iba ak ho zavedú aj tretie krajiny, ktoré sú hlavným zdrojom nedovolených tabakových výrobkov, resp. sú tranzitnými krajinami na trasách pašovania. Komisia zintenzívňuje svoje úsilie na podporu protokolu mimo EÚ a zároveň pomáha členským štátom pri rýchlom dokončení ich vnútorných ratifikačných postupov. Úrad OLAF sa na týchto diskusiách zúčastňuje na európskej aj medzinárodnej scéne.</w:t>
      </w:r>
    </w:p>
    <w:p>
      <w:pPr>
        <w:spacing w:before="0" w:after="240"/>
        <w:rPr>
          <w:rFonts w:asciiTheme="majorHAnsi" w:hAnsiTheme="majorHAnsi"/>
          <w:noProof/>
          <w:spacing w:val="-4"/>
          <w:sz w:val="20"/>
        </w:rPr>
      </w:pPr>
      <w:r>
        <w:rPr>
          <w:rFonts w:asciiTheme="majorHAnsi" w:hAnsiTheme="majorHAnsi"/>
          <w:noProof/>
          <w:spacing w:val="-4"/>
          <w:sz w:val="20"/>
        </w:rPr>
        <w:t>Protokol RDKT nadobudol účinnosť 25. septembra 2018. Európska komisia pod vedením úradu OLAF sa v úzkej spolupráci s predsedníctvom Rady EÚ zúčastnila na prvom stretnutí zmluvných strán protokolu, ktoré sa konalo 8. – 10. októbra 2018. Zmluvné strany sa rozhodli sústrediť svoju pozornosť na zabezpečenie dodávateľského reťazca tabakových výrobkov a na medzinárodnú spoluprácu, pričom OLAF bude naďalej prispievať k tejto práci na medzinárodnej úrovni.</w:t>
      </w:r>
    </w:p>
    <w:p>
      <w:pPr>
        <w:pStyle w:val="Heading3"/>
        <w:tabs>
          <w:tab w:val="num" w:pos="851"/>
        </w:tabs>
        <w:spacing w:before="0" w:after="240"/>
        <w:ind w:left="567" w:hanging="567"/>
        <w:rPr>
          <w:rFonts w:asciiTheme="majorHAnsi" w:hAnsiTheme="majorHAnsi"/>
          <w:noProof/>
          <w:color w:val="1F497D" w:themeColor="text2"/>
          <w:spacing w:val="-4"/>
          <w:sz w:val="20"/>
        </w:rPr>
      </w:pPr>
      <w:bookmarkStart w:id="42" w:name="_Toc22547328"/>
      <w:r>
        <w:rPr>
          <w:rFonts w:asciiTheme="majorHAnsi" w:hAnsiTheme="majorHAnsi"/>
          <w:noProof/>
          <w:color w:val="1F497D" w:themeColor="text2"/>
          <w:spacing w:val="-4"/>
          <w:sz w:val="20"/>
        </w:rPr>
        <w:t>Spolupráca so Spoločným výskumným centrom (JRC) v oblasti boja proti podvodom</w:t>
      </w:r>
      <w:bookmarkEnd w:id="42"/>
    </w:p>
    <w:p>
      <w:pPr>
        <w:spacing w:before="0" w:after="240"/>
        <w:rPr>
          <w:rFonts w:asciiTheme="majorHAnsi" w:hAnsiTheme="majorHAnsi"/>
          <w:bCs/>
          <w:noProof/>
          <w:spacing w:val="-4"/>
          <w:sz w:val="20"/>
        </w:rPr>
      </w:pPr>
      <w:r>
        <w:rPr>
          <w:rFonts w:asciiTheme="majorHAnsi" w:hAnsiTheme="majorHAnsi"/>
          <w:bCs/>
          <w:noProof/>
          <w:spacing w:val="-4"/>
          <w:sz w:val="20"/>
        </w:rPr>
        <w:t>Pri plnení cieľov boja proti podvodom v colnej oblasti OLAF úzko spolupracuje so Spoločným výskumným centrom Komisie, a to najmä na týchto veľkých projektoch:</w:t>
      </w:r>
    </w:p>
    <w:p>
      <w:pPr>
        <w:spacing w:before="0" w:after="240"/>
        <w:rPr>
          <w:rFonts w:asciiTheme="majorHAnsi" w:hAnsiTheme="majorHAnsi"/>
          <w:bCs/>
          <w:noProof/>
          <w:spacing w:val="-4"/>
          <w:sz w:val="20"/>
        </w:rPr>
      </w:pPr>
      <w:r>
        <w:rPr>
          <w:rFonts w:asciiTheme="majorHAnsi" w:hAnsiTheme="majorHAnsi"/>
          <w:b/>
          <w:bCs/>
          <w:noProof/>
          <w:spacing w:val="-4"/>
          <w:sz w:val="20"/>
        </w:rPr>
        <w:t>Automatizovaný monitorovací nástroj (AMT)</w:t>
      </w:r>
      <w:r>
        <w:rPr>
          <w:rFonts w:asciiTheme="majorHAnsi" w:hAnsiTheme="majorHAnsi"/>
          <w:bCs/>
          <w:noProof/>
          <w:spacing w:val="-4"/>
          <w:sz w:val="20"/>
        </w:rPr>
        <w:t xml:space="preserve"> na analýzu „veľkých dát“. AMT počíta odhadované základné ceny tovarov dovážaných do EÚ pre každú kombináciu tovaru, pôvodu v tretej krajine a miesta určenia v členskom štáte. Vytvára tiež automatické varovania týkajúce sa odľahlých cenových hodnôt v obchodných údajoch.</w:t>
      </w:r>
    </w:p>
    <w:p>
      <w:pPr>
        <w:spacing w:before="0" w:after="240"/>
        <w:rPr>
          <w:rFonts w:asciiTheme="majorHAnsi" w:hAnsiTheme="majorHAnsi"/>
          <w:noProof/>
          <w:spacing w:val="-4"/>
          <w:sz w:val="20"/>
        </w:rPr>
      </w:pPr>
      <w:r>
        <w:rPr>
          <w:rFonts w:asciiTheme="majorHAnsi" w:hAnsiTheme="majorHAnsi"/>
          <w:b/>
          <w:bCs/>
          <w:noProof/>
          <w:spacing w:val="-4"/>
          <w:sz w:val="20"/>
        </w:rPr>
        <w:t>Analýza údajov na účely boja proti podvodom v colnej oblasti (INTEL4CUSTAF)</w:t>
      </w:r>
      <w:r>
        <w:rPr>
          <w:rFonts w:asciiTheme="majorHAnsi" w:hAnsiTheme="majorHAnsi"/>
          <w:noProof/>
          <w:spacing w:val="-4"/>
          <w:sz w:val="20"/>
        </w:rPr>
        <w:t xml:space="preserve"> – OLAF zriadil projekt INTELF4CUSTAF financovaný z programu Hercule III v roku 2018 na základe žiadostí členských štátov. Tento projekt spája útvary Komisie a colné orgány členských štátov s cieľom identifikovať spôsoby, ako čo najlepšie využiť nové a vznikajúce zdroje údajov a analytické metódy. Celkovo povedie tento projekt k zlepšeniu analytických kapacít v oblasti boja proti podvodom v celej EÚ. Na dvoch seminároch zorganizovaných v roku 2018 sa zúčastnilo množstvo odborníkov a zástupcov krajín, ktorí diskutovali o rôznych potrebách a existujúcich prístupoch. Ku koncu roka komunitu tvorilo približne 100 odborníkov. Táto činnosť pokračuje aj v roku 2019.</w:t>
      </w:r>
    </w:p>
    <w:p>
      <w:pPr>
        <w:spacing w:before="0" w:after="240"/>
        <w:rPr>
          <w:rFonts w:asciiTheme="majorHAnsi" w:hAnsiTheme="majorHAnsi"/>
          <w:noProof/>
          <w:spacing w:val="-4"/>
          <w:sz w:val="20"/>
        </w:rPr>
      </w:pPr>
      <w:r>
        <w:rPr>
          <w:rFonts w:asciiTheme="majorHAnsi" w:hAnsiTheme="majorHAnsi"/>
          <w:b/>
          <w:noProof/>
          <w:spacing w:val="-4"/>
          <w:sz w:val="20"/>
        </w:rPr>
        <w:t>Správy o stave kontajnerov a analýza dovozných vyhlásení</w:t>
      </w:r>
      <w:r>
        <w:rPr>
          <w:rFonts w:asciiTheme="majorHAnsi" w:hAnsiTheme="majorHAnsi"/>
          <w:noProof/>
          <w:spacing w:val="-4"/>
          <w:sz w:val="20"/>
        </w:rPr>
        <w:t xml:space="preserve"> – vedecká a technologická podpora Spoločného výskumného centra pomohla pri kontrole dodržiavania nariadenia (EÚ) 2015/1525, ktorým sa mení nariadenie č. 515/97, pokiaľ ide o predkladanie správ o stave kontajnerov (CSM). Bolo vyvinutých niekoľko štatistických ukazovateľov na nepretržité monitorovanie kvality a úplnosti správ CSM, ktoré predkladá námorný sektor. Okrem toho sa v rámci služieb Contraffic-SAD vygenerovalo 191 signálov podvodu za obdobie január 2017 – október 2018, čo predstavuje potenciálne colné úniky vo výške 1,9 milióna EUR. Tieto signály podvodu boli výsledkom automatickej analýzy viac ako 4 miliónov colných vyhlásení, ktorú vykonalo Spoločné výskumné centrum.</w:t>
      </w:r>
    </w:p>
    <w:p>
      <w:pPr>
        <w:spacing w:before="0" w:after="240"/>
        <w:rPr>
          <w:rFonts w:asciiTheme="majorHAnsi" w:hAnsiTheme="majorHAnsi"/>
          <w:bCs/>
          <w:noProof/>
          <w:spacing w:val="-4"/>
          <w:sz w:val="20"/>
        </w:rPr>
      </w:pPr>
      <w:r>
        <w:rPr>
          <w:rFonts w:asciiTheme="majorHAnsi" w:hAnsiTheme="majorHAnsi"/>
          <w:b/>
          <w:noProof/>
          <w:spacing w:val="-4"/>
          <w:sz w:val="20"/>
        </w:rPr>
        <w:t>Analýza tabaku a správa údajov (TOBLAB)</w:t>
      </w:r>
      <w:r>
        <w:rPr>
          <w:rFonts w:asciiTheme="majorHAnsi" w:hAnsiTheme="majorHAnsi"/>
          <w:noProof/>
          <w:spacing w:val="-4"/>
          <w:sz w:val="20"/>
        </w:rPr>
        <w:t xml:space="preserve"> – V roku 2015 OLAF uzavrel so Spoločným výskumným centrom v Geele administratívnu dohodu s názvom „</w:t>
      </w:r>
      <w:r>
        <w:rPr>
          <w:rFonts w:asciiTheme="majorHAnsi" w:hAnsiTheme="majorHAnsi"/>
          <w:i/>
          <w:iCs/>
          <w:noProof/>
          <w:spacing w:val="-4"/>
          <w:sz w:val="20"/>
        </w:rPr>
        <w:t>Prevádzka laboratórneho zariadenia a súvisiace riadenie údajov na analýzu tabakových výrobkov</w:t>
      </w:r>
      <w:r>
        <w:rPr>
          <w:rFonts w:asciiTheme="majorHAnsi" w:hAnsiTheme="majorHAnsi"/>
          <w:noProof/>
          <w:spacing w:val="-4"/>
          <w:sz w:val="20"/>
        </w:rPr>
        <w:t xml:space="preserve">“ </w:t>
      </w:r>
      <w:r>
        <w:rPr>
          <w:rFonts w:asciiTheme="majorHAnsi" w:hAnsiTheme="majorHAnsi"/>
          <w:i/>
          <w:iCs/>
          <w:noProof/>
          <w:spacing w:val="-4"/>
          <w:sz w:val="20"/>
        </w:rPr>
        <w:t>(TOBLAB)</w:t>
      </w:r>
      <w:r>
        <w:rPr>
          <w:rFonts w:asciiTheme="majorHAnsi" w:hAnsiTheme="majorHAnsi"/>
          <w:noProof/>
          <w:spacing w:val="-4"/>
          <w:sz w:val="20"/>
        </w:rPr>
        <w:t xml:space="preserve"> financovanú z programu Hercule III. Laboratórne zariadenie TOBLAB bude poskytovať vedeckú a technickú podporu pre správu údajov o výsledkoch testov. V roku 2018 Spoločné výskumné centrum vykonalo 103 analýz tabaku a tabakových výrobkov.</w:t>
      </w:r>
    </w:p>
    <w:p>
      <w:pPr>
        <w:pStyle w:val="Heading3"/>
        <w:tabs>
          <w:tab w:val="num" w:pos="851"/>
        </w:tabs>
        <w:spacing w:before="0" w:after="240"/>
        <w:ind w:left="567" w:hanging="567"/>
        <w:rPr>
          <w:rFonts w:asciiTheme="majorHAnsi" w:hAnsiTheme="majorHAnsi"/>
          <w:noProof/>
          <w:color w:val="1F497D" w:themeColor="text2"/>
          <w:spacing w:val="-4"/>
          <w:sz w:val="20"/>
        </w:rPr>
      </w:pPr>
      <w:bookmarkStart w:id="43" w:name="_Toc22547329"/>
      <w:r>
        <w:rPr>
          <w:rFonts w:asciiTheme="majorHAnsi" w:hAnsiTheme="majorHAnsi"/>
          <w:noProof/>
          <w:color w:val="1F497D" w:themeColor="text2"/>
          <w:spacing w:val="-4"/>
          <w:sz w:val="20"/>
        </w:rPr>
        <w:t>Boj proti podvodom v oblasti DPH</w:t>
      </w:r>
      <w:r>
        <w:rPr>
          <w:rStyle w:val="FootnoteReference"/>
          <w:rFonts w:asciiTheme="majorHAnsi" w:hAnsiTheme="majorHAnsi"/>
          <w:noProof/>
          <w:color w:val="1F497D" w:themeColor="text2"/>
          <w:spacing w:val="-4"/>
          <w:sz w:val="20"/>
        </w:rPr>
        <w:footnoteReference w:id="34"/>
      </w:r>
      <w:bookmarkEnd w:id="43"/>
    </w:p>
    <w:p>
      <w:pPr>
        <w:spacing w:before="0"/>
        <w:rPr>
          <w:rFonts w:asciiTheme="majorHAnsi" w:hAnsiTheme="majorHAnsi"/>
          <w:b/>
          <w:i/>
          <w:noProof/>
          <w:spacing w:val="-4"/>
          <w:sz w:val="20"/>
        </w:rPr>
      </w:pPr>
      <w:r>
        <w:rPr>
          <w:rFonts w:asciiTheme="majorHAnsi" w:hAnsiTheme="majorHAnsi"/>
          <w:b/>
          <w:i/>
          <w:noProof/>
          <w:spacing w:val="-4"/>
          <w:sz w:val="20"/>
        </w:rPr>
        <w:t>Zmena nariadenia Rady č. 904/2010 o administratívnej spolupráci a boji proti podvodom v oblasti DPH</w:t>
      </w:r>
    </w:p>
    <w:p>
      <w:pPr>
        <w:spacing w:before="0"/>
        <w:rPr>
          <w:rFonts w:asciiTheme="majorHAnsi" w:hAnsiTheme="majorHAnsi"/>
          <w:noProof/>
          <w:spacing w:val="-4"/>
          <w:sz w:val="20"/>
        </w:rPr>
      </w:pPr>
      <w:r>
        <w:rPr>
          <w:rFonts w:asciiTheme="majorHAnsi" w:hAnsiTheme="majorHAnsi"/>
          <w:noProof/>
          <w:spacing w:val="-4"/>
          <w:sz w:val="20"/>
        </w:rPr>
        <w:t>V októbri 2018 bol zavedený súbor úprav</w:t>
      </w:r>
      <w:r>
        <w:rPr>
          <w:rStyle w:val="FootnoteReference"/>
          <w:rFonts w:asciiTheme="majorHAnsi" w:hAnsiTheme="majorHAnsi"/>
          <w:noProof/>
          <w:spacing w:val="-4"/>
          <w:sz w:val="20"/>
        </w:rPr>
        <w:footnoteReference w:id="35"/>
      </w:r>
      <w:r>
        <w:rPr>
          <w:rFonts w:asciiTheme="majorHAnsi" w:hAnsiTheme="majorHAnsi"/>
          <w:noProof/>
          <w:spacing w:val="-4"/>
          <w:sz w:val="20"/>
        </w:rPr>
        <w:t xml:space="preserve"> právneho rámca pre administratívnu spoluprácu a boj proti podvodom v oblasti DPH (nariadenie Rady č. 904/2010) s cieľom zvýšiť kapacitu členských štátov riešiť najškodlivejšie systémy podvodov s DPH a zmenšiť výpadok príjmov z DPH, ktorý v roku 2016 predstavoval 147,1 miliardy EUR. Medzi hlavné opatrenia patria:</w:t>
      </w:r>
    </w:p>
    <w:p>
      <w:pPr>
        <w:pStyle w:val="ListParagraph"/>
        <w:numPr>
          <w:ilvl w:val="0"/>
          <w:numId w:val="4"/>
        </w:numPr>
        <w:spacing w:before="0"/>
        <w:contextualSpacing w:val="0"/>
        <w:rPr>
          <w:rFonts w:asciiTheme="majorHAnsi" w:hAnsiTheme="majorHAnsi"/>
          <w:noProof/>
          <w:spacing w:val="-4"/>
          <w:sz w:val="20"/>
        </w:rPr>
      </w:pPr>
      <w:r>
        <w:rPr>
          <w:rFonts w:asciiTheme="majorHAnsi" w:hAnsiTheme="majorHAnsi"/>
          <w:noProof/>
          <w:spacing w:val="-4"/>
          <w:sz w:val="20"/>
        </w:rPr>
        <w:t>Spoločné administratívne vyšetrovania</w:t>
      </w:r>
    </w:p>
    <w:p>
      <w:pPr>
        <w:spacing w:before="0"/>
        <w:rPr>
          <w:rFonts w:asciiTheme="majorHAnsi" w:hAnsiTheme="majorHAnsi"/>
          <w:noProof/>
          <w:spacing w:val="-4"/>
          <w:sz w:val="20"/>
        </w:rPr>
      </w:pPr>
      <w:r>
        <w:rPr>
          <w:rFonts w:asciiTheme="majorHAnsi" w:hAnsiTheme="majorHAnsi"/>
          <w:noProof/>
          <w:spacing w:val="-4"/>
          <w:sz w:val="20"/>
        </w:rPr>
        <w:t>Administratívne vyšetrovania sú neoddeliteľnou súčasťou boja proti podvodom s DPH. Tento nový nástroj spolupráce bol zavedený s cieľom zvýšiť schopnosť daňových správ kontrolovať cezhraničné dodávky. Umožňuje dvom alebo viacerým daňovým správam vytvoriť jeden tím, ktorý skúma cezhraničné transakcie jedného alebo viacerých súvisiacich zdaniteľných subjektov vykonávajúcich cezhraničné činnosti.</w:t>
      </w:r>
    </w:p>
    <w:p>
      <w:pPr>
        <w:spacing w:before="0"/>
        <w:rPr>
          <w:rFonts w:asciiTheme="majorHAnsi" w:hAnsiTheme="majorHAnsi"/>
          <w:noProof/>
          <w:spacing w:val="-4"/>
          <w:sz w:val="20"/>
        </w:rPr>
      </w:pPr>
      <w:r>
        <w:rPr>
          <w:rFonts w:asciiTheme="majorHAnsi" w:hAnsiTheme="majorHAnsi"/>
          <w:noProof/>
          <w:spacing w:val="-4"/>
          <w:sz w:val="20"/>
        </w:rPr>
        <w:t>Okrem toho, ak sa aspoň dva členské štáty domnievajú, že je potrebné vykonať administratívne vyšetrovanie súm priznaných zdaniteľnou osobou, ktorá nie je usadená na ich území, ale je na ich území zdaniteľná, členský štát, v ktorom je táto zdaniteľná osoba usadená, by mal vykonať vyšetrovanie a žiadajúce členské štáty by mali pomáhať členskému štátu usadenia aktívnym zapojením sa do vyšetrovania. Toto opatrenie je mimoriadne dôležité pri boji proti podvodom v sektore elektronického obchodu.</w:t>
      </w:r>
    </w:p>
    <w:p>
      <w:pPr>
        <w:pStyle w:val="ListParagraph"/>
        <w:numPr>
          <w:ilvl w:val="0"/>
          <w:numId w:val="4"/>
        </w:numPr>
        <w:spacing w:before="0"/>
        <w:contextualSpacing w:val="0"/>
        <w:rPr>
          <w:rFonts w:asciiTheme="majorHAnsi" w:hAnsiTheme="majorHAnsi"/>
          <w:noProof/>
          <w:spacing w:val="-4"/>
          <w:sz w:val="20"/>
        </w:rPr>
      </w:pPr>
      <w:r>
        <w:rPr>
          <w:rFonts w:asciiTheme="majorHAnsi" w:hAnsiTheme="majorHAnsi"/>
          <w:noProof/>
          <w:spacing w:val="-4"/>
          <w:sz w:val="20"/>
        </w:rPr>
        <w:t>Eurofisc</w:t>
      </w:r>
    </w:p>
    <w:p>
      <w:pPr>
        <w:spacing w:before="0"/>
        <w:rPr>
          <w:rFonts w:asciiTheme="majorHAnsi" w:hAnsiTheme="majorHAnsi"/>
          <w:noProof/>
          <w:spacing w:val="-4"/>
          <w:sz w:val="20"/>
        </w:rPr>
      </w:pPr>
      <w:r>
        <w:rPr>
          <w:rFonts w:asciiTheme="majorHAnsi" w:hAnsiTheme="majorHAnsi"/>
          <w:noProof/>
          <w:spacing w:val="-4"/>
          <w:sz w:val="20"/>
        </w:rPr>
        <w:t>Eurofisc bol zriadený na účely rýchlej výmeny cielených informácií medzi členskými štátmi s cieľom riešiť rozsiahle alebo nové trendy v oblasti podvodov s DPH. Komisia v záujme urýchlenia spoločného spracovania a analýzy údajov v súčasnosti zavádza nový softvér na analýzu transakčných sietí s názvom Transaction Network Analysis (TNA).</w:t>
      </w:r>
    </w:p>
    <w:p>
      <w:pPr>
        <w:spacing w:before="0"/>
        <w:rPr>
          <w:rFonts w:asciiTheme="majorHAnsi" w:hAnsiTheme="majorHAnsi"/>
          <w:noProof/>
          <w:spacing w:val="-4"/>
          <w:sz w:val="20"/>
        </w:rPr>
      </w:pPr>
      <w:r>
        <w:rPr>
          <w:rFonts w:asciiTheme="majorHAnsi" w:hAnsiTheme="majorHAnsi"/>
          <w:noProof/>
          <w:spacing w:val="-4"/>
          <w:sz w:val="20"/>
        </w:rPr>
        <w:t>S cieľom maximalizovať potenciál TNA pri identifikácii podvodných sietí v rámci celej EÚ sa v zmenenom nariadení (EÚ) č. 904/2010 objasňuje ustanovenie o spoločnom spracúvaní a analýze údajov v systéme Eurofisc. Účasť na takomto spracúvaní a analýze zostáva dobrovoľná, ale členské štáty musia úradníkom Eurofiscu poskytnúť prístup k svojim údajom zo systému výmeny informácií o DPH (VIES) týkajúcim sa transakcií v rámci EÚ prostredníctvom TNA, aby bolo možné identifikovať potenciálne podvodné siete vrátane podvodných sietí, do ktorých sú zapojení obchodníci so sídlom v nezúčastňujúcich sa členských štátoch.</w:t>
      </w:r>
    </w:p>
    <w:p>
      <w:pPr>
        <w:spacing w:before="0"/>
        <w:rPr>
          <w:rFonts w:asciiTheme="majorHAnsi" w:hAnsiTheme="majorHAnsi"/>
          <w:noProof/>
          <w:spacing w:val="-4"/>
          <w:sz w:val="20"/>
        </w:rPr>
      </w:pPr>
      <w:r>
        <w:rPr>
          <w:rFonts w:asciiTheme="majorHAnsi" w:hAnsiTheme="majorHAnsi"/>
          <w:noProof/>
          <w:spacing w:val="-4"/>
          <w:sz w:val="20"/>
        </w:rPr>
        <w:t>Na základe zmien z roku 2018 bude Eurofisc koordinovať administratívne vyšetrovania začaté na základe jeho analýz rizika. Úradníci Eurofiscu sú často prví, ktorí sú upozornení na nové podvodné siete, a majú rozsiahle odborné znalosti o závažných podvodoch v oblasti DPH. Preto je najvhodnejšie, aby práve oni koordinovali zodpovedajúce administratívne vyšetrovania.</w:t>
      </w:r>
    </w:p>
    <w:p>
      <w:pPr>
        <w:spacing w:before="0"/>
        <w:rPr>
          <w:rFonts w:asciiTheme="majorHAnsi" w:hAnsiTheme="majorHAnsi"/>
          <w:noProof/>
          <w:spacing w:val="-4"/>
          <w:sz w:val="20"/>
        </w:rPr>
      </w:pPr>
      <w:r>
        <w:rPr>
          <w:rFonts w:asciiTheme="majorHAnsi" w:hAnsiTheme="majorHAnsi"/>
          <w:noProof/>
          <w:spacing w:val="-4"/>
          <w:sz w:val="20"/>
        </w:rPr>
        <w:t>Nariadením (EÚ) 2018/1541 sa úradníkom Eurofiscu takisto otvorila možnosť zasielať Europolu a úradu OLAF informácie o trendoch, rizikách a závažných prípadoch v oblasti podvodov s DPH na účely krížovej kontroly s ich záznamami. Týka sa to najmä najškodlivejších podvodov s DPH, ako sú podvody v rámci Spoločenstva založené na chýbajúcom obchodnom subjekte a zneužívanie colného „režimu 42“</w:t>
      </w:r>
      <w:r>
        <w:rPr>
          <w:rStyle w:val="FootnoteReference"/>
          <w:rFonts w:asciiTheme="majorHAnsi" w:hAnsiTheme="majorHAnsi"/>
          <w:noProof/>
          <w:spacing w:val="-4"/>
          <w:sz w:val="20"/>
        </w:rPr>
        <w:footnoteReference w:id="36"/>
      </w:r>
      <w:r>
        <w:rPr>
          <w:rFonts w:asciiTheme="majorHAnsi" w:hAnsiTheme="majorHAnsi"/>
          <w:noProof/>
          <w:spacing w:val="-4"/>
          <w:sz w:val="20"/>
        </w:rPr>
        <w:t>, do ktorých sú často zapojené zločinecké organizácie, ktoré využívajú svoje medzinárodné siete na vytvorenie pokročilých systémov podvodov v rámci Spoločenstva založených na chýbajúcom obchodnom subjekte, aby získali prostriedky zo štátnych rozpočtov.</w:t>
      </w:r>
    </w:p>
    <w:p>
      <w:pPr>
        <w:spacing w:before="0"/>
        <w:rPr>
          <w:rFonts w:asciiTheme="majorHAnsi" w:hAnsiTheme="majorHAnsi"/>
          <w:noProof/>
          <w:spacing w:val="-4"/>
          <w:sz w:val="20"/>
        </w:rPr>
      </w:pPr>
      <w:r>
        <w:rPr>
          <w:rFonts w:asciiTheme="majorHAnsi" w:hAnsiTheme="majorHAnsi"/>
          <w:noProof/>
          <w:spacing w:val="-4"/>
          <w:sz w:val="20"/>
        </w:rPr>
        <w:t>Spolupráca s orgánmi presadzovania práva EÚ umožňuje krížové porovnanie informácií Eurofiscu s registrom trestov, databázami a inými informáciami, ktoré uchováva OLAF a Europol, a pomáha identifikovať skutočných páchateľov podvodov a ich siete. Konkrétne OLAF získava relevantné informácie v rámci svojich vyšetrovaní týkajúcich sa colných podvodov, ktoré sú vnútorne spojené s podvodmi v oblasti DPH, ako sú napríklad colné podvody založené na zneužívaní „režimu 42“.</w:t>
      </w:r>
    </w:p>
    <w:p>
      <w:pPr>
        <w:pStyle w:val="ListParagraph"/>
        <w:numPr>
          <w:ilvl w:val="0"/>
          <w:numId w:val="4"/>
        </w:numPr>
        <w:spacing w:before="0"/>
        <w:contextualSpacing w:val="0"/>
        <w:rPr>
          <w:rFonts w:asciiTheme="majorHAnsi" w:hAnsiTheme="majorHAnsi"/>
          <w:noProof/>
          <w:spacing w:val="-4"/>
          <w:sz w:val="20"/>
        </w:rPr>
      </w:pPr>
      <w:r>
        <w:rPr>
          <w:rFonts w:asciiTheme="majorHAnsi" w:hAnsiTheme="majorHAnsi"/>
          <w:noProof/>
          <w:spacing w:val="-4"/>
          <w:sz w:val="20"/>
        </w:rPr>
        <w:t>Informovanie úradu OLAF a Európskej prokuratúry o závažných prípadoch podvodov s DPH týkajúcich sa najmenej dvoch členských štátov</w:t>
      </w:r>
    </w:p>
    <w:p>
      <w:pPr>
        <w:spacing w:before="0"/>
        <w:rPr>
          <w:rFonts w:asciiTheme="majorHAnsi" w:hAnsiTheme="majorHAnsi"/>
          <w:noProof/>
          <w:spacing w:val="-4"/>
          <w:sz w:val="20"/>
        </w:rPr>
      </w:pPr>
      <w:r>
        <w:rPr>
          <w:rFonts w:asciiTheme="majorHAnsi" w:hAnsiTheme="majorHAnsi"/>
          <w:noProof/>
          <w:spacing w:val="-4"/>
          <w:sz w:val="20"/>
        </w:rPr>
        <w:t>Členské štáty, ktoré sa zúčastňujú na Európskej prokuratúre, by jej mali oznamovať informácie o najzávažnejších trestných činoch týkajúcich sa DPH, ako sa uvádza v článku 2 ods. 2 smernice o ochrane finančných záujmov. Ide o prípady týkajúce sa činnosti v dvoch alebo viacerých členských štátoch a s celkovou škodou vo výške najmenej 10 miliónov EUR.</w:t>
      </w:r>
    </w:p>
    <w:p>
      <w:pPr>
        <w:spacing w:before="0"/>
        <w:rPr>
          <w:rFonts w:asciiTheme="majorHAnsi" w:hAnsiTheme="majorHAnsi"/>
          <w:noProof/>
          <w:spacing w:val="-4"/>
          <w:sz w:val="20"/>
        </w:rPr>
      </w:pPr>
      <w:r>
        <w:rPr>
          <w:rFonts w:asciiTheme="majorHAnsi" w:hAnsiTheme="majorHAnsi"/>
          <w:noProof/>
          <w:spacing w:val="-4"/>
          <w:sz w:val="20"/>
        </w:rPr>
        <w:t>Úrad OLAF je naďalej zodpovedný za administratívne vyšetrovania v prípade nepodvodných a podvodných nezrovnalostí, ktoré poškodzujú finančné záujmy EÚ. Jeho mandát a právomoc v oblasti podvodov s DPH teda siaha nad rámec prípadov, ktoré sú v článku 2 ods. 2 označené za najzávažnejšie. Okrem toho, keďže nie všetky členské štáty budú súčasťou Európskej prokuratúry, OLAF pokračuje vo svojich administratívnych vyšetrovaniach vo vzťahu k nezúčastneným členským štátom rovnako ako predtým</w:t>
      </w:r>
      <w:r>
        <w:rPr>
          <w:rStyle w:val="FootnoteReference"/>
          <w:rFonts w:asciiTheme="majorHAnsi" w:hAnsiTheme="majorHAnsi"/>
          <w:noProof/>
          <w:spacing w:val="-4"/>
          <w:sz w:val="20"/>
        </w:rPr>
        <w:footnoteReference w:id="37"/>
      </w:r>
      <w:r>
        <w:rPr>
          <w:rFonts w:asciiTheme="majorHAnsi" w:hAnsiTheme="majorHAnsi"/>
          <w:noProof/>
          <w:spacing w:val="-4"/>
          <w:sz w:val="20"/>
        </w:rPr>
        <w:t>.</w:t>
      </w:r>
    </w:p>
    <w:p>
      <w:pPr>
        <w:spacing w:before="0"/>
        <w:rPr>
          <w:rFonts w:asciiTheme="majorHAnsi" w:hAnsiTheme="majorHAnsi"/>
          <w:noProof/>
          <w:spacing w:val="-4"/>
          <w:sz w:val="20"/>
        </w:rPr>
      </w:pPr>
      <w:r>
        <w:rPr>
          <w:rFonts w:asciiTheme="majorHAnsi" w:hAnsiTheme="majorHAnsi"/>
          <w:noProof/>
          <w:spacing w:val="-4"/>
          <w:sz w:val="20"/>
        </w:rPr>
        <w:t>Úrad OLAF môže tiež uľahčovať a koordinovať vyšetrovania podvodov s DPH s využitím svojho multidisciplinárneho prístupu, ako aj poskytovať analýzy a spravodajské informácie. Na tento účel by členské štáty mali úradu OLAF oznamovať informácie o trestných činoch v oblasti DPH, ak to považujú za vhodné na výkon jeho mandátu.</w:t>
      </w:r>
    </w:p>
    <w:p>
      <w:pPr>
        <w:pStyle w:val="ListParagraph"/>
        <w:numPr>
          <w:ilvl w:val="0"/>
          <w:numId w:val="4"/>
        </w:numPr>
        <w:spacing w:before="0"/>
        <w:contextualSpacing w:val="0"/>
        <w:rPr>
          <w:rFonts w:asciiTheme="majorHAnsi" w:hAnsiTheme="majorHAnsi"/>
          <w:noProof/>
          <w:spacing w:val="-4"/>
          <w:sz w:val="20"/>
        </w:rPr>
      </w:pPr>
      <w:r>
        <w:rPr>
          <w:rFonts w:asciiTheme="majorHAnsi" w:hAnsiTheme="majorHAnsi"/>
          <w:noProof/>
          <w:spacing w:val="-4"/>
          <w:sz w:val="20"/>
        </w:rPr>
        <w:t>Sprístupnenie údajov z colných režimov 42/63 daňovým úradom</w:t>
      </w:r>
    </w:p>
    <w:p>
      <w:pPr>
        <w:spacing w:before="0"/>
        <w:ind w:left="-142"/>
        <w:rPr>
          <w:rFonts w:asciiTheme="majorHAnsi" w:hAnsiTheme="majorHAnsi"/>
          <w:noProof/>
          <w:spacing w:val="-4"/>
          <w:sz w:val="20"/>
        </w:rPr>
      </w:pPr>
      <w:r>
        <w:rPr>
          <w:rFonts w:asciiTheme="majorHAnsi" w:hAnsiTheme="majorHAnsi"/>
          <w:noProof/>
          <w:spacing w:val="-4"/>
          <w:sz w:val="20"/>
        </w:rPr>
        <w:t>Od roku 2020 bude členský štát dovozu sprístupňovať príslušné informácie týkajúce sa „colného režimu 42“ a „colného režimu 63“</w:t>
      </w:r>
      <w:r>
        <w:rPr>
          <w:rStyle w:val="FootnoteReference"/>
          <w:rFonts w:asciiTheme="majorHAnsi" w:hAnsiTheme="majorHAnsi"/>
          <w:noProof/>
          <w:spacing w:val="-4"/>
          <w:sz w:val="20"/>
        </w:rPr>
        <w:footnoteReference w:id="38"/>
      </w:r>
      <w:r>
        <w:rPr>
          <w:rFonts w:asciiTheme="majorHAnsi" w:hAnsiTheme="majorHAnsi"/>
          <w:noProof/>
          <w:spacing w:val="-4"/>
          <w:sz w:val="20"/>
        </w:rPr>
        <w:t xml:space="preserve"> predložené elektronicky spolu s colným vyhlásením (napr. identifikačné čísla DPH, hodnotu dovážaného tovaru, druh komodít atď.) daňovým úradom v členskom štáte zákazníka. Daňové úrady v oboch krajinách preto budú môcť porovnať tieto informácie s informáciami, ktoré dovozca uviedol vo svojom súhrnnom výkaze a daňovom priznaní k DPH, a s informáciami, ktoré vo svojom daňovom priznaní k DPH uviedol príjemca. To umožní okamžitú kontrolu dovozcu v prípade, že dovozca zneužil identifikačné číslo DPH zákazníka, hoci môže ísť o platné identifikačné číslo, a umožní daňovým orgánom odhaliť prípady podhodnotenia v čase dovozu.</w:t>
      </w:r>
    </w:p>
    <w:p>
      <w:pPr>
        <w:pStyle w:val="ListParagraph"/>
        <w:numPr>
          <w:ilvl w:val="0"/>
          <w:numId w:val="4"/>
        </w:numPr>
        <w:spacing w:before="0" w:after="240"/>
        <w:contextualSpacing w:val="0"/>
        <w:rPr>
          <w:rFonts w:asciiTheme="majorHAnsi" w:hAnsiTheme="majorHAnsi"/>
          <w:noProof/>
          <w:spacing w:val="-4"/>
          <w:sz w:val="20"/>
        </w:rPr>
      </w:pPr>
      <w:r>
        <w:rPr>
          <w:rFonts w:asciiTheme="majorHAnsi" w:hAnsiTheme="majorHAnsi"/>
          <w:noProof/>
          <w:spacing w:val="-4"/>
          <w:sz w:val="20"/>
        </w:rPr>
        <w:t>Sprístupnenie údajov o registrácii vozidiel daňovým úradom</w:t>
      </w:r>
    </w:p>
    <w:p>
      <w:pPr>
        <w:spacing w:before="0" w:after="240"/>
        <w:rPr>
          <w:rFonts w:asciiTheme="majorHAnsi" w:hAnsiTheme="majorHAnsi"/>
          <w:noProof/>
          <w:spacing w:val="-4"/>
          <w:sz w:val="20"/>
        </w:rPr>
      </w:pPr>
      <w:r>
        <w:rPr>
          <w:rFonts w:asciiTheme="majorHAnsi" w:hAnsiTheme="majorHAnsi"/>
          <w:noProof/>
          <w:spacing w:val="-4"/>
          <w:sz w:val="20"/>
        </w:rPr>
        <w:t>Zmeny z roku 2018 zaviedli aj výmenu údajov o registrácii automobilov. Úradníci Eurofiscu využijú tento postup na riešenie cezhraničných podvodov týkajúcich sa predaja ojazdených vozidiel a na rýchlu identifikáciu subjektov, ktoré sa dopustili podvodných transakcií, ako aj miest, kde k podvodným transakciám došlo.</w:t>
      </w:r>
    </w:p>
    <w:p>
      <w:pPr>
        <w:keepNext/>
        <w:spacing w:before="0" w:after="240"/>
        <w:rPr>
          <w:rFonts w:asciiTheme="majorHAnsi" w:hAnsiTheme="majorHAnsi"/>
          <w:b/>
          <w:i/>
          <w:noProof/>
          <w:spacing w:val="-4"/>
          <w:sz w:val="20"/>
          <w:szCs w:val="20"/>
        </w:rPr>
      </w:pPr>
      <w:r>
        <w:rPr>
          <w:rFonts w:asciiTheme="majorHAnsi" w:hAnsiTheme="majorHAnsi"/>
          <w:b/>
          <w:i/>
          <w:noProof/>
          <w:spacing w:val="-4"/>
          <w:sz w:val="20"/>
          <w:szCs w:val="20"/>
        </w:rPr>
        <w:t>Dohoda medzi EÚ a Nórskom</w:t>
      </w:r>
    </w:p>
    <w:p>
      <w:pPr>
        <w:spacing w:before="0" w:after="240"/>
        <w:rPr>
          <w:rFonts w:asciiTheme="majorHAnsi" w:hAnsiTheme="majorHAnsi"/>
          <w:noProof/>
          <w:spacing w:val="-4"/>
          <w:sz w:val="20"/>
        </w:rPr>
      </w:pPr>
      <w:r>
        <w:rPr>
          <w:rFonts w:asciiTheme="majorHAnsi" w:hAnsiTheme="majorHAnsi"/>
          <w:noProof/>
          <w:spacing w:val="-4"/>
          <w:sz w:val="20"/>
        </w:rPr>
        <w:t>Dohoda medzi EÚ a Nórskom o administratívnej spolupráci a pomoci pri vymáhaní v oblasti DPH nadobudla účinnosť 1. septembra 2018.</w:t>
      </w:r>
    </w:p>
    <w:p>
      <w:pPr>
        <w:spacing w:before="0" w:after="240"/>
        <w:rPr>
          <w:rFonts w:asciiTheme="majorHAnsi" w:hAnsiTheme="majorHAnsi"/>
          <w:noProof/>
          <w:spacing w:val="-4"/>
          <w:sz w:val="20"/>
        </w:rPr>
      </w:pPr>
      <w:r>
        <w:rPr>
          <w:rFonts w:asciiTheme="majorHAnsi" w:hAnsiTheme="majorHAnsi"/>
          <w:noProof/>
          <w:spacing w:val="-4"/>
          <w:sz w:val="20"/>
        </w:rPr>
        <w:t>Účelom dohody je posilnená spolupráca, boj proti podvodom a pomoc pri vymáhaní nárokov v oblasti DPH. Umožňuje Nórsku zúčastňovať sa na existujúcich nástrojoch spolupráce medzi členskými štátmi, ako sú výmena informácií a administratívne vyšetrovania, pomoc pri administratívnych oznámeniach, prítomnosť v správnych úradoch a účasť na správnych vyšetrovaniach, účasť v niektorých pracovných oblastiach Eurofiscu, simultánne kontroly, ako aj pomoc pri vymáhaní nárokov.</w:t>
      </w:r>
    </w:p>
    <w:p>
      <w:pPr>
        <w:pStyle w:val="Heading2"/>
        <w:tabs>
          <w:tab w:val="clear" w:pos="850"/>
          <w:tab w:val="num" w:pos="567"/>
        </w:tabs>
        <w:spacing w:before="0" w:after="240"/>
        <w:ind w:left="426" w:hanging="426"/>
        <w:rPr>
          <w:rFonts w:asciiTheme="majorHAnsi" w:hAnsiTheme="majorHAnsi"/>
          <w:noProof/>
          <w:color w:val="1F497D" w:themeColor="text2"/>
          <w:spacing w:val="-4"/>
          <w:sz w:val="20"/>
        </w:rPr>
      </w:pPr>
      <w:bookmarkStart w:id="44" w:name="_Toc22547330"/>
      <w:r>
        <w:rPr>
          <w:rFonts w:asciiTheme="majorHAnsi" w:hAnsiTheme="majorHAnsi"/>
          <w:noProof/>
          <w:color w:val="1F497D" w:themeColor="text2"/>
          <w:spacing w:val="-4"/>
          <w:sz w:val="20"/>
        </w:rPr>
        <w:t>Opatrenia členských štátov na boj proti podvodom – príjmy</w:t>
      </w:r>
      <w:bookmarkEnd w:id="44"/>
    </w:p>
    <w:p>
      <w:pPr>
        <w:spacing w:before="0"/>
        <w:rPr>
          <w:rFonts w:asciiTheme="majorHAnsi" w:eastAsia="Calibri" w:hAnsiTheme="majorHAnsi"/>
          <w:noProof/>
          <w:spacing w:val="-4"/>
          <w:sz w:val="20"/>
        </w:rPr>
      </w:pPr>
      <w:r>
        <w:rPr>
          <w:rFonts w:asciiTheme="majorHAnsi" w:hAnsiTheme="majorHAnsi"/>
          <w:noProof/>
          <w:spacing w:val="-4"/>
          <w:sz w:val="20"/>
        </w:rPr>
        <w:t>Opatrenia na boj proti colným a daňovým podvodom oznámilo 11 členských štátov. Medzi tieto opatrenia patrili:</w:t>
      </w:r>
    </w:p>
    <w:p>
      <w:pPr>
        <w:pStyle w:val="ListParagraph"/>
        <w:numPr>
          <w:ilvl w:val="0"/>
          <w:numId w:val="7"/>
        </w:numPr>
        <w:spacing w:before="0"/>
        <w:contextualSpacing w:val="0"/>
        <w:rPr>
          <w:rFonts w:asciiTheme="majorHAnsi" w:hAnsiTheme="majorHAnsi"/>
          <w:noProof/>
          <w:spacing w:val="-4"/>
          <w:sz w:val="20"/>
        </w:rPr>
      </w:pPr>
      <w:r>
        <w:rPr>
          <w:rFonts w:asciiTheme="majorHAnsi" w:hAnsiTheme="majorHAnsi"/>
          <w:noProof/>
          <w:spacing w:val="-4"/>
          <w:sz w:val="20"/>
        </w:rPr>
        <w:t>zdokonalenie ukazovateľov rizika na riešenie podhodnotenia dovozných vyhlásení</w:t>
      </w:r>
      <w:r>
        <w:rPr>
          <w:rStyle w:val="FootnoteReference"/>
          <w:rFonts w:asciiTheme="majorHAnsi" w:eastAsia="Calibri" w:hAnsiTheme="majorHAnsi"/>
          <w:noProof/>
          <w:spacing w:val="-4"/>
          <w:sz w:val="20"/>
        </w:rPr>
        <w:footnoteReference w:id="39"/>
      </w:r>
      <w:r>
        <w:rPr>
          <w:rFonts w:asciiTheme="majorHAnsi" w:hAnsiTheme="majorHAnsi"/>
          <w:noProof/>
          <w:spacing w:val="-4"/>
          <w:sz w:val="20"/>
        </w:rPr>
        <w:t>,</w:t>
      </w:r>
    </w:p>
    <w:p>
      <w:pPr>
        <w:pStyle w:val="ListParagraph"/>
        <w:numPr>
          <w:ilvl w:val="0"/>
          <w:numId w:val="7"/>
        </w:numPr>
        <w:spacing w:before="0"/>
        <w:contextualSpacing w:val="0"/>
        <w:rPr>
          <w:rFonts w:asciiTheme="majorHAnsi" w:eastAsia="Calibri" w:hAnsiTheme="majorHAnsi"/>
          <w:noProof/>
          <w:spacing w:val="-4"/>
          <w:sz w:val="20"/>
        </w:rPr>
      </w:pPr>
      <w:r>
        <w:rPr>
          <w:rFonts w:asciiTheme="majorHAnsi" w:hAnsiTheme="majorHAnsi"/>
          <w:noProof/>
          <w:spacing w:val="-4"/>
          <w:sz w:val="20"/>
        </w:rPr>
        <w:t>zameranie sa na elektronický obchod</w:t>
      </w:r>
      <w:r>
        <w:rPr>
          <w:rStyle w:val="FootnoteReference"/>
          <w:rFonts w:asciiTheme="majorHAnsi" w:eastAsia="Calibri" w:hAnsiTheme="majorHAnsi"/>
          <w:noProof/>
          <w:spacing w:val="-4"/>
          <w:sz w:val="20"/>
        </w:rPr>
        <w:footnoteReference w:id="40"/>
      </w:r>
      <w:r>
        <w:rPr>
          <w:rFonts w:asciiTheme="majorHAnsi" w:hAnsiTheme="majorHAnsi"/>
          <w:noProof/>
          <w:spacing w:val="-4"/>
          <w:sz w:val="20"/>
        </w:rPr>
        <w:t>,</w:t>
      </w:r>
    </w:p>
    <w:p>
      <w:pPr>
        <w:pStyle w:val="ListParagraph"/>
        <w:numPr>
          <w:ilvl w:val="0"/>
          <w:numId w:val="7"/>
        </w:numPr>
        <w:spacing w:before="0"/>
        <w:contextualSpacing w:val="0"/>
        <w:rPr>
          <w:rFonts w:asciiTheme="majorHAnsi" w:eastAsia="Calibri" w:hAnsiTheme="majorHAnsi"/>
          <w:noProof/>
          <w:spacing w:val="-4"/>
          <w:sz w:val="20"/>
        </w:rPr>
      </w:pPr>
      <w:r>
        <w:rPr>
          <w:rFonts w:asciiTheme="majorHAnsi" w:hAnsiTheme="majorHAnsi"/>
          <w:noProof/>
          <w:spacing w:val="-4"/>
          <w:sz w:val="20"/>
        </w:rPr>
        <w:t>organizačné opatrenia zamerané na vytváranie alebo zvyšovanie spravodajských schopností útvarov/jednotiek</w:t>
      </w:r>
      <w:r>
        <w:rPr>
          <w:rStyle w:val="FootnoteReference"/>
          <w:rFonts w:asciiTheme="majorHAnsi" w:eastAsia="Calibri" w:hAnsiTheme="majorHAnsi"/>
          <w:noProof/>
          <w:spacing w:val="-4"/>
          <w:sz w:val="20"/>
        </w:rPr>
        <w:footnoteReference w:id="41"/>
      </w:r>
      <w:r>
        <w:rPr>
          <w:rFonts w:asciiTheme="majorHAnsi" w:hAnsiTheme="majorHAnsi"/>
          <w:noProof/>
          <w:spacing w:val="-4"/>
          <w:sz w:val="20"/>
        </w:rPr>
        <w:t>,</w:t>
      </w:r>
    </w:p>
    <w:p>
      <w:pPr>
        <w:pStyle w:val="ListParagraph"/>
        <w:numPr>
          <w:ilvl w:val="0"/>
          <w:numId w:val="7"/>
        </w:numPr>
        <w:spacing w:before="0"/>
        <w:contextualSpacing w:val="0"/>
        <w:rPr>
          <w:rFonts w:asciiTheme="majorHAnsi" w:eastAsia="Calibri" w:hAnsiTheme="majorHAnsi"/>
          <w:noProof/>
          <w:spacing w:val="-4"/>
          <w:sz w:val="20"/>
        </w:rPr>
      </w:pPr>
      <w:r>
        <w:rPr>
          <w:rFonts w:asciiTheme="majorHAnsi" w:hAnsiTheme="majorHAnsi"/>
          <w:noProof/>
          <w:spacing w:val="-4"/>
          <w:sz w:val="20"/>
        </w:rPr>
        <w:t>zavedenie nových IT nástrojov</w:t>
      </w:r>
      <w:r>
        <w:rPr>
          <w:rStyle w:val="FootnoteReference"/>
          <w:rFonts w:asciiTheme="majorHAnsi" w:eastAsia="Calibri" w:hAnsiTheme="majorHAnsi"/>
          <w:noProof/>
          <w:spacing w:val="-4"/>
          <w:sz w:val="20"/>
        </w:rPr>
        <w:footnoteReference w:id="42"/>
      </w:r>
      <w:r>
        <w:rPr>
          <w:rFonts w:asciiTheme="majorHAnsi" w:hAnsiTheme="majorHAnsi"/>
          <w:noProof/>
          <w:spacing w:val="-4"/>
          <w:sz w:val="20"/>
        </w:rPr>
        <w:t>, a</w:t>
      </w:r>
    </w:p>
    <w:p>
      <w:pPr>
        <w:pStyle w:val="ListParagraph"/>
        <w:numPr>
          <w:ilvl w:val="0"/>
          <w:numId w:val="7"/>
        </w:numPr>
        <w:spacing w:before="0" w:after="240"/>
        <w:contextualSpacing w:val="0"/>
        <w:rPr>
          <w:rFonts w:asciiTheme="majorHAnsi" w:hAnsiTheme="majorHAnsi"/>
          <w:noProof/>
          <w:spacing w:val="-4"/>
          <w:sz w:val="20"/>
        </w:rPr>
      </w:pPr>
      <w:r>
        <w:rPr>
          <w:rFonts w:asciiTheme="majorHAnsi" w:hAnsiTheme="majorHAnsi"/>
          <w:noProof/>
          <w:spacing w:val="-4"/>
          <w:sz w:val="20"/>
        </w:rPr>
        <w:t>zavedenie mechanizmu rozdelenej platby s cieľom znížiť počet podvodov s DPH</w:t>
      </w:r>
      <w:r>
        <w:rPr>
          <w:rStyle w:val="FootnoteReference"/>
          <w:rFonts w:asciiTheme="majorHAnsi" w:eastAsia="Calibri" w:hAnsiTheme="majorHAnsi"/>
          <w:noProof/>
          <w:spacing w:val="-4"/>
          <w:sz w:val="20"/>
        </w:rPr>
        <w:footnoteReference w:id="43"/>
      </w:r>
      <w:r>
        <w:rPr>
          <w:rFonts w:asciiTheme="majorHAnsi" w:hAnsiTheme="majorHAnsi"/>
          <w:noProof/>
          <w:spacing w:val="-4"/>
          <w:sz w:val="20"/>
        </w:rPr>
        <w:t>.</w:t>
      </w:r>
    </w:p>
    <w:p>
      <w:pPr>
        <w:pStyle w:val="Heading2"/>
        <w:tabs>
          <w:tab w:val="clear" w:pos="850"/>
          <w:tab w:val="num" w:pos="567"/>
        </w:tabs>
        <w:spacing w:before="0" w:after="240"/>
        <w:ind w:left="425" w:hanging="425"/>
        <w:rPr>
          <w:rFonts w:asciiTheme="majorHAnsi" w:hAnsiTheme="majorHAnsi"/>
          <w:noProof/>
          <w:color w:val="1F497D" w:themeColor="text2"/>
          <w:spacing w:val="-4"/>
          <w:sz w:val="20"/>
        </w:rPr>
      </w:pPr>
      <w:bookmarkStart w:id="45" w:name="_Toc22547331"/>
      <w:r>
        <w:rPr>
          <w:rFonts w:asciiTheme="majorHAnsi" w:hAnsiTheme="majorHAnsi"/>
          <w:noProof/>
          <w:color w:val="1F497D" w:themeColor="text2"/>
          <w:spacing w:val="-4"/>
          <w:sz w:val="20"/>
        </w:rPr>
        <w:t>Štatistika odhalených nezrovnalostí a podvodov – príjmy</w:t>
      </w:r>
      <w:bookmarkEnd w:id="45"/>
    </w:p>
    <w:p>
      <w:pPr>
        <w:spacing w:before="0"/>
        <w:rPr>
          <w:rFonts w:asciiTheme="majorHAnsi" w:hAnsiTheme="majorHAnsi"/>
          <w:noProof/>
          <w:spacing w:val="-4"/>
          <w:sz w:val="20"/>
          <w:szCs w:val="20"/>
        </w:rPr>
        <w:sectPr>
          <w:headerReference w:type="even" r:id="rId106"/>
          <w:headerReference w:type="default" r:id="rId107"/>
          <w:footerReference w:type="even" r:id="rId108"/>
          <w:footerReference w:type="default" r:id="rId109"/>
          <w:headerReference w:type="first" r:id="rId110"/>
          <w:footerReference w:type="first" r:id="rId111"/>
          <w:type w:val="continuous"/>
          <w:pgSz w:w="11907" w:h="16839"/>
          <w:pgMar w:top="1134" w:right="1417" w:bottom="1134" w:left="1417" w:header="709" w:footer="709" w:gutter="0"/>
          <w:cols w:num="2" w:space="567"/>
          <w:docGrid w:linePitch="360"/>
        </w:sectPr>
      </w:pPr>
      <w:r>
        <w:rPr>
          <w:rFonts w:asciiTheme="majorHAnsi" w:hAnsiTheme="majorHAnsi"/>
          <w:noProof/>
          <w:spacing w:val="-4"/>
          <w:sz w:val="20"/>
          <w:szCs w:val="20"/>
        </w:rPr>
        <w:t>Na obrázku 5 sa uvádzajú hlavné štatistické údaje a závery týkajúce sa nezrovnalostí odhalených a oznámených v súvislosti s TVZ. Pokiaľ však ide o podvodné aj nepodvodné nezrovnalosti, zníženie počtu oznámených prípadov v porovnaní s priemerom za päť rokov je sprevádzané zvýšením súvisiacich súm.</w:t>
      </w:r>
    </w:p>
    <w:p>
      <w:pPr>
        <w:pStyle w:val="Caption"/>
        <w:keepNext/>
        <w:spacing w:after="120"/>
        <w:ind w:left="992" w:hanging="992"/>
        <w:rPr>
          <w:rFonts w:asciiTheme="majorHAnsi" w:hAnsiTheme="majorHAnsi"/>
          <w:noProof/>
          <w:sz w:val="20"/>
          <w:szCs w:val="20"/>
        </w:rPr>
        <w:sectPr>
          <w:headerReference w:type="even" r:id="rId112"/>
          <w:headerReference w:type="default" r:id="rId113"/>
          <w:footerReference w:type="even" r:id="rId114"/>
          <w:footerReference w:type="default" r:id="rId115"/>
          <w:headerReference w:type="first" r:id="rId116"/>
          <w:footerReference w:type="first" r:id="rId117"/>
          <w:type w:val="continuous"/>
          <w:pgSz w:w="11907" w:h="16839"/>
          <w:pgMar w:top="1134" w:right="1417" w:bottom="1134" w:left="1417" w:header="709" w:footer="709" w:gutter="0"/>
          <w:cols w:num="2" w:space="720"/>
          <w:docGrid w:linePitch="360"/>
        </w:sectPr>
      </w:pPr>
    </w:p>
    <w:p>
      <w:pPr>
        <w:pStyle w:val="Caption"/>
        <w:keepNext/>
        <w:spacing w:after="120"/>
        <w:ind w:left="992" w:hanging="992"/>
        <w:rPr>
          <w:rFonts w:asciiTheme="majorHAnsi" w:hAnsiTheme="majorHAnsi"/>
          <w:noProof/>
          <w:sz w:val="20"/>
          <w:szCs w:val="20"/>
        </w:rPr>
      </w:pPr>
      <w:bookmarkStart w:id="46" w:name="_Toc22547536"/>
      <w:r>
        <w:rPr>
          <w:rFonts w:asciiTheme="majorHAnsi" w:hAnsiTheme="majorHAnsi"/>
          <w:noProof/>
          <w:sz w:val="20"/>
          <w:szCs w:val="20"/>
        </w:rPr>
        <w:t xml:space="preserve">Obr. </w:t>
      </w:r>
      <w:r>
        <w:rPr>
          <w:rFonts w:asciiTheme="majorHAnsi" w:hAnsiTheme="majorHAnsi"/>
          <w:noProof/>
          <w:sz w:val="20"/>
          <w:szCs w:val="20"/>
        </w:rPr>
        <w:fldChar w:fldCharType="begin"/>
      </w:r>
      <w:r>
        <w:rPr>
          <w:rFonts w:asciiTheme="majorHAnsi" w:hAnsiTheme="majorHAnsi"/>
          <w:noProof/>
          <w:sz w:val="20"/>
          <w:szCs w:val="20"/>
        </w:rPr>
        <w:instrText xml:space="preserve"> SEQ Figure \* ARABIC </w:instrText>
      </w:r>
      <w:r>
        <w:rPr>
          <w:rFonts w:asciiTheme="majorHAnsi" w:hAnsiTheme="majorHAnsi"/>
          <w:noProof/>
          <w:sz w:val="20"/>
          <w:szCs w:val="20"/>
        </w:rPr>
        <w:fldChar w:fldCharType="separate"/>
      </w:r>
      <w:r>
        <w:rPr>
          <w:rFonts w:asciiTheme="majorHAnsi" w:hAnsiTheme="majorHAnsi"/>
          <w:noProof/>
          <w:sz w:val="20"/>
          <w:szCs w:val="20"/>
        </w:rPr>
        <w:t>5</w:t>
      </w:r>
      <w:r>
        <w:rPr>
          <w:rFonts w:asciiTheme="majorHAnsi" w:hAnsiTheme="majorHAnsi"/>
          <w:noProof/>
          <w:sz w:val="20"/>
          <w:szCs w:val="20"/>
        </w:rPr>
        <w:fldChar w:fldCharType="end"/>
      </w:r>
      <w:r>
        <w:rPr>
          <w:rFonts w:asciiTheme="majorHAnsi" w:hAnsiTheme="majorHAnsi"/>
          <w:noProof/>
          <w:sz w:val="20"/>
          <w:szCs w:val="20"/>
        </w:rPr>
        <w:t xml:space="preserve">: </w:t>
      </w:r>
      <w:r>
        <w:rPr>
          <w:rFonts w:asciiTheme="majorHAnsi" w:hAnsiTheme="majorHAnsi"/>
          <w:noProof/>
          <w:sz w:val="20"/>
          <w:szCs w:val="20"/>
        </w:rPr>
        <w:tab/>
        <w:t>TVZ – kľúčové fakty a trendy</w:t>
      </w:r>
      <w:bookmarkEnd w:id="46"/>
    </w:p>
    <w:p>
      <w:pPr>
        <w:rPr>
          <w:rFonts w:asciiTheme="majorHAnsi" w:hAnsiTheme="majorHAnsi"/>
          <w:noProof/>
          <w:sz w:val="20"/>
        </w:rPr>
      </w:pPr>
      <w:r>
        <w:rPr>
          <w:rFonts w:asciiTheme="majorHAnsi" w:hAnsiTheme="majorHAnsi"/>
          <w:noProof/>
          <w:sz w:val="20"/>
          <w:lang w:val="en-GB" w:eastAsia="en-GB"/>
        </w:rPr>
        <w:drawing>
          <wp:inline distT="0" distB="0" distL="0" distR="0">
            <wp:extent cx="5796670" cy="2968283"/>
            <wp:effectExtent l="0" t="0" r="13970" b="2286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8" r:lo="rId119" r:qs="rId120" r:cs="rId121"/>
              </a:graphicData>
            </a:graphic>
          </wp:inline>
        </w:drawing>
      </w:r>
    </w:p>
    <w:p>
      <w:pPr>
        <w:rPr>
          <w:rFonts w:asciiTheme="majorHAnsi" w:hAnsiTheme="majorHAnsi"/>
          <w:noProof/>
          <w:sz w:val="20"/>
        </w:rPr>
        <w:sectPr>
          <w:headerReference w:type="even" r:id="rId123"/>
          <w:headerReference w:type="default" r:id="rId124"/>
          <w:footerReference w:type="even" r:id="rId125"/>
          <w:footerReference w:type="default" r:id="rId126"/>
          <w:headerReference w:type="first" r:id="rId127"/>
          <w:footerReference w:type="first" r:id="rId128"/>
          <w:type w:val="continuous"/>
          <w:pgSz w:w="11907" w:h="16839"/>
          <w:pgMar w:top="1134" w:right="1417" w:bottom="1134" w:left="1417" w:header="709" w:footer="709" w:gutter="0"/>
          <w:cols w:space="720"/>
          <w:docGrid w:linePitch="360"/>
        </w:sectPr>
      </w:pPr>
    </w:p>
    <w:p>
      <w:pPr>
        <w:rPr>
          <w:rFonts w:asciiTheme="majorHAnsi" w:hAnsiTheme="majorHAnsi"/>
          <w:noProof/>
          <w:sz w:val="20"/>
        </w:rPr>
      </w:pPr>
    </w:p>
    <w:p>
      <w:pPr>
        <w:pStyle w:val="Heading3"/>
        <w:tabs>
          <w:tab w:val="num" w:pos="851"/>
        </w:tabs>
        <w:spacing w:before="0" w:after="240"/>
        <w:ind w:left="567" w:hanging="567"/>
        <w:rPr>
          <w:rFonts w:asciiTheme="majorHAnsi" w:hAnsiTheme="majorHAnsi"/>
          <w:noProof/>
          <w:color w:val="1F497D" w:themeColor="text2"/>
          <w:spacing w:val="-4"/>
          <w:sz w:val="20"/>
        </w:rPr>
      </w:pPr>
      <w:bookmarkStart w:id="47" w:name="_Toc22547332"/>
      <w:r>
        <w:rPr>
          <w:rFonts w:asciiTheme="majorHAnsi" w:hAnsiTheme="majorHAnsi"/>
          <w:noProof/>
          <w:color w:val="1F497D" w:themeColor="text2"/>
          <w:spacing w:val="-4"/>
          <w:sz w:val="20"/>
        </w:rPr>
        <w:t>Odhalené podvodné nezrovnalosti</w:t>
      </w:r>
      <w:r>
        <w:rPr>
          <w:rStyle w:val="FootnoteReference"/>
          <w:noProof/>
          <w:spacing w:val="-4"/>
        </w:rPr>
        <w:footnoteReference w:id="44"/>
      </w:r>
      <w:bookmarkEnd w:id="47"/>
    </w:p>
    <w:p>
      <w:pPr>
        <w:spacing w:before="0" w:after="240"/>
        <w:rPr>
          <w:rFonts w:asciiTheme="majorHAnsi" w:hAnsiTheme="majorHAnsi"/>
          <w:iCs/>
          <w:noProof/>
          <w:spacing w:val="-4"/>
          <w:sz w:val="20"/>
        </w:rPr>
      </w:pPr>
      <w:r>
        <w:rPr>
          <w:rFonts w:asciiTheme="majorHAnsi" w:hAnsiTheme="majorHAnsi"/>
          <w:iCs/>
          <w:noProof/>
          <w:spacing w:val="-4"/>
          <w:sz w:val="20"/>
        </w:rPr>
        <w:t>Počet nezrovnalostí oznámených ako podvodné v roku 2018 je o 20 % nižší ako priemer za obdobie piatich rokov (594 nezrovnalostí za roky 2014 – 2018). Odhadovaná a stanovená dotknutá suma TVZ je o 37 % vyššia (120 miliónov EUR).</w:t>
      </w:r>
    </w:p>
    <w:p>
      <w:pPr>
        <w:rPr>
          <w:rFonts w:ascii="Cambria" w:hAnsi="Cambria"/>
          <w:noProof/>
          <w:spacing w:val="-4"/>
          <w:sz w:val="20"/>
          <w:szCs w:val="20"/>
        </w:rPr>
      </w:pPr>
      <w:r>
        <w:rPr>
          <w:rFonts w:ascii="Cambria" w:hAnsi="Cambria"/>
          <w:noProof/>
          <w:spacing w:val="-4"/>
          <w:sz w:val="20"/>
          <w:szCs w:val="20"/>
        </w:rPr>
        <w:t>Predchádzajúca správa informovala o prípadoch podhodnotenia zisteného v Spojenom kráľovstve, ktoré ovplyvnilo príjmy TVZ. V správe o vyšetrovaní, ktorú úrad OLAF vydal 1. marca 2018, sa objasnil rozmer podvodu súvisiaceho s podhodnocovaním textilu a obuvi dovážaných z Číny cez Spojené kráľovstvo.</w:t>
      </w:r>
    </w:p>
    <w:p>
      <w:pPr>
        <w:spacing w:before="0" w:after="240"/>
        <w:rPr>
          <w:rFonts w:asciiTheme="majorHAnsi" w:hAnsiTheme="majorHAnsi"/>
          <w:iCs/>
          <w:noProof/>
          <w:spacing w:val="-4"/>
          <w:sz w:val="20"/>
        </w:rPr>
      </w:pPr>
      <w:r>
        <w:rPr>
          <w:rFonts w:ascii="Cambria" w:hAnsi="Cambria"/>
          <w:noProof/>
          <w:spacing w:val="-4"/>
          <w:sz w:val="20"/>
          <w:szCs w:val="20"/>
        </w:rPr>
        <w:t>V dôsledku tohto vyšetrovania, ako aj vyšetrovaní vedených Komisiou v rámci riadenia vlastných zdrojov sa Komisia 8. marca 2018 rozhodla začať formálny postup v prípade nesplnenia povinnosti zaslaním výzvy Spojenému kráľovstvu v súlade s článkom 258 ZFEÚ. Prípad bol nakoniec postúpený Súdnemu dvoru Európskej únie 7. marca 2019. Generálny riaditeľ GR pre rozpočet preto vo výročnej správe o činnosti za rok 2018 zachoval výhradu týkajúcu sa nepresnosti súm TVZ, ktoré Spojené kráľovstvo previedlo do rozpočtu EÚ.</w:t>
      </w:r>
    </w:p>
    <w:p>
      <w:pPr>
        <w:pStyle w:val="Heading3"/>
        <w:tabs>
          <w:tab w:val="num" w:pos="851"/>
        </w:tabs>
        <w:spacing w:before="0" w:after="240"/>
        <w:ind w:left="567" w:hanging="567"/>
        <w:rPr>
          <w:rFonts w:asciiTheme="majorHAnsi" w:hAnsiTheme="majorHAnsi"/>
          <w:noProof/>
          <w:color w:val="1F497D" w:themeColor="text2"/>
          <w:spacing w:val="-4"/>
          <w:sz w:val="20"/>
        </w:rPr>
      </w:pPr>
      <w:bookmarkStart w:id="48" w:name="_Toc22547333"/>
      <w:r>
        <w:rPr>
          <w:rFonts w:asciiTheme="majorHAnsi" w:hAnsiTheme="majorHAnsi"/>
          <w:noProof/>
          <w:color w:val="1F497D" w:themeColor="text2"/>
          <w:spacing w:val="-4"/>
          <w:sz w:val="20"/>
        </w:rPr>
        <w:t>Odhalené nepodvodné nezrovnalosti</w:t>
      </w:r>
      <w:bookmarkEnd w:id="48"/>
    </w:p>
    <w:p>
      <w:pPr>
        <w:rPr>
          <w:rFonts w:ascii="Cambria" w:hAnsi="Cambria"/>
          <w:noProof/>
          <w:spacing w:val="-4"/>
          <w:sz w:val="20"/>
          <w:szCs w:val="20"/>
        </w:rPr>
      </w:pPr>
      <w:r>
        <w:rPr>
          <w:rFonts w:ascii="Cambria" w:hAnsi="Cambria"/>
          <w:noProof/>
          <w:spacing w:val="-4"/>
          <w:sz w:val="20"/>
          <w:szCs w:val="20"/>
        </w:rPr>
        <w:t>Počet nezrovnalostí oznámených ako nepodvodné v roku 2018 je o 10 % nižší ako priemer za obdobie piatich rokov (4 545 nezrovnalostí za roky 2014 – 2018), zatiaľ čo dotknutá suma je o 17 % vyššia (384 miliónov EUR).</w:t>
      </w:r>
    </w:p>
    <w:p>
      <w:pPr>
        <w:spacing w:before="0" w:after="240"/>
        <w:rPr>
          <w:rFonts w:asciiTheme="majorHAnsi" w:hAnsiTheme="majorHAnsi"/>
          <w:iCs/>
          <w:noProof/>
          <w:spacing w:val="-4"/>
          <w:sz w:val="20"/>
        </w:rPr>
      </w:pPr>
      <w:r>
        <w:rPr>
          <w:rFonts w:ascii="Cambria" w:hAnsi="Cambria"/>
          <w:noProof/>
          <w:spacing w:val="-4"/>
          <w:sz w:val="20"/>
          <w:szCs w:val="20"/>
        </w:rPr>
        <w:t>Nepodvodné nezrovnalosti sa odhalili predovšetkým pri kontrolách po prepustení tovaru.</w:t>
      </w:r>
      <w:r>
        <w:rPr>
          <w:noProof/>
          <w:spacing w:val="-4"/>
        </w:rPr>
        <w:t xml:space="preserve"> </w:t>
      </w:r>
      <w:r>
        <w:rPr>
          <w:rFonts w:ascii="Cambria" w:hAnsi="Cambria"/>
          <w:noProof/>
          <w:spacing w:val="-4"/>
          <w:sz w:val="20"/>
          <w:szCs w:val="20"/>
        </w:rPr>
        <w:t>Colné kontroly pred prepustením tovaru alebo v čase prepustenia tovaru sú však naďalej nevyhnutné na riešenie podhodnocovania a odhaľovania nových druhov podvodov alebo nezrovnalostí, resp. trendov týkajúcich sa podvodov alebo nezrovnalostí. Dobrovoľné priznania sú čoraz dôležitejším zdrojom odhaľovania nezrovnalostí.</w:t>
      </w:r>
    </w:p>
    <w:p>
      <w:pPr>
        <w:pStyle w:val="Heading1"/>
        <w:tabs>
          <w:tab w:val="clear" w:pos="1570"/>
          <w:tab w:val="num" w:pos="567"/>
        </w:tabs>
        <w:spacing w:before="0" w:after="240"/>
        <w:ind w:left="426" w:hanging="426"/>
        <w:rPr>
          <w:rFonts w:asciiTheme="majorHAnsi" w:hAnsiTheme="majorHAnsi"/>
          <w:noProof/>
          <w:color w:val="1F497D" w:themeColor="text2"/>
          <w:spacing w:val="-4"/>
          <w:sz w:val="20"/>
        </w:rPr>
      </w:pPr>
      <w:bookmarkStart w:id="49" w:name="_Toc22547334"/>
      <w:r>
        <w:rPr>
          <w:rFonts w:asciiTheme="majorHAnsi" w:hAnsiTheme="majorHAnsi"/>
          <w:noProof/>
          <w:color w:val="1F497D" w:themeColor="text2"/>
          <w:spacing w:val="-4"/>
          <w:sz w:val="20"/>
        </w:rPr>
        <w:t>Sektorové politiky a opatrenia na boj proti podvodom a ich výsledky – výdavky</w:t>
      </w:r>
      <w:bookmarkEnd w:id="49"/>
    </w:p>
    <w:p>
      <w:pPr>
        <w:pStyle w:val="Heading2"/>
        <w:tabs>
          <w:tab w:val="clear" w:pos="850"/>
          <w:tab w:val="num" w:pos="567"/>
        </w:tabs>
        <w:spacing w:before="0" w:after="240"/>
        <w:ind w:left="426" w:hanging="426"/>
        <w:rPr>
          <w:rFonts w:asciiTheme="majorHAnsi" w:hAnsiTheme="majorHAnsi"/>
          <w:noProof/>
          <w:color w:val="1F497D" w:themeColor="text2"/>
          <w:spacing w:val="-4"/>
          <w:sz w:val="20"/>
        </w:rPr>
      </w:pPr>
      <w:bookmarkStart w:id="50" w:name="_Toc22547335"/>
      <w:r>
        <w:rPr>
          <w:rFonts w:asciiTheme="majorHAnsi" w:hAnsiTheme="majorHAnsi"/>
          <w:noProof/>
          <w:color w:val="1F497D" w:themeColor="text2"/>
          <w:spacing w:val="-4"/>
          <w:sz w:val="20"/>
        </w:rPr>
        <w:t>Sektorové politiky a opatrenia členských štátov na boj proti podvodom a opatrenia týkajúce sa niekoľkých výdavkových sektorov</w:t>
      </w:r>
      <w:bookmarkEnd w:id="50"/>
    </w:p>
    <w:p>
      <w:pPr>
        <w:spacing w:before="0" w:after="240"/>
        <w:rPr>
          <w:rFonts w:asciiTheme="majorHAnsi" w:hAnsiTheme="majorHAnsi"/>
          <w:noProof/>
          <w:spacing w:val="-4"/>
          <w:sz w:val="20"/>
        </w:rPr>
      </w:pPr>
      <w:r>
        <w:rPr>
          <w:rFonts w:asciiTheme="majorHAnsi" w:hAnsiTheme="majorHAnsi"/>
          <w:noProof/>
          <w:spacing w:val="-4"/>
          <w:sz w:val="20"/>
        </w:rPr>
        <w:t>Členské štáty oznámili niekoľko opatrení, ktorými sa súčasne riešia rôzne fondy, najčastejšie európske štrukturálne a investičné fondy (EŠIF)</w:t>
      </w:r>
      <w:r>
        <w:rPr>
          <w:rStyle w:val="FootnoteReference"/>
          <w:rFonts w:asciiTheme="majorHAnsi" w:hAnsiTheme="majorHAnsi"/>
          <w:noProof/>
          <w:spacing w:val="-4"/>
          <w:sz w:val="20"/>
        </w:rPr>
        <w:footnoteReference w:id="45"/>
      </w:r>
      <w:r>
        <w:rPr>
          <w:rFonts w:asciiTheme="majorHAnsi" w:hAnsiTheme="majorHAnsi"/>
          <w:noProof/>
          <w:spacing w:val="-4"/>
          <w:sz w:val="20"/>
        </w:rPr>
        <w:t xml:space="preserve">. Niektoré z opatrení sa rozširujú aj na iné fondy zdieľaného riadenia, ako sú Fond pre azyl a migráciu (AMIF), Fond európskej pomoci pre najodkázanejšie osoby (FEAD) a Európsky fond na prispôsobenie sa globalizácii (EGF). Opatrenia sa svojím charakterom a účelom do veľkej miery navzájom líšia a pohybujú sa od posilnenia kontroly </w:t>
      </w:r>
      <w:r>
        <w:rPr>
          <w:rFonts w:asciiTheme="majorHAnsi" w:hAnsiTheme="majorHAnsi"/>
          <w:i/>
          <w:iCs/>
          <w:noProof/>
          <w:spacing w:val="-4"/>
          <w:sz w:val="20"/>
        </w:rPr>
        <w:t>ex ante</w:t>
      </w:r>
      <w:r>
        <w:rPr>
          <w:rFonts w:asciiTheme="majorHAnsi" w:hAnsiTheme="majorHAnsi"/>
          <w:noProof/>
          <w:spacing w:val="-4"/>
          <w:sz w:val="20"/>
        </w:rPr>
        <w:t xml:space="preserve"> nad verejným obstarávaním v rámci európskych fondov</w:t>
      </w:r>
      <w:r>
        <w:rPr>
          <w:rStyle w:val="FootnoteReference"/>
          <w:rFonts w:asciiTheme="majorHAnsi" w:hAnsiTheme="majorHAnsi"/>
          <w:noProof/>
          <w:spacing w:val="-4"/>
          <w:sz w:val="20"/>
        </w:rPr>
        <w:footnoteReference w:id="46"/>
      </w:r>
      <w:r>
        <w:rPr>
          <w:rFonts w:asciiTheme="majorHAnsi" w:hAnsiTheme="majorHAnsi"/>
          <w:noProof/>
          <w:spacing w:val="-4"/>
          <w:sz w:val="20"/>
        </w:rPr>
        <w:t xml:space="preserve"> až po preskúmanie systému vymáhania a finančných opráv</w:t>
      </w:r>
      <w:r>
        <w:rPr>
          <w:rStyle w:val="FootnoteReference"/>
          <w:rFonts w:asciiTheme="majorHAnsi" w:hAnsiTheme="majorHAnsi"/>
          <w:noProof/>
          <w:spacing w:val="-4"/>
          <w:sz w:val="20"/>
        </w:rPr>
        <w:footnoteReference w:id="47"/>
      </w:r>
      <w:r>
        <w:rPr>
          <w:rFonts w:asciiTheme="majorHAnsi" w:hAnsiTheme="majorHAnsi"/>
          <w:noProof/>
          <w:spacing w:val="-4"/>
          <w:sz w:val="20"/>
        </w:rPr>
        <w:t>, od posudzovania rizík, varovných signálov a IT nástrojov (ako napríklad ARACHNE)</w:t>
      </w:r>
      <w:r>
        <w:rPr>
          <w:rStyle w:val="FootnoteReference"/>
          <w:rFonts w:asciiTheme="majorHAnsi" w:hAnsiTheme="majorHAnsi"/>
          <w:noProof/>
          <w:spacing w:val="-4"/>
          <w:sz w:val="20"/>
        </w:rPr>
        <w:footnoteReference w:id="48"/>
      </w:r>
      <w:r>
        <w:rPr>
          <w:rFonts w:asciiTheme="majorHAnsi" w:hAnsiTheme="majorHAnsi"/>
          <w:noProof/>
          <w:spacing w:val="-4"/>
          <w:sz w:val="20"/>
        </w:rPr>
        <w:t xml:space="preserve"> až po školenia o konkrétnych prierezových otázkach</w:t>
      </w:r>
      <w:r>
        <w:rPr>
          <w:rStyle w:val="FootnoteReference"/>
          <w:rFonts w:asciiTheme="majorHAnsi" w:hAnsiTheme="majorHAnsi"/>
          <w:noProof/>
          <w:spacing w:val="-4"/>
          <w:sz w:val="20"/>
        </w:rPr>
        <w:footnoteReference w:id="49"/>
      </w:r>
      <w:r>
        <w:rPr>
          <w:rStyle w:val="FootnoteReference"/>
          <w:rFonts w:asciiTheme="majorHAnsi" w:hAnsiTheme="majorHAnsi"/>
          <w:noProof/>
          <w:spacing w:val="-4"/>
          <w:sz w:val="20"/>
        </w:rPr>
        <w:footnoteReference w:id="50"/>
      </w:r>
      <w:r>
        <w:rPr>
          <w:rFonts w:asciiTheme="majorHAnsi" w:hAnsiTheme="majorHAnsi"/>
          <w:noProof/>
          <w:spacing w:val="-4"/>
          <w:sz w:val="20"/>
        </w:rPr>
        <w:t>.</w:t>
      </w:r>
    </w:p>
    <w:p>
      <w:pPr>
        <w:pStyle w:val="Heading2"/>
        <w:tabs>
          <w:tab w:val="clear" w:pos="850"/>
        </w:tabs>
        <w:spacing w:before="0" w:after="240"/>
        <w:ind w:left="567" w:hanging="567"/>
        <w:rPr>
          <w:rFonts w:asciiTheme="majorHAnsi" w:hAnsiTheme="majorHAnsi"/>
          <w:noProof/>
          <w:color w:val="1F497D" w:themeColor="text2"/>
          <w:spacing w:val="-4"/>
          <w:sz w:val="20"/>
        </w:rPr>
      </w:pPr>
      <w:bookmarkStart w:id="51" w:name="_Toc22547336"/>
      <w:r>
        <w:rPr>
          <w:rFonts w:asciiTheme="majorHAnsi" w:hAnsiTheme="majorHAnsi"/>
          <w:noProof/>
          <w:color w:val="1F497D" w:themeColor="text2"/>
          <w:spacing w:val="-4"/>
          <w:sz w:val="20"/>
        </w:rPr>
        <w:t>Poľnohospodárstvo – sektorové politiky a opatrenia na boj proti podvodom a ich výsledky</w:t>
      </w:r>
      <w:bookmarkEnd w:id="51"/>
    </w:p>
    <w:p>
      <w:pPr>
        <w:pStyle w:val="Heading3"/>
        <w:tabs>
          <w:tab w:val="num" w:pos="851"/>
        </w:tabs>
        <w:spacing w:before="0" w:after="240"/>
        <w:ind w:left="567" w:hanging="567"/>
        <w:rPr>
          <w:rFonts w:asciiTheme="majorHAnsi" w:hAnsiTheme="majorHAnsi"/>
          <w:noProof/>
          <w:color w:val="1F497D" w:themeColor="text2"/>
          <w:spacing w:val="-4"/>
          <w:sz w:val="20"/>
        </w:rPr>
      </w:pPr>
      <w:bookmarkStart w:id="52" w:name="_Toc22547337"/>
      <w:r>
        <w:rPr>
          <w:rFonts w:asciiTheme="majorHAnsi" w:hAnsiTheme="majorHAnsi"/>
          <w:noProof/>
          <w:color w:val="1F497D" w:themeColor="text2"/>
          <w:spacing w:val="-4"/>
          <w:sz w:val="20"/>
        </w:rPr>
        <w:t>Poľnohospodárstvo – opatrenia členských štátov na boj proti podvodom</w:t>
      </w:r>
      <w:bookmarkEnd w:id="52"/>
    </w:p>
    <w:p>
      <w:pPr>
        <w:spacing w:before="0"/>
        <w:rPr>
          <w:rFonts w:asciiTheme="majorHAnsi" w:hAnsiTheme="majorHAnsi"/>
          <w:noProof/>
          <w:spacing w:val="-4"/>
          <w:sz w:val="20"/>
        </w:rPr>
      </w:pPr>
      <w:r>
        <w:rPr>
          <w:rFonts w:asciiTheme="majorHAnsi" w:hAnsiTheme="majorHAnsi"/>
          <w:noProof/>
          <w:spacing w:val="-4"/>
          <w:sz w:val="20"/>
        </w:rPr>
        <w:t>Päť členských štátov oznámilo opatrenia na boj proti podvodom týkajúce sa poľnohospodárstva. Patrí k nim:</w:t>
      </w:r>
    </w:p>
    <w:p>
      <w:pPr>
        <w:pStyle w:val="ListParagraph"/>
        <w:numPr>
          <w:ilvl w:val="0"/>
          <w:numId w:val="7"/>
        </w:numPr>
        <w:spacing w:before="0"/>
        <w:ind w:left="357" w:hanging="357"/>
        <w:contextualSpacing w:val="0"/>
        <w:rPr>
          <w:rFonts w:asciiTheme="majorHAnsi" w:eastAsia="Calibri" w:hAnsiTheme="majorHAnsi"/>
          <w:noProof/>
          <w:spacing w:val="-4"/>
          <w:sz w:val="20"/>
        </w:rPr>
      </w:pPr>
      <w:r>
        <w:rPr>
          <w:rFonts w:asciiTheme="majorHAnsi" w:hAnsiTheme="majorHAnsi"/>
          <w:noProof/>
          <w:spacing w:val="-4"/>
          <w:sz w:val="20"/>
        </w:rPr>
        <w:t>akčný plán na zlepšenie riadenia a kontroly verejného obstarávania v oblasti rozvoja vidieka</w:t>
      </w:r>
      <w:r>
        <w:rPr>
          <w:rStyle w:val="FootnoteReference"/>
          <w:rFonts w:asciiTheme="majorHAnsi" w:hAnsiTheme="majorHAnsi"/>
          <w:noProof/>
          <w:spacing w:val="-4"/>
          <w:sz w:val="20"/>
        </w:rPr>
        <w:footnoteReference w:id="51"/>
      </w:r>
      <w:r>
        <w:rPr>
          <w:rFonts w:asciiTheme="majorHAnsi" w:hAnsiTheme="majorHAnsi"/>
          <w:noProof/>
          <w:spacing w:val="-4"/>
          <w:sz w:val="20"/>
        </w:rPr>
        <w:t>,</w:t>
      </w:r>
    </w:p>
    <w:p>
      <w:pPr>
        <w:pStyle w:val="ListParagraph"/>
        <w:numPr>
          <w:ilvl w:val="0"/>
          <w:numId w:val="7"/>
        </w:numPr>
        <w:spacing w:before="0"/>
        <w:ind w:left="357" w:hanging="357"/>
        <w:contextualSpacing w:val="0"/>
        <w:rPr>
          <w:rFonts w:asciiTheme="majorHAnsi" w:eastAsia="Calibri" w:hAnsiTheme="majorHAnsi"/>
          <w:noProof/>
          <w:spacing w:val="-4"/>
          <w:sz w:val="20"/>
        </w:rPr>
      </w:pPr>
      <w:r>
        <w:rPr>
          <w:rFonts w:asciiTheme="majorHAnsi" w:hAnsiTheme="majorHAnsi"/>
          <w:noProof/>
          <w:spacing w:val="-4"/>
          <w:sz w:val="20"/>
        </w:rPr>
        <w:t>posilnenie štruktúry platobnej agentúry zameranej na boj proti podvodom</w:t>
      </w:r>
      <w:r>
        <w:rPr>
          <w:rStyle w:val="FootnoteReference"/>
          <w:rFonts w:asciiTheme="majorHAnsi" w:hAnsiTheme="majorHAnsi"/>
          <w:noProof/>
          <w:spacing w:val="-4"/>
          <w:sz w:val="20"/>
        </w:rPr>
        <w:footnoteReference w:id="52"/>
      </w:r>
      <w:r>
        <w:rPr>
          <w:rFonts w:asciiTheme="majorHAnsi" w:hAnsiTheme="majorHAnsi"/>
          <w:noProof/>
          <w:spacing w:val="-4"/>
          <w:sz w:val="20"/>
        </w:rPr>
        <w:t>,</w:t>
      </w:r>
    </w:p>
    <w:p>
      <w:pPr>
        <w:pStyle w:val="ListParagraph"/>
        <w:numPr>
          <w:ilvl w:val="0"/>
          <w:numId w:val="7"/>
        </w:numPr>
        <w:spacing w:before="0"/>
        <w:ind w:left="357" w:hanging="357"/>
        <w:contextualSpacing w:val="0"/>
        <w:rPr>
          <w:rFonts w:asciiTheme="majorHAnsi" w:eastAsia="Calibri" w:hAnsiTheme="majorHAnsi"/>
          <w:noProof/>
          <w:spacing w:val="-4"/>
          <w:sz w:val="20"/>
        </w:rPr>
      </w:pPr>
      <w:r>
        <w:rPr>
          <w:rFonts w:asciiTheme="majorHAnsi" w:hAnsiTheme="majorHAnsi"/>
          <w:noProof/>
          <w:spacing w:val="-4"/>
          <w:sz w:val="20"/>
        </w:rPr>
        <w:t>zriadenie výstražného systému na zisťovanie skutočností naznačujúcich podvod alebo pokus o podvod</w:t>
      </w:r>
      <w:r>
        <w:rPr>
          <w:rStyle w:val="FootnoteReference"/>
          <w:rFonts w:asciiTheme="majorHAnsi" w:hAnsiTheme="majorHAnsi"/>
          <w:noProof/>
          <w:spacing w:val="-4"/>
          <w:sz w:val="20"/>
        </w:rPr>
        <w:footnoteReference w:id="53"/>
      </w:r>
      <w:r>
        <w:rPr>
          <w:rFonts w:asciiTheme="majorHAnsi" w:hAnsiTheme="majorHAnsi"/>
          <w:noProof/>
          <w:spacing w:val="-4"/>
          <w:sz w:val="20"/>
        </w:rPr>
        <w:t>,</w:t>
      </w:r>
    </w:p>
    <w:p>
      <w:pPr>
        <w:pStyle w:val="ListParagraph"/>
        <w:numPr>
          <w:ilvl w:val="0"/>
          <w:numId w:val="7"/>
        </w:numPr>
        <w:spacing w:before="0"/>
        <w:ind w:left="357" w:hanging="357"/>
        <w:contextualSpacing w:val="0"/>
        <w:rPr>
          <w:rFonts w:asciiTheme="majorHAnsi" w:eastAsia="Calibri" w:hAnsiTheme="majorHAnsi"/>
          <w:noProof/>
          <w:spacing w:val="-4"/>
          <w:sz w:val="20"/>
        </w:rPr>
      </w:pPr>
      <w:r>
        <w:rPr>
          <w:rFonts w:asciiTheme="majorHAnsi" w:hAnsiTheme="majorHAnsi"/>
          <w:noProof/>
          <w:spacing w:val="-4"/>
          <w:sz w:val="20"/>
        </w:rPr>
        <w:t>posilnenie prevencie zabezpečením priameho riadenia a dohľadu nad identifikáciou a kontrolou poľnohospodárskej pôdy a určením oblastí oprávnených na finančnú podporu z Európskeho poľnohospodárskeho záručného fondu (EPZF) a Európskeho poľnohospodárskeho fondu pre rozvoj vidieka (EPFRV)</w:t>
      </w:r>
      <w:r>
        <w:rPr>
          <w:rStyle w:val="FootnoteReference"/>
          <w:rFonts w:asciiTheme="majorHAnsi" w:hAnsiTheme="majorHAnsi"/>
          <w:noProof/>
          <w:spacing w:val="-4"/>
          <w:sz w:val="20"/>
        </w:rPr>
        <w:footnoteReference w:id="54"/>
      </w:r>
      <w:r>
        <w:rPr>
          <w:rFonts w:asciiTheme="majorHAnsi" w:hAnsiTheme="majorHAnsi"/>
          <w:noProof/>
          <w:spacing w:val="-4"/>
          <w:sz w:val="20"/>
        </w:rPr>
        <w:t>, a</w:t>
      </w:r>
    </w:p>
    <w:p>
      <w:pPr>
        <w:pStyle w:val="ListParagraph"/>
        <w:numPr>
          <w:ilvl w:val="0"/>
          <w:numId w:val="7"/>
        </w:numPr>
        <w:spacing w:before="0"/>
        <w:ind w:left="357" w:hanging="357"/>
        <w:contextualSpacing w:val="0"/>
        <w:rPr>
          <w:rFonts w:asciiTheme="majorHAnsi" w:eastAsia="Calibri" w:hAnsiTheme="majorHAnsi"/>
          <w:noProof/>
          <w:spacing w:val="-4"/>
          <w:sz w:val="20"/>
        </w:rPr>
      </w:pPr>
      <w:r>
        <w:rPr>
          <w:rFonts w:asciiTheme="majorHAnsi" w:hAnsiTheme="majorHAnsi"/>
          <w:noProof/>
          <w:spacing w:val="-4"/>
          <w:sz w:val="20"/>
        </w:rPr>
        <w:t>vypracovanie analýzy rizika podvodu s cieľom pripraviť zoznam rizík podvodu v rôznych procesoch pomocou vzorového dokumentu Komisie na zisťovanie rizika podvodu</w:t>
      </w:r>
      <w:r>
        <w:rPr>
          <w:rStyle w:val="FootnoteReference"/>
          <w:rFonts w:asciiTheme="majorHAnsi" w:hAnsiTheme="majorHAnsi"/>
          <w:noProof/>
          <w:spacing w:val="-4"/>
          <w:sz w:val="20"/>
        </w:rPr>
        <w:footnoteReference w:id="55"/>
      </w:r>
      <w:r>
        <w:rPr>
          <w:rFonts w:asciiTheme="majorHAnsi" w:hAnsiTheme="majorHAnsi"/>
          <w:noProof/>
          <w:spacing w:val="-4"/>
          <w:sz w:val="20"/>
        </w:rPr>
        <w:t>.</w:t>
      </w:r>
    </w:p>
    <w:p>
      <w:pPr>
        <w:spacing w:before="0"/>
        <w:rPr>
          <w:rFonts w:asciiTheme="majorHAnsi" w:hAnsiTheme="majorHAnsi"/>
          <w:noProof/>
          <w:spacing w:val="-4"/>
          <w:sz w:val="20"/>
        </w:rPr>
      </w:pPr>
      <w:r>
        <w:rPr>
          <w:rFonts w:asciiTheme="majorHAnsi" w:hAnsiTheme="majorHAnsi"/>
          <w:noProof/>
          <w:spacing w:val="-4"/>
          <w:sz w:val="20"/>
        </w:rPr>
        <w:t>Dva členské štáty oznámili opatrenia týkajúce sa poľnohospodárstva aj rybárskej politiky. Týmito opatreniami sú:</w:t>
      </w:r>
    </w:p>
    <w:p>
      <w:pPr>
        <w:pStyle w:val="ListParagraph"/>
        <w:numPr>
          <w:ilvl w:val="0"/>
          <w:numId w:val="7"/>
        </w:numPr>
        <w:spacing w:before="0"/>
        <w:ind w:left="357" w:hanging="357"/>
        <w:contextualSpacing w:val="0"/>
        <w:rPr>
          <w:rFonts w:asciiTheme="majorHAnsi" w:hAnsiTheme="majorHAnsi"/>
          <w:noProof/>
          <w:spacing w:val="-4"/>
          <w:sz w:val="20"/>
        </w:rPr>
      </w:pPr>
      <w:r>
        <w:rPr>
          <w:rFonts w:asciiTheme="majorHAnsi" w:hAnsiTheme="majorHAnsi"/>
          <w:noProof/>
          <w:spacing w:val="-4"/>
          <w:sz w:val="20"/>
        </w:rPr>
        <w:t>dôkladné preskúmanie zistených porušení a vypracovanie metodiky na ich postihovanie</w:t>
      </w:r>
      <w:r>
        <w:rPr>
          <w:rStyle w:val="FootnoteReference"/>
          <w:rFonts w:asciiTheme="majorHAnsi" w:eastAsia="Calibri" w:hAnsiTheme="majorHAnsi"/>
          <w:noProof/>
          <w:spacing w:val="-4"/>
          <w:sz w:val="20"/>
        </w:rPr>
        <w:footnoteReference w:id="56"/>
      </w:r>
      <w:r>
        <w:rPr>
          <w:rFonts w:asciiTheme="majorHAnsi" w:hAnsiTheme="majorHAnsi"/>
          <w:noProof/>
          <w:spacing w:val="-4"/>
          <w:sz w:val="20"/>
        </w:rPr>
        <w:t>, a</w:t>
      </w:r>
    </w:p>
    <w:p>
      <w:pPr>
        <w:pStyle w:val="ListParagraph"/>
        <w:numPr>
          <w:ilvl w:val="0"/>
          <w:numId w:val="7"/>
        </w:numPr>
        <w:spacing w:before="0" w:after="240"/>
        <w:contextualSpacing w:val="0"/>
        <w:rPr>
          <w:rFonts w:asciiTheme="majorHAnsi" w:eastAsia="Calibri" w:hAnsiTheme="majorHAnsi"/>
          <w:noProof/>
          <w:spacing w:val="-4"/>
          <w:sz w:val="20"/>
        </w:rPr>
      </w:pPr>
      <w:r>
        <w:rPr>
          <w:rFonts w:asciiTheme="majorHAnsi" w:hAnsiTheme="majorHAnsi"/>
          <w:noProof/>
          <w:spacing w:val="-4"/>
          <w:sz w:val="20"/>
        </w:rPr>
        <w:t>školiace činnosti, aktualizácia ukazovateľov podvodov v oblasti predchádzania podvodom a umelo vytvorených podmienok pre zamestnancov Agentúry pre poľnohospodárske trhy a rozvoj vidieka</w:t>
      </w:r>
      <w:r>
        <w:rPr>
          <w:rStyle w:val="FootnoteReference"/>
          <w:rFonts w:asciiTheme="majorHAnsi" w:hAnsiTheme="majorHAnsi"/>
          <w:noProof/>
          <w:spacing w:val="-4"/>
          <w:sz w:val="20"/>
        </w:rPr>
        <w:footnoteReference w:id="57"/>
      </w:r>
      <w:r>
        <w:rPr>
          <w:rFonts w:asciiTheme="majorHAnsi" w:hAnsiTheme="majorHAnsi"/>
          <w:noProof/>
          <w:spacing w:val="-4"/>
          <w:sz w:val="20"/>
        </w:rPr>
        <w:t>.</w:t>
      </w:r>
    </w:p>
    <w:p>
      <w:pPr>
        <w:pStyle w:val="Heading3"/>
        <w:tabs>
          <w:tab w:val="num" w:pos="851"/>
        </w:tabs>
        <w:spacing w:before="0" w:after="240"/>
        <w:ind w:left="567" w:hanging="567"/>
        <w:rPr>
          <w:rFonts w:asciiTheme="majorHAnsi" w:hAnsiTheme="majorHAnsi"/>
          <w:noProof/>
          <w:color w:val="1F497D" w:themeColor="text2"/>
          <w:spacing w:val="-4"/>
          <w:sz w:val="20"/>
        </w:rPr>
      </w:pPr>
      <w:bookmarkStart w:id="53" w:name="_Toc22547338"/>
      <w:r>
        <w:rPr>
          <w:rFonts w:asciiTheme="majorHAnsi" w:hAnsiTheme="majorHAnsi"/>
          <w:noProof/>
          <w:color w:val="1F497D" w:themeColor="text2"/>
          <w:spacing w:val="-4"/>
          <w:sz w:val="20"/>
        </w:rPr>
        <w:t>Poľnohospodárstvo – štatistiky o odhalených nezrovnalostiach a podvodoch</w:t>
      </w:r>
      <w:bookmarkEnd w:id="53"/>
    </w:p>
    <w:p>
      <w:pPr>
        <w:spacing w:before="0"/>
        <w:rPr>
          <w:rFonts w:asciiTheme="majorHAnsi" w:hAnsiTheme="majorHAnsi"/>
          <w:noProof/>
          <w:spacing w:val="-4"/>
          <w:sz w:val="20"/>
        </w:rPr>
      </w:pPr>
      <w:r>
        <w:rPr>
          <w:rFonts w:asciiTheme="majorHAnsi" w:hAnsiTheme="majorHAnsi"/>
          <w:noProof/>
          <w:spacing w:val="-4"/>
          <w:sz w:val="20"/>
        </w:rPr>
        <w:t>Spoločná poľnohospodárska politika (SPP) zahŕňa dve hlavné zložky (pozri</w:t>
      </w:r>
      <w:r>
        <w:rPr>
          <w:noProof/>
          <w:spacing w:val="-4"/>
        </w:rPr>
        <w:t xml:space="preserve"> </w:t>
      </w:r>
      <w:r>
        <w:rPr>
          <w:rFonts w:asciiTheme="majorHAnsi" w:hAnsiTheme="majorHAnsi"/>
          <w:noProof/>
          <w:spacing w:val="-4"/>
          <w:sz w:val="20"/>
        </w:rPr>
        <w:t>obrázok 7):</w:t>
      </w:r>
    </w:p>
    <w:p>
      <w:pPr>
        <w:pStyle w:val="ListParagraph"/>
        <w:numPr>
          <w:ilvl w:val="0"/>
          <w:numId w:val="11"/>
        </w:numPr>
        <w:spacing w:before="0"/>
        <w:ind w:left="425" w:hanging="425"/>
        <w:contextualSpacing w:val="0"/>
        <w:rPr>
          <w:rFonts w:asciiTheme="majorHAnsi" w:hAnsiTheme="majorHAnsi"/>
          <w:noProof/>
          <w:spacing w:val="-4"/>
          <w:sz w:val="20"/>
        </w:rPr>
      </w:pPr>
      <w:r>
        <w:rPr>
          <w:rFonts w:asciiTheme="majorHAnsi" w:hAnsiTheme="majorHAnsi"/>
          <w:noProof/>
          <w:spacing w:val="-4"/>
          <w:sz w:val="20"/>
        </w:rPr>
        <w:t>priamu podporu prostredníctvom priamych platieb poľnohospodárom a opatrení na podporu trhu financovaných z EPZF a</w:t>
      </w:r>
    </w:p>
    <w:p>
      <w:pPr>
        <w:pStyle w:val="ListParagraph"/>
        <w:numPr>
          <w:ilvl w:val="0"/>
          <w:numId w:val="11"/>
        </w:numPr>
        <w:spacing w:before="0" w:after="240"/>
        <w:ind w:left="425" w:hanging="425"/>
        <w:contextualSpacing w:val="0"/>
        <w:rPr>
          <w:rFonts w:asciiTheme="majorHAnsi" w:hAnsiTheme="majorHAnsi"/>
          <w:noProof/>
          <w:spacing w:val="-4"/>
          <w:sz w:val="20"/>
        </w:rPr>
      </w:pPr>
      <w:r>
        <w:rPr>
          <w:rFonts w:asciiTheme="majorHAnsi" w:hAnsiTheme="majorHAnsi"/>
          <w:noProof/>
          <w:spacing w:val="-4"/>
          <w:sz w:val="20"/>
        </w:rPr>
        <w:t>rozvoj vidieka, ktorý je financovaný najmä z EPFRV.</w:t>
      </w:r>
    </w:p>
    <w:p>
      <w:pPr>
        <w:spacing w:before="0" w:after="240"/>
        <w:rPr>
          <w:rFonts w:asciiTheme="majorHAnsi" w:hAnsiTheme="majorHAnsi"/>
          <w:noProof/>
          <w:spacing w:val="-4"/>
          <w:sz w:val="20"/>
        </w:rPr>
      </w:pPr>
      <w:r>
        <w:rPr>
          <w:rFonts w:asciiTheme="majorHAnsi" w:hAnsiTheme="majorHAnsi"/>
          <w:noProof/>
          <w:spacing w:val="-4"/>
          <w:sz w:val="20"/>
        </w:rPr>
        <w:t>Fond EPZF sa implementuje na základe ročného cyklu, zatiaľ čo z EPFRV sa financujú viacročné programy.</w:t>
      </w:r>
    </w:p>
    <w:p>
      <w:pPr>
        <w:spacing w:before="0" w:after="240"/>
        <w:rPr>
          <w:rFonts w:asciiTheme="majorHAnsi" w:hAnsiTheme="majorHAnsi"/>
          <w:noProof/>
          <w:spacing w:val="-4"/>
          <w:sz w:val="20"/>
        </w:rPr>
      </w:pPr>
      <w:r>
        <w:rPr>
          <w:rFonts w:asciiTheme="majorHAnsi" w:hAnsiTheme="majorHAnsi"/>
          <w:noProof/>
          <w:spacing w:val="-4"/>
          <w:sz w:val="20"/>
        </w:rPr>
        <w:t>Trend nezrovnalostí odhalených a oznámených členskými štátmi za posledných päť rokov ovplyvňujú tieto rozdiely: priama podpora vykazuje stabilný rovnomerný trend, zatiaľ čo rozvoj vidieka krivku s vrcholom v roku 2015 a následným poklesom. Analýza nezrovnalostí odhalených členskými štátmi potvrdzuje vyššie riziko spojené s investíciami do opatrení na podporu trhu a rozvoj vidieka</w:t>
      </w:r>
      <w:r>
        <w:rPr>
          <w:rStyle w:val="FootnoteReference"/>
          <w:rFonts w:asciiTheme="majorHAnsi" w:hAnsiTheme="majorHAnsi"/>
          <w:noProof/>
          <w:spacing w:val="-4"/>
          <w:sz w:val="20"/>
        </w:rPr>
        <w:footnoteReference w:id="58"/>
      </w:r>
      <w:r>
        <w:rPr>
          <w:rFonts w:asciiTheme="majorHAnsi" w:hAnsiTheme="majorHAnsi"/>
          <w:noProof/>
          <w:spacing w:val="-4"/>
          <w:sz w:val="20"/>
        </w:rPr>
        <w:t xml:space="preserve"> v súlade s hlavnými zisteniami auditov EDA a Komisie. Vplyv nezrovnalostí ovplyvňujúcich priamu podporu na platby je prijateľne nízky, zatiaľ čo rozvoj vidieka predstavuje vyššiu mieru rizika. V rámci priamej podpory však opatrenia na podporu trhu vykazujú najvyššiu mieru odhaľovania v rámci celej SPP.</w:t>
      </w:r>
    </w:p>
    <w:p>
      <w:pPr>
        <w:pStyle w:val="Caption"/>
        <w:keepNext/>
        <w:spacing w:after="120"/>
        <w:rPr>
          <w:noProof/>
          <w:spacing w:val="-4"/>
        </w:rPr>
      </w:pPr>
      <w:bookmarkStart w:id="54" w:name="_Toc22547537"/>
      <w:r>
        <w:rPr>
          <w:noProof/>
          <w:spacing w:val="-4"/>
        </w:rPr>
        <w:t xml:space="preserve">Obr. </w:t>
      </w:r>
      <w:r>
        <w:rPr>
          <w:noProof/>
          <w:spacing w:val="-4"/>
        </w:rPr>
        <w:fldChar w:fldCharType="begin"/>
      </w:r>
      <w:r>
        <w:rPr>
          <w:noProof/>
          <w:spacing w:val="-4"/>
        </w:rPr>
        <w:instrText xml:space="preserve"> SEQ Figure \* ARABIC </w:instrText>
      </w:r>
      <w:r>
        <w:rPr>
          <w:noProof/>
          <w:spacing w:val="-4"/>
        </w:rPr>
        <w:fldChar w:fldCharType="separate"/>
      </w:r>
      <w:r>
        <w:rPr>
          <w:noProof/>
          <w:spacing w:val="-4"/>
        </w:rPr>
        <w:t>6</w:t>
      </w:r>
      <w:r>
        <w:rPr>
          <w:noProof/>
          <w:spacing w:val="-4"/>
        </w:rPr>
        <w:fldChar w:fldCharType="end"/>
      </w:r>
      <w:r>
        <w:rPr>
          <w:noProof/>
          <w:spacing w:val="-4"/>
        </w:rPr>
        <w:t>: Miera odhaľovania podľa zložky SPP</w:t>
      </w:r>
      <w:bookmarkEnd w:id="54"/>
    </w:p>
    <w:p>
      <w:pPr>
        <w:spacing w:before="0" w:after="240"/>
        <w:rPr>
          <w:rStyle w:val="Heading1Char"/>
          <w:rFonts w:asciiTheme="majorHAnsi" w:hAnsiTheme="majorHAnsi"/>
          <w:noProof/>
          <w:spacing w:val="-4"/>
          <w:sz w:val="20"/>
        </w:rPr>
      </w:pPr>
      <w:r>
        <w:rPr>
          <w:rFonts w:asciiTheme="majorHAnsi" w:hAnsiTheme="majorHAnsi"/>
          <w:noProof/>
          <w:spacing w:val="-4"/>
          <w:sz w:val="20"/>
          <w:lang w:val="en-GB" w:eastAsia="en-GB"/>
        </w:rPr>
        <w:drawing>
          <wp:inline distT="0" distB="0" distL="0" distR="0">
            <wp:extent cx="2719266" cy="1503680"/>
            <wp:effectExtent l="38100" t="0" r="24130" b="127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9" r:lo="rId130" r:qs="rId131" r:cs="rId132"/>
              </a:graphicData>
            </a:graphic>
          </wp:inline>
        </w:drawing>
      </w:r>
    </w:p>
    <w:p>
      <w:pPr>
        <w:pStyle w:val="Heading3"/>
        <w:numPr>
          <w:ilvl w:val="3"/>
          <w:numId w:val="1"/>
        </w:numPr>
        <w:tabs>
          <w:tab w:val="clear" w:pos="1810"/>
          <w:tab w:val="num" w:pos="567"/>
        </w:tabs>
        <w:ind w:left="709" w:hanging="709"/>
        <w:rPr>
          <w:rFonts w:asciiTheme="majorHAnsi" w:hAnsiTheme="majorHAnsi"/>
          <w:i w:val="0"/>
          <w:noProof/>
          <w:color w:val="1F497D" w:themeColor="text2"/>
          <w:spacing w:val="-4"/>
          <w:sz w:val="20"/>
        </w:rPr>
      </w:pPr>
      <w:bookmarkStart w:id="55" w:name="_Toc22547339"/>
      <w:r>
        <w:rPr>
          <w:rFonts w:asciiTheme="majorHAnsi" w:hAnsiTheme="majorHAnsi"/>
          <w:i w:val="0"/>
          <w:noProof/>
          <w:color w:val="1F497D" w:themeColor="text2"/>
          <w:spacing w:val="-4"/>
          <w:sz w:val="20"/>
        </w:rPr>
        <w:t>Odhalené podvodné nezrovnalosti</w:t>
      </w:r>
      <w:bookmarkEnd w:id="55"/>
    </w:p>
    <w:p>
      <w:pPr>
        <w:rPr>
          <w:rFonts w:ascii="Cambria" w:hAnsi="Cambria"/>
          <w:noProof/>
          <w:spacing w:val="-4"/>
          <w:sz w:val="20"/>
        </w:rPr>
      </w:pPr>
      <w:r>
        <w:rPr>
          <w:rFonts w:ascii="Cambria" w:hAnsi="Cambria"/>
          <w:noProof/>
          <w:spacing w:val="-4"/>
          <w:sz w:val="20"/>
        </w:rPr>
        <w:t>Za oznamované roky 2014 až 2018 sú hlavné trendy v oblasti podvodných nezrovnalostí pomerne stabilné.</w:t>
      </w:r>
    </w:p>
    <w:p>
      <w:pPr>
        <w:spacing w:before="0"/>
        <w:rPr>
          <w:rFonts w:asciiTheme="majorHAnsi" w:hAnsiTheme="majorHAnsi"/>
          <w:noProof/>
          <w:spacing w:val="-4"/>
          <w:sz w:val="20"/>
        </w:rPr>
      </w:pPr>
      <w:r>
        <w:rPr>
          <w:rFonts w:asciiTheme="majorHAnsi" w:hAnsiTheme="majorHAnsi"/>
          <w:noProof/>
          <w:spacing w:val="-4"/>
          <w:sz w:val="20"/>
        </w:rPr>
        <w:t>Z absolútneho hľadiska sa väčšina odhalených potenciálnych podvodov a súvisiacich finančných súm týkala rozvoja vidieka. Táto prevaha je zrejmejšia, ak sa vezme do úvahy, že iba približne 20 % zdrojov SPP smeruje na rozvoj vidieka. Opatrenia na podporu trhu však bez ohľadu na zopár prípadov, ktoré sa týkajú veľmi vysokých súm, vykazujú najvyššiu priemernú finančnú sumu potenciálnych podvodov a najvyššie ukazovatele súvisiace s podvodmi (pozri obrázok 6).</w:t>
      </w:r>
    </w:p>
    <w:p>
      <w:pPr>
        <w:pStyle w:val="Caption"/>
        <w:spacing w:after="120"/>
        <w:rPr>
          <w:rFonts w:asciiTheme="majorHAnsi" w:hAnsiTheme="majorHAnsi"/>
          <w:noProof/>
          <w:spacing w:val="-4"/>
          <w:sz w:val="20"/>
          <w:szCs w:val="20"/>
        </w:rPr>
      </w:pPr>
      <w:bookmarkStart w:id="56" w:name="_Toc22547538"/>
      <w:r>
        <w:rPr>
          <w:rFonts w:asciiTheme="majorHAnsi" w:hAnsiTheme="majorHAnsi"/>
          <w:noProof/>
          <w:spacing w:val="-4"/>
          <w:sz w:val="20"/>
          <w:lang w:val="en-GB" w:eastAsia="en-GB"/>
        </w:rPr>
        <w:drawing>
          <wp:anchor distT="0" distB="0" distL="114300" distR="114300" simplePos="0" relativeHeight="251673088" behindDoc="0" locked="0" layoutInCell="1" allowOverlap="1">
            <wp:simplePos x="0" y="0"/>
            <wp:positionH relativeFrom="column">
              <wp:posOffset>35560</wp:posOffset>
            </wp:positionH>
            <wp:positionV relativeFrom="paragraph">
              <wp:posOffset>500380</wp:posOffset>
            </wp:positionV>
            <wp:extent cx="5704205" cy="3305810"/>
            <wp:effectExtent l="0" t="0" r="10795" b="27940"/>
            <wp:wrapSquare wrapText="bothSides"/>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4" r:lo="rId135" r:qs="rId136" r:cs="rId137"/>
              </a:graphicData>
            </a:graphic>
            <wp14:sizeRelH relativeFrom="margin">
              <wp14:pctWidth>0</wp14:pctWidth>
            </wp14:sizeRelH>
            <wp14:sizeRelV relativeFrom="margin">
              <wp14:pctHeight>0</wp14:pctHeight>
            </wp14:sizeRelV>
          </wp:anchor>
        </w:drawing>
      </w:r>
      <w:r>
        <w:rPr>
          <w:rFonts w:asciiTheme="majorHAnsi" w:hAnsiTheme="majorHAnsi"/>
          <w:noProof/>
          <w:spacing w:val="-4"/>
          <w:sz w:val="20"/>
          <w:szCs w:val="20"/>
        </w:rPr>
        <w:t xml:space="preserve">Obr. </w:t>
      </w:r>
      <w:r>
        <w:rPr>
          <w:rFonts w:asciiTheme="majorHAnsi" w:hAnsiTheme="majorHAnsi"/>
          <w:noProof/>
          <w:spacing w:val="-4"/>
          <w:sz w:val="20"/>
          <w:szCs w:val="20"/>
        </w:rPr>
        <w:fldChar w:fldCharType="begin"/>
      </w:r>
      <w:r>
        <w:rPr>
          <w:rFonts w:asciiTheme="majorHAnsi" w:hAnsiTheme="majorHAnsi"/>
          <w:noProof/>
          <w:spacing w:val="-4"/>
          <w:sz w:val="20"/>
          <w:szCs w:val="20"/>
        </w:rPr>
        <w:instrText xml:space="preserve"> SEQ Figure \* ARABIC </w:instrText>
      </w:r>
      <w:r>
        <w:rPr>
          <w:rFonts w:asciiTheme="majorHAnsi" w:hAnsiTheme="majorHAnsi"/>
          <w:noProof/>
          <w:spacing w:val="-4"/>
          <w:sz w:val="20"/>
          <w:szCs w:val="20"/>
        </w:rPr>
        <w:fldChar w:fldCharType="separate"/>
      </w:r>
      <w:r>
        <w:rPr>
          <w:rFonts w:asciiTheme="majorHAnsi" w:hAnsiTheme="majorHAnsi"/>
          <w:noProof/>
          <w:spacing w:val="-4"/>
          <w:sz w:val="20"/>
          <w:szCs w:val="20"/>
        </w:rPr>
        <w:t>7</w:t>
      </w:r>
      <w:r>
        <w:rPr>
          <w:rFonts w:asciiTheme="majorHAnsi" w:hAnsiTheme="majorHAnsi"/>
          <w:noProof/>
          <w:spacing w:val="-4"/>
          <w:sz w:val="20"/>
          <w:szCs w:val="20"/>
        </w:rPr>
        <w:fldChar w:fldCharType="end"/>
      </w:r>
      <w:r>
        <w:rPr>
          <w:rFonts w:asciiTheme="majorHAnsi" w:hAnsiTheme="majorHAnsi"/>
          <w:noProof/>
          <w:spacing w:val="-4"/>
          <w:sz w:val="20"/>
          <w:szCs w:val="20"/>
        </w:rPr>
        <w:t>: Poľnohospodárska politika – kľúčové fakty a údaje</w:t>
      </w:r>
      <w:bookmarkEnd w:id="56"/>
    </w:p>
    <w:p>
      <w:pPr>
        <w:spacing w:before="0"/>
        <w:rPr>
          <w:rFonts w:asciiTheme="majorHAnsi" w:hAnsiTheme="majorHAnsi"/>
          <w:noProof/>
          <w:spacing w:val="-4"/>
          <w:sz w:val="20"/>
        </w:rPr>
      </w:pPr>
      <w:r>
        <w:rPr>
          <w:rFonts w:asciiTheme="majorHAnsi" w:hAnsiTheme="majorHAnsi"/>
          <w:noProof/>
          <w:spacing w:val="-4"/>
          <w:sz w:val="20"/>
        </w:rPr>
        <w:t>V tohtoročnej osobitnej analýze koncentrácie odhaľovania/oznamovania</w:t>
      </w:r>
      <w:r>
        <w:rPr>
          <w:rStyle w:val="FootnoteReference"/>
          <w:rFonts w:asciiTheme="majorHAnsi" w:hAnsiTheme="majorHAnsi"/>
          <w:noProof/>
          <w:spacing w:val="-4"/>
          <w:sz w:val="20"/>
        </w:rPr>
        <w:footnoteReference w:id="59"/>
      </w:r>
      <w:r>
        <w:rPr>
          <w:rFonts w:asciiTheme="majorHAnsi" w:hAnsiTheme="majorHAnsi"/>
          <w:noProof/>
          <w:spacing w:val="-4"/>
          <w:sz w:val="20"/>
        </w:rPr>
        <w:t xml:space="preserve"> členskými štátmi v súvislosti s prijatými platbami sa zdôrazňuje, že niekoľko krajín uvádza výrazný podiel podvodných nezrovnalostí, čo nie je úmerné rozdeleniu platieb medzi členské štáty. Pokiaľ ide o priame platby, zdá sa, že to súvisí so špecifickými otázkami krajín, v ktorých je miera odhaľovania najvyššia. Pokiaľ ide o opatrenia na podporu trhu a rozvoj vidieka, vysvetlením môže byť nesúrodý prístup k využívaniu trestného práva na ochranu finančných záujmov EÚ.</w:t>
      </w:r>
    </w:p>
    <w:p>
      <w:pPr>
        <w:spacing w:before="0" w:after="240"/>
        <w:rPr>
          <w:rFonts w:asciiTheme="majorHAnsi" w:hAnsiTheme="majorHAnsi"/>
          <w:noProof/>
          <w:spacing w:val="-4"/>
          <w:sz w:val="20"/>
        </w:rPr>
      </w:pPr>
      <w:r>
        <w:rPr>
          <w:rFonts w:asciiTheme="majorHAnsi" w:hAnsiTheme="majorHAnsi"/>
          <w:noProof/>
          <w:spacing w:val="-4"/>
          <w:sz w:val="20"/>
        </w:rPr>
        <w:t>Tento posledný záver podľa všetkého podporuje aj analýza pomeru zamietnutých prípadov</w:t>
      </w:r>
      <w:r>
        <w:rPr>
          <w:rStyle w:val="FootnoteReference"/>
          <w:rFonts w:asciiTheme="majorHAnsi" w:hAnsiTheme="majorHAnsi"/>
          <w:noProof/>
          <w:spacing w:val="-4"/>
          <w:sz w:val="20"/>
        </w:rPr>
        <w:footnoteReference w:id="60"/>
      </w:r>
      <w:r>
        <w:rPr>
          <w:rFonts w:asciiTheme="majorHAnsi" w:hAnsiTheme="majorHAnsi"/>
          <w:noProof/>
          <w:spacing w:val="-4"/>
          <w:sz w:val="20"/>
        </w:rPr>
        <w:t>, ktorý sa medzi členskými štátmi výrazne líši a je vyšší v oblasti poľnohospodárstva ako v oblasti politiky súdržnosti. Justičné orgány sú menej naklonené stíhaniu údajných trestných činov v tomto sektore.</w:t>
      </w:r>
    </w:p>
    <w:p>
      <w:pPr>
        <w:pStyle w:val="Heading3"/>
        <w:numPr>
          <w:ilvl w:val="3"/>
          <w:numId w:val="1"/>
        </w:numPr>
        <w:tabs>
          <w:tab w:val="clear" w:pos="1810"/>
          <w:tab w:val="num" w:pos="567"/>
        </w:tabs>
        <w:ind w:left="709" w:hanging="709"/>
        <w:rPr>
          <w:rFonts w:asciiTheme="majorHAnsi" w:hAnsiTheme="majorHAnsi"/>
          <w:i w:val="0"/>
          <w:noProof/>
          <w:color w:val="1F497D" w:themeColor="text2"/>
          <w:spacing w:val="-4"/>
          <w:sz w:val="20"/>
        </w:rPr>
      </w:pPr>
      <w:bookmarkStart w:id="57" w:name="_Toc22547340"/>
      <w:r>
        <w:rPr>
          <w:rFonts w:asciiTheme="majorHAnsi" w:hAnsiTheme="majorHAnsi"/>
          <w:i w:val="0"/>
          <w:noProof/>
          <w:color w:val="1F497D" w:themeColor="text2"/>
          <w:spacing w:val="-4"/>
          <w:sz w:val="20"/>
        </w:rPr>
        <w:t>Odhalené nepodvodné nezrovnalosti</w:t>
      </w:r>
      <w:bookmarkEnd w:id="57"/>
    </w:p>
    <w:p>
      <w:pPr>
        <w:spacing w:before="0"/>
        <w:rPr>
          <w:rFonts w:asciiTheme="majorHAnsi" w:hAnsiTheme="majorHAnsi"/>
          <w:noProof/>
          <w:spacing w:val="-4"/>
          <w:sz w:val="20"/>
        </w:rPr>
      </w:pPr>
      <w:r>
        <w:rPr>
          <w:rFonts w:asciiTheme="majorHAnsi" w:hAnsiTheme="majorHAnsi"/>
          <w:noProof/>
          <w:spacing w:val="-4"/>
          <w:sz w:val="20"/>
        </w:rPr>
        <w:t>Vo všeobecnosti sa tendencie opísané v oddiele 4.2.2 vzťahujú aj na nezrovnalosti oznámené ako nepodvodné. Nezrovnalosti súvisiace s rozvojom vidieka prevažujú z hľadiska počtu aj celkových finančných súm. Priemerné sumy v prípadoch priamej podpory sú však vyššie. Opäť platí, že k tomuto vyššiemu priemeru prispelo niekoľko prípadov týkajúcich sa trhových opatrení s vysokými dotknutými sumami. Dokonca aj v čistom vyjadrení týchto výnimočných prípadov je však priemerná finančná suma nepodvodných nezrovnalostí v oblasti trhových opatrení v období 2014 – 2018 stále vyššia než v prípadoch rozvoja vidieka. Priemerná finančná suma nepodvodných nezrovnalostí týkajúcich sa priamych platieb je najnižšia.</w:t>
      </w:r>
    </w:p>
    <w:p>
      <w:pPr>
        <w:spacing w:before="0" w:after="240"/>
        <w:rPr>
          <w:rFonts w:asciiTheme="majorHAnsi" w:hAnsiTheme="majorHAnsi"/>
          <w:noProof/>
          <w:spacing w:val="-4"/>
          <w:sz w:val="20"/>
        </w:rPr>
      </w:pPr>
      <w:r>
        <w:rPr>
          <w:rFonts w:asciiTheme="majorHAnsi" w:hAnsiTheme="majorHAnsi"/>
          <w:noProof/>
          <w:spacing w:val="-4"/>
          <w:sz w:val="20"/>
        </w:rPr>
        <w:t>Spomedzi najviac sa opakujúcich odhalených a oznámených nepodvodných nezrovnalosti prevažujú tie, ktoré sa týkajú vykonávania podporovanej akcie, žiadostí o platbu a písomného dôkazu.</w:t>
      </w:r>
    </w:p>
    <w:p>
      <w:pPr>
        <w:spacing w:before="0"/>
        <w:rPr>
          <w:rFonts w:asciiTheme="majorHAnsi" w:hAnsiTheme="majorHAnsi"/>
          <w:noProof/>
          <w:spacing w:val="-4"/>
          <w:sz w:val="20"/>
        </w:rPr>
      </w:pPr>
      <w:r>
        <w:rPr>
          <w:rFonts w:asciiTheme="majorHAnsi" w:hAnsiTheme="majorHAnsi"/>
          <w:noProof/>
          <w:spacing w:val="-4"/>
          <w:sz w:val="20"/>
        </w:rPr>
        <w:t>Najvyššia miera odhaľovania nezrovnalostí bola zaznamenaná v oblasti opatrení na podporu trhu, za ktorou nasledovala oblasť rozvoja vidieka. Opäť platí, že má na to vplyv niekoľko prípadov s vysokými finančnými sumami.</w:t>
      </w:r>
    </w:p>
    <w:p>
      <w:pPr>
        <w:pStyle w:val="Caption"/>
        <w:spacing w:after="240"/>
        <w:rPr>
          <w:rFonts w:asciiTheme="majorHAnsi" w:hAnsiTheme="majorHAnsi"/>
          <w:noProof/>
          <w:spacing w:val="-4"/>
          <w:sz w:val="20"/>
          <w:szCs w:val="20"/>
        </w:rPr>
      </w:pPr>
      <w:bookmarkStart w:id="58" w:name="_Toc22547539"/>
      <w:r>
        <w:rPr>
          <w:rFonts w:asciiTheme="majorHAnsi" w:hAnsiTheme="majorHAnsi"/>
          <w:noProof/>
          <w:spacing w:val="-4"/>
          <w:sz w:val="20"/>
          <w:szCs w:val="20"/>
        </w:rPr>
        <w:t xml:space="preserve">Obr. </w:t>
      </w:r>
      <w:r>
        <w:rPr>
          <w:rFonts w:asciiTheme="majorHAnsi" w:hAnsiTheme="majorHAnsi"/>
          <w:noProof/>
          <w:spacing w:val="-4"/>
          <w:sz w:val="20"/>
          <w:szCs w:val="20"/>
        </w:rPr>
        <w:fldChar w:fldCharType="begin"/>
      </w:r>
      <w:r>
        <w:rPr>
          <w:rFonts w:asciiTheme="majorHAnsi" w:hAnsiTheme="majorHAnsi"/>
          <w:noProof/>
          <w:spacing w:val="-4"/>
          <w:sz w:val="20"/>
          <w:szCs w:val="20"/>
        </w:rPr>
        <w:instrText xml:space="preserve"> SEQ Figure \* ARABIC </w:instrText>
      </w:r>
      <w:r>
        <w:rPr>
          <w:rFonts w:asciiTheme="majorHAnsi" w:hAnsiTheme="majorHAnsi"/>
          <w:noProof/>
          <w:spacing w:val="-4"/>
          <w:sz w:val="20"/>
          <w:szCs w:val="20"/>
        </w:rPr>
        <w:fldChar w:fldCharType="separate"/>
      </w:r>
      <w:r>
        <w:rPr>
          <w:rFonts w:asciiTheme="majorHAnsi" w:hAnsiTheme="majorHAnsi"/>
          <w:noProof/>
          <w:spacing w:val="-4"/>
          <w:sz w:val="20"/>
          <w:szCs w:val="20"/>
        </w:rPr>
        <w:t>8</w:t>
      </w:r>
      <w:r>
        <w:rPr>
          <w:rFonts w:asciiTheme="majorHAnsi" w:hAnsiTheme="majorHAnsi"/>
          <w:noProof/>
          <w:spacing w:val="-4"/>
          <w:sz w:val="20"/>
          <w:szCs w:val="20"/>
        </w:rPr>
        <w:fldChar w:fldCharType="end"/>
      </w:r>
      <w:r>
        <w:rPr>
          <w:rFonts w:asciiTheme="majorHAnsi" w:hAnsiTheme="majorHAnsi"/>
          <w:noProof/>
          <w:spacing w:val="-4"/>
          <w:sz w:val="20"/>
          <w:szCs w:val="20"/>
        </w:rPr>
        <w:t xml:space="preserve">: </w:t>
      </w:r>
      <w:r>
        <w:rPr>
          <w:rFonts w:asciiTheme="majorHAnsi" w:hAnsiTheme="majorHAnsi"/>
          <w:noProof/>
          <w:spacing w:val="-4"/>
          <w:sz w:val="20"/>
          <w:szCs w:val="20"/>
        </w:rPr>
        <w:tab/>
        <w:t>Trhové opatrenia, ktorých sa najviac týkajú nezrovnalosti (podvodné a nepodvodné)</w:t>
      </w:r>
      <w:bookmarkEnd w:id="58"/>
    </w:p>
    <w:p>
      <w:pPr>
        <w:rPr>
          <w:rFonts w:asciiTheme="majorHAnsi" w:hAnsiTheme="majorHAnsi"/>
          <w:noProof/>
          <w:spacing w:val="-4"/>
          <w:sz w:val="20"/>
        </w:rPr>
        <w:sectPr>
          <w:headerReference w:type="even" r:id="rId139"/>
          <w:headerReference w:type="default" r:id="rId140"/>
          <w:footerReference w:type="even" r:id="rId141"/>
          <w:footerReference w:type="default" r:id="rId142"/>
          <w:headerReference w:type="first" r:id="rId143"/>
          <w:footerReference w:type="first" r:id="rId144"/>
          <w:type w:val="continuous"/>
          <w:pgSz w:w="11907" w:h="16839"/>
          <w:pgMar w:top="1134" w:right="1417" w:bottom="1134" w:left="1417" w:header="709" w:footer="709" w:gutter="0"/>
          <w:cols w:num="2" w:space="569"/>
          <w:docGrid w:linePitch="360"/>
        </w:sectPr>
      </w:pPr>
      <w:r>
        <w:rPr>
          <w:rFonts w:asciiTheme="majorHAnsi" w:hAnsiTheme="majorHAnsi"/>
          <w:noProof/>
          <w:spacing w:val="-4"/>
          <w:sz w:val="20"/>
          <w:lang w:val="en-GB" w:eastAsia="en-GB"/>
        </w:rPr>
        <w:drawing>
          <wp:inline distT="0" distB="0" distL="0" distR="0">
            <wp:extent cx="2581421" cy="1561514"/>
            <wp:effectExtent l="0" t="0" r="47625" b="635"/>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5" r:lo="rId146" r:qs="rId147" r:cs="rId148"/>
              </a:graphicData>
            </a:graphic>
          </wp:inline>
        </w:drawing>
      </w:r>
    </w:p>
    <w:p>
      <w:pPr>
        <w:pStyle w:val="Heading2"/>
        <w:tabs>
          <w:tab w:val="clear" w:pos="850"/>
        </w:tabs>
        <w:spacing w:before="0" w:after="240"/>
        <w:ind w:left="567" w:hanging="567"/>
        <w:rPr>
          <w:rFonts w:asciiTheme="majorHAnsi" w:hAnsiTheme="majorHAnsi"/>
          <w:noProof/>
          <w:color w:val="1F497D" w:themeColor="text2"/>
          <w:spacing w:val="-4"/>
          <w:sz w:val="20"/>
        </w:rPr>
      </w:pPr>
      <w:bookmarkStart w:id="59" w:name="_Toc22547341"/>
      <w:r>
        <w:rPr>
          <w:rFonts w:asciiTheme="majorHAnsi" w:hAnsiTheme="majorHAnsi"/>
          <w:noProof/>
          <w:color w:val="1F497D" w:themeColor="text2"/>
          <w:spacing w:val="-4"/>
          <w:sz w:val="20"/>
        </w:rPr>
        <w:t>Politika súdržnosti a rybárstvo – sektorové politiky a opatrenia na boj proti podvodom a ich výsledky</w:t>
      </w:r>
      <w:bookmarkEnd w:id="59"/>
    </w:p>
    <w:p>
      <w:pPr>
        <w:pStyle w:val="Heading3"/>
        <w:tabs>
          <w:tab w:val="num" w:pos="851"/>
        </w:tabs>
        <w:spacing w:before="0" w:after="240"/>
        <w:ind w:left="567" w:hanging="567"/>
        <w:rPr>
          <w:rFonts w:asciiTheme="majorHAnsi" w:hAnsiTheme="majorHAnsi"/>
          <w:noProof/>
          <w:color w:val="1F497D" w:themeColor="text2"/>
          <w:spacing w:val="-4"/>
          <w:sz w:val="20"/>
        </w:rPr>
      </w:pPr>
      <w:bookmarkStart w:id="60" w:name="_Toc22547342"/>
      <w:r>
        <w:rPr>
          <w:rFonts w:asciiTheme="majorHAnsi" w:hAnsiTheme="majorHAnsi"/>
          <w:noProof/>
          <w:color w:val="1F497D" w:themeColor="text2"/>
          <w:spacing w:val="-4"/>
          <w:sz w:val="20"/>
        </w:rPr>
        <w:t>Politika súdržnosti a rybárstvo – opatrenia členských štátov na boj proti podvodom</w:t>
      </w:r>
      <w:bookmarkEnd w:id="60"/>
    </w:p>
    <w:p>
      <w:pPr>
        <w:spacing w:before="0" w:after="240"/>
        <w:rPr>
          <w:rFonts w:asciiTheme="majorHAnsi" w:hAnsiTheme="majorHAnsi"/>
          <w:noProof/>
          <w:spacing w:val="-4"/>
          <w:sz w:val="20"/>
        </w:rPr>
      </w:pPr>
      <w:r>
        <w:rPr>
          <w:rFonts w:asciiTheme="majorHAnsi" w:hAnsiTheme="majorHAnsi"/>
          <w:noProof/>
          <w:spacing w:val="-4"/>
          <w:sz w:val="20"/>
        </w:rPr>
        <w:t>Štrnásť krajín uviedlo, že prijali opatrenia politiky súdržnosti. Práve v tejto oblasti sa prijalo najviac iniciatív, a to najmä operatívnych.</w:t>
      </w:r>
    </w:p>
    <w:p>
      <w:pPr>
        <w:pStyle w:val="Caption"/>
        <w:rPr>
          <w:noProof/>
          <w:spacing w:val="-4"/>
        </w:rPr>
      </w:pPr>
      <w:bookmarkStart w:id="61" w:name="_Toc22547540"/>
      <w:r>
        <w:rPr>
          <w:noProof/>
          <w:spacing w:val="-4"/>
        </w:rPr>
        <w:t xml:space="preserve">Obr. </w:t>
      </w:r>
      <w:r>
        <w:rPr>
          <w:noProof/>
          <w:spacing w:val="-4"/>
        </w:rPr>
        <w:fldChar w:fldCharType="begin"/>
      </w:r>
      <w:r>
        <w:rPr>
          <w:noProof/>
          <w:spacing w:val="-4"/>
        </w:rPr>
        <w:instrText xml:space="preserve"> SEQ Figure \* ARABIC </w:instrText>
      </w:r>
      <w:r>
        <w:rPr>
          <w:noProof/>
          <w:spacing w:val="-4"/>
        </w:rPr>
        <w:fldChar w:fldCharType="separate"/>
      </w:r>
      <w:r>
        <w:rPr>
          <w:noProof/>
          <w:spacing w:val="-4"/>
        </w:rPr>
        <w:t>9</w:t>
      </w:r>
      <w:r>
        <w:rPr>
          <w:noProof/>
          <w:spacing w:val="-4"/>
        </w:rPr>
        <w:fldChar w:fldCharType="end"/>
      </w:r>
      <w:r>
        <w:rPr>
          <w:noProof/>
          <w:spacing w:val="-4"/>
        </w:rPr>
        <w:t>: Opatrenia prijaté členskými štátmi v oblasti politiky súdržnosti</w:t>
      </w:r>
      <w:bookmarkEnd w:id="61"/>
    </w:p>
    <w:p>
      <w:pPr>
        <w:rPr>
          <w:noProof/>
          <w:spacing w:val="-4"/>
        </w:rPr>
      </w:pPr>
      <w:r>
        <w:rPr>
          <w:noProof/>
          <w:spacing w:val="-4"/>
          <w:lang w:val="en-GB" w:eastAsia="en-GB"/>
        </w:rPr>
        <w:drawing>
          <wp:inline distT="0" distB="0" distL="0" distR="0">
            <wp:extent cx="6077243" cy="2834640"/>
            <wp:effectExtent l="0" t="38100" r="0" b="22860"/>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0" r:lo="rId151" r:qs="rId152" r:cs="rId153"/>
              </a:graphicData>
            </a:graphic>
          </wp:inline>
        </w:drawing>
      </w:r>
    </w:p>
    <w:p>
      <w:pPr>
        <w:rPr>
          <w:noProof/>
          <w:spacing w:val="-4"/>
        </w:rPr>
      </w:pPr>
      <w:r>
        <w:rPr>
          <w:rFonts w:asciiTheme="majorHAnsi" w:hAnsiTheme="majorHAnsi"/>
          <w:noProof/>
          <w:spacing w:val="-4"/>
          <w:sz w:val="20"/>
        </w:rPr>
        <w:t>Dánsko oznámilo jedno konkrétne opatrenie zamerané na rybársku politiku.</w:t>
      </w:r>
    </w:p>
    <w:p>
      <w:pPr>
        <w:rPr>
          <w:noProof/>
          <w:spacing w:val="-4"/>
        </w:rPr>
      </w:pPr>
    </w:p>
    <w:p>
      <w:pPr>
        <w:rPr>
          <w:noProof/>
        </w:rPr>
        <w:sectPr>
          <w:headerReference w:type="even" r:id="rId155"/>
          <w:headerReference w:type="default" r:id="rId156"/>
          <w:footerReference w:type="even" r:id="rId157"/>
          <w:footerReference w:type="default" r:id="rId158"/>
          <w:headerReference w:type="first" r:id="rId159"/>
          <w:footerReference w:type="first" r:id="rId160"/>
          <w:type w:val="continuous"/>
          <w:pgSz w:w="11907" w:h="16839"/>
          <w:pgMar w:top="1134" w:right="1417" w:bottom="1134" w:left="1417" w:header="709" w:footer="709" w:gutter="0"/>
          <w:cols w:space="720"/>
          <w:docGrid w:linePitch="360"/>
        </w:sectPr>
      </w:pPr>
    </w:p>
    <w:p>
      <w:pPr>
        <w:pStyle w:val="Caption"/>
        <w:keepNext/>
        <w:spacing w:after="240"/>
        <w:ind w:left="1134" w:hanging="1134"/>
        <w:rPr>
          <w:rFonts w:asciiTheme="majorHAnsi" w:hAnsiTheme="majorHAnsi"/>
          <w:noProof/>
          <w:sz w:val="20"/>
          <w:szCs w:val="20"/>
        </w:rPr>
      </w:pPr>
      <w:bookmarkStart w:id="62" w:name="_Toc22547541"/>
      <w:r>
        <w:rPr>
          <w:rFonts w:asciiTheme="majorHAnsi" w:hAnsiTheme="majorHAnsi"/>
          <w:noProof/>
          <w:sz w:val="20"/>
          <w:szCs w:val="20"/>
        </w:rPr>
        <w:t xml:space="preserve">Obr. </w:t>
      </w:r>
      <w:r>
        <w:rPr>
          <w:rFonts w:asciiTheme="majorHAnsi" w:hAnsiTheme="majorHAnsi"/>
          <w:noProof/>
          <w:sz w:val="20"/>
          <w:szCs w:val="20"/>
        </w:rPr>
        <w:fldChar w:fldCharType="begin"/>
      </w:r>
      <w:r>
        <w:rPr>
          <w:rFonts w:asciiTheme="majorHAnsi" w:hAnsiTheme="majorHAnsi"/>
          <w:noProof/>
          <w:sz w:val="20"/>
          <w:szCs w:val="20"/>
        </w:rPr>
        <w:instrText xml:space="preserve"> SEQ Figure \* ARABIC </w:instrText>
      </w:r>
      <w:r>
        <w:rPr>
          <w:rFonts w:asciiTheme="majorHAnsi" w:hAnsiTheme="majorHAnsi"/>
          <w:noProof/>
          <w:sz w:val="20"/>
          <w:szCs w:val="20"/>
        </w:rPr>
        <w:fldChar w:fldCharType="separate"/>
      </w:r>
      <w:r>
        <w:rPr>
          <w:rFonts w:asciiTheme="majorHAnsi" w:hAnsiTheme="majorHAnsi"/>
          <w:noProof/>
          <w:sz w:val="20"/>
          <w:szCs w:val="20"/>
        </w:rPr>
        <w:t>10</w:t>
      </w:r>
      <w:r>
        <w:rPr>
          <w:rFonts w:asciiTheme="majorHAnsi" w:hAnsiTheme="majorHAnsi"/>
          <w:noProof/>
          <w:sz w:val="20"/>
          <w:szCs w:val="20"/>
        </w:rPr>
        <w:fldChar w:fldCharType="end"/>
      </w:r>
      <w:r>
        <w:rPr>
          <w:rFonts w:asciiTheme="majorHAnsi" w:hAnsiTheme="majorHAnsi"/>
          <w:noProof/>
          <w:sz w:val="20"/>
          <w:szCs w:val="20"/>
        </w:rPr>
        <w:t xml:space="preserve">: </w:t>
      </w:r>
      <w:r>
        <w:rPr>
          <w:rFonts w:asciiTheme="majorHAnsi" w:hAnsiTheme="majorHAnsi"/>
          <w:noProof/>
          <w:sz w:val="20"/>
          <w:szCs w:val="20"/>
        </w:rPr>
        <w:tab/>
        <w:t>Politika súdržnosti a rybárstvo – kľúčové fakty a údaje</w:t>
      </w:r>
      <w:bookmarkEnd w:id="62"/>
    </w:p>
    <w:p>
      <w:pPr>
        <w:spacing w:before="0" w:after="240"/>
        <w:rPr>
          <w:rFonts w:asciiTheme="majorHAnsi" w:hAnsiTheme="majorHAnsi"/>
          <w:noProof/>
          <w:sz w:val="20"/>
        </w:rPr>
      </w:pPr>
      <w:r>
        <w:rPr>
          <w:rFonts w:asciiTheme="majorHAnsi" w:hAnsiTheme="majorHAnsi"/>
          <w:noProof/>
          <w:sz w:val="20"/>
          <w:lang w:val="en-GB" w:eastAsia="en-GB"/>
        </w:rPr>
        <w:drawing>
          <wp:inline distT="0" distB="0" distL="0" distR="0">
            <wp:extent cx="5627077" cy="3889717"/>
            <wp:effectExtent l="0" t="0" r="12065" b="15875"/>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1" r:lo="rId162" r:qs="rId163" r:cs="rId164"/>
              </a:graphicData>
            </a:graphic>
          </wp:inline>
        </w:drawing>
      </w:r>
    </w:p>
    <w:p>
      <w:pPr>
        <w:rPr>
          <w:rFonts w:asciiTheme="majorHAnsi" w:hAnsiTheme="majorHAnsi"/>
          <w:noProof/>
          <w:sz w:val="20"/>
        </w:rPr>
        <w:sectPr>
          <w:headerReference w:type="even" r:id="rId166"/>
          <w:headerReference w:type="default" r:id="rId167"/>
          <w:footerReference w:type="even" r:id="rId168"/>
          <w:footerReference w:type="default" r:id="rId169"/>
          <w:headerReference w:type="first" r:id="rId170"/>
          <w:footerReference w:type="first" r:id="rId171"/>
          <w:type w:val="continuous"/>
          <w:pgSz w:w="11907" w:h="16839"/>
          <w:pgMar w:top="1134" w:right="1417" w:bottom="1134" w:left="1417" w:header="709" w:footer="709" w:gutter="0"/>
          <w:cols w:space="720"/>
          <w:docGrid w:linePitch="360"/>
        </w:sectPr>
      </w:pPr>
    </w:p>
    <w:p>
      <w:pPr>
        <w:pStyle w:val="Heading3"/>
        <w:tabs>
          <w:tab w:val="num" w:pos="851"/>
        </w:tabs>
        <w:spacing w:before="240" w:after="240"/>
        <w:ind w:left="567" w:hanging="567"/>
        <w:rPr>
          <w:rFonts w:asciiTheme="majorHAnsi" w:hAnsiTheme="majorHAnsi"/>
          <w:noProof/>
          <w:color w:val="1F497D" w:themeColor="text2"/>
          <w:sz w:val="20"/>
        </w:rPr>
      </w:pPr>
      <w:bookmarkStart w:id="63" w:name="_Toc22547343"/>
      <w:r>
        <w:rPr>
          <w:rFonts w:asciiTheme="majorHAnsi" w:hAnsiTheme="majorHAnsi"/>
          <w:noProof/>
          <w:color w:val="1F497D" w:themeColor="text2"/>
          <w:sz w:val="20"/>
        </w:rPr>
        <w:t>Politika súdržnosti a rybárstvo – štatistiky o odhalených nezrovnalostiach a podvodoch</w:t>
      </w:r>
      <w:bookmarkEnd w:id="63"/>
    </w:p>
    <w:p>
      <w:pPr>
        <w:spacing w:before="0" w:after="240"/>
        <w:rPr>
          <w:rFonts w:asciiTheme="majorHAnsi" w:hAnsiTheme="majorHAnsi"/>
          <w:noProof/>
          <w:sz w:val="20"/>
        </w:rPr>
      </w:pPr>
      <w:r>
        <w:rPr>
          <w:rFonts w:asciiTheme="majorHAnsi" w:hAnsiTheme="majorHAnsi"/>
          <w:noProof/>
          <w:sz w:val="20"/>
        </w:rPr>
        <w:t>Analýza politiky súdržnosti je zložitejšia než analýza ostatných oblastí rozpočtu, pretože prijaté informácie (oznámené nezrovnalosti) sa týkajú rôznych programových období a čiastočne sa líšiacich pravidiel.</w:t>
      </w:r>
    </w:p>
    <w:p>
      <w:pPr>
        <w:spacing w:before="0" w:after="240"/>
        <w:rPr>
          <w:rFonts w:asciiTheme="majorHAnsi" w:hAnsiTheme="majorHAnsi"/>
          <w:noProof/>
          <w:sz w:val="20"/>
        </w:rPr>
      </w:pPr>
      <w:r>
        <w:rPr>
          <w:rFonts w:asciiTheme="majorHAnsi" w:hAnsiTheme="majorHAnsi"/>
          <w:noProof/>
          <w:sz w:val="20"/>
        </w:rPr>
        <w:t>Okrem toho programové obdobia sú viacročné, čo významne ovplyvňuje základné trendy. Vzhľadom na podobnosť riadenia sa rybárska politika a politika súdržnosti analyzujú spolu.</w:t>
      </w:r>
    </w:p>
    <w:p>
      <w:pPr>
        <w:spacing w:before="0" w:after="240"/>
        <w:rPr>
          <w:rFonts w:ascii="Cambria" w:hAnsi="Cambria"/>
          <w:noProof/>
          <w:sz w:val="20"/>
          <w:szCs w:val="20"/>
          <w:highlight w:val="yellow"/>
        </w:rPr>
      </w:pPr>
      <w:r>
        <w:rPr>
          <w:rFonts w:ascii="Cambria" w:hAnsi="Cambria"/>
          <w:noProof/>
          <w:sz w:val="20"/>
          <w:szCs w:val="20"/>
        </w:rPr>
        <w:t>Počet oznámených nezrovnalostí dosiahol vrchol v roku 2015 a následné zmeny, a to aj pokiaľ ide o príslušné finančné sumy, sú vo všeobecnosti v súlade s cyklom vykonávania. Na trend finančných súm má však významný vplyv malý počet prípadov týkajúcich sa mimoriadne vysokých finančných súm.</w:t>
      </w:r>
    </w:p>
    <w:p>
      <w:pPr>
        <w:spacing w:before="0" w:after="240"/>
        <w:rPr>
          <w:rFonts w:asciiTheme="majorHAnsi" w:hAnsiTheme="majorHAnsi"/>
          <w:noProof/>
          <w:sz w:val="20"/>
        </w:rPr>
      </w:pPr>
      <w:r>
        <w:rPr>
          <w:rFonts w:asciiTheme="majorHAnsi" w:hAnsiTheme="majorHAnsi"/>
          <w:noProof/>
          <w:sz w:val="20"/>
        </w:rPr>
        <w:t xml:space="preserve">Nezrovnalosti oznámené v roku 2018 sa týkajú štyroch rôznych programových období, pričom ich podiel v programovom období 2007 – 2013 a programovom období 2014 – 2020 je takmer rovnaký. Oznámené finančné sumy sú výrazne vyššie ako v predchádzajúcom roku. </w:t>
      </w:r>
      <w:r>
        <w:rPr>
          <w:rFonts w:ascii="Cambria" w:hAnsi="Cambria"/>
          <w:noProof/>
          <w:sz w:val="20"/>
          <w:szCs w:val="20"/>
        </w:rPr>
        <w:t>Tento nárast je do veľkej miery spôsobený dvoma podvodnými nezrovnalosťami, ktoré odhalilo Slovensko a ktoré sa týkajú veľmi vysokých súm</w:t>
      </w:r>
      <w:r>
        <w:rPr>
          <w:rStyle w:val="FootnoteReference"/>
          <w:rFonts w:ascii="Cambria" w:hAnsi="Cambria"/>
          <w:noProof/>
          <w:sz w:val="20"/>
          <w:szCs w:val="20"/>
        </w:rPr>
        <w:footnoteReference w:id="61"/>
      </w:r>
      <w:r>
        <w:rPr>
          <w:rFonts w:ascii="Cambria" w:hAnsi="Cambria"/>
          <w:noProof/>
          <w:sz w:val="20"/>
          <w:szCs w:val="20"/>
        </w:rPr>
        <w:t>.</w:t>
      </w:r>
    </w:p>
    <w:p>
      <w:pPr>
        <w:spacing w:before="0" w:after="240"/>
        <w:rPr>
          <w:rFonts w:asciiTheme="majorHAnsi" w:hAnsiTheme="majorHAnsi"/>
          <w:i/>
          <w:noProof/>
          <w:sz w:val="20"/>
        </w:rPr>
      </w:pPr>
      <w:r>
        <w:rPr>
          <w:rFonts w:ascii="Cambria" w:hAnsi="Cambria"/>
          <w:noProof/>
          <w:sz w:val="20"/>
          <w:szCs w:val="20"/>
        </w:rPr>
        <w:t>Súčasné programové obdobie sa začalo v roku 2014, ale oznamovanie nezrovnalostí začalo prebiehať až v roku 2016, pričom v rokoch 2017 a 2018 sa zvýšilo. Tento trend sa vyhodnocuje porovnaním s nezrovnalosťami oznámenými v prvých piatich rokoch programového obdobia 2007 – 2013</w:t>
      </w:r>
      <w:r>
        <w:rPr>
          <w:rStyle w:val="FootnoteReference"/>
          <w:rFonts w:asciiTheme="majorHAnsi" w:hAnsiTheme="majorHAnsi"/>
          <w:noProof/>
          <w:sz w:val="20"/>
        </w:rPr>
        <w:footnoteReference w:id="62"/>
      </w:r>
      <w:r>
        <w:rPr>
          <w:rFonts w:ascii="Cambria" w:hAnsi="Cambria"/>
          <w:noProof/>
          <w:sz w:val="20"/>
          <w:szCs w:val="20"/>
        </w:rPr>
        <w:t>.</w:t>
      </w:r>
      <w:r>
        <w:rPr>
          <w:rStyle w:val="FootnoteReference"/>
          <w:rFonts w:asciiTheme="majorHAnsi" w:hAnsiTheme="majorHAnsi"/>
          <w:noProof/>
          <w:sz w:val="20"/>
        </w:rPr>
        <w:t>.</w:t>
      </w:r>
    </w:p>
    <w:p>
      <w:pPr>
        <w:pStyle w:val="Heading3"/>
        <w:numPr>
          <w:ilvl w:val="3"/>
          <w:numId w:val="1"/>
        </w:numPr>
        <w:tabs>
          <w:tab w:val="clear" w:pos="1810"/>
          <w:tab w:val="num" w:pos="567"/>
        </w:tabs>
        <w:spacing w:before="0" w:after="240"/>
        <w:ind w:left="284" w:hanging="284"/>
        <w:rPr>
          <w:rFonts w:asciiTheme="majorHAnsi" w:hAnsiTheme="majorHAnsi"/>
          <w:i w:val="0"/>
          <w:noProof/>
          <w:color w:val="1F497D" w:themeColor="text2"/>
          <w:sz w:val="20"/>
        </w:rPr>
      </w:pPr>
      <w:bookmarkStart w:id="64" w:name="_Toc22547344"/>
      <w:r>
        <w:rPr>
          <w:rFonts w:asciiTheme="majorHAnsi" w:hAnsiTheme="majorHAnsi"/>
          <w:i w:val="0"/>
          <w:noProof/>
          <w:color w:val="1F497D" w:themeColor="text2"/>
          <w:sz w:val="20"/>
        </w:rPr>
        <w:t>Odhalené podvodné nezrovnalosti</w:t>
      </w:r>
      <w:bookmarkEnd w:id="64"/>
    </w:p>
    <w:p>
      <w:pPr>
        <w:spacing w:before="0" w:after="240"/>
        <w:rPr>
          <w:rFonts w:ascii="Cambria" w:hAnsi="Cambria"/>
          <w:noProof/>
          <w:sz w:val="20"/>
          <w:szCs w:val="20"/>
        </w:rPr>
      </w:pPr>
      <w:r>
        <w:rPr>
          <w:rFonts w:ascii="Cambria" w:hAnsi="Cambria"/>
          <w:noProof/>
          <w:sz w:val="20"/>
          <w:szCs w:val="20"/>
        </w:rPr>
        <w:t>Vo všeobecnosti boli priemerné finančné sumy podvodných nezrovnalostí vo všetkých fondoch a obdobiach výrazne vyššie ako priemerné finančné sumy nepodvodných nezrovnalostí, čo svedčí o tom, akú hrozbu podvody predstavujú, a poukazuje na dôležitosť spolupráce so súdnymi orgánmi.</w:t>
      </w:r>
    </w:p>
    <w:p>
      <w:pPr>
        <w:pStyle w:val="Text1"/>
        <w:ind w:left="0"/>
        <w:rPr>
          <w:rFonts w:asciiTheme="majorHAnsi" w:hAnsiTheme="majorHAnsi"/>
          <w:noProof/>
          <w:sz w:val="20"/>
          <w:highlight w:val="yellow"/>
        </w:rPr>
      </w:pPr>
      <w:r>
        <w:rPr>
          <w:noProof/>
          <w:sz w:val="20"/>
        </w:rPr>
        <w:t>V porovnaní s nezrovnalosťami zaznamenanými počas prvých piatich rokov programového obdobia 2007 – 2013 boli počet nezrovnalostí oznámených ako podvodné a príslušné finančné sumy v programovom období 2014 – 2020 vyššie ako v programovom období 2007 – 2013.</w:t>
      </w:r>
    </w:p>
    <w:p>
      <w:pPr>
        <w:spacing w:before="0" w:after="240"/>
        <w:rPr>
          <w:rFonts w:asciiTheme="majorHAnsi" w:hAnsiTheme="majorHAnsi"/>
          <w:noProof/>
          <w:sz w:val="20"/>
        </w:rPr>
      </w:pPr>
      <w:r>
        <w:rPr>
          <w:rFonts w:ascii="Cambria" w:hAnsi="Cambria"/>
          <w:noProof/>
          <w:sz w:val="20"/>
          <w:szCs w:val="20"/>
        </w:rPr>
        <w:t>Výrazne sa zvýšil počet prípadov týkajúcich sa nesprávnych/chýbajúcich alebo falošných dokumentov, porušenia pravidiel verejného obstarávania a etiky a integrity. Najvýraznejší pokles bol zaznamenaný v prípade porušení týkajúcich sa oprávnenosti/legitimity výdavkov alebo opatrení a porušení zmluvných ustanovení/pravidiel.</w:t>
      </w:r>
    </w:p>
    <w:p>
      <w:pPr>
        <w:spacing w:before="0" w:after="240"/>
        <w:rPr>
          <w:rFonts w:asciiTheme="majorHAnsi" w:hAnsiTheme="majorHAnsi"/>
          <w:noProof/>
          <w:sz w:val="20"/>
        </w:rPr>
      </w:pPr>
      <w:r>
        <w:rPr>
          <w:rFonts w:ascii="Cambria" w:hAnsi="Cambria"/>
          <w:noProof/>
          <w:sz w:val="20"/>
          <w:szCs w:val="20"/>
        </w:rPr>
        <w:t>Najdôležitejšími „prioritami“ boli „</w:t>
      </w:r>
      <w:r>
        <w:rPr>
          <w:rFonts w:ascii="Cambria" w:hAnsi="Cambria"/>
          <w:i/>
          <w:noProof/>
          <w:sz w:val="20"/>
          <w:szCs w:val="20"/>
        </w:rPr>
        <w:t>výskum a technologický vývoj</w:t>
      </w:r>
      <w:r>
        <w:rPr>
          <w:rFonts w:ascii="Cambria" w:hAnsi="Cambria"/>
          <w:noProof/>
          <w:sz w:val="20"/>
          <w:szCs w:val="20"/>
        </w:rPr>
        <w:t>“, „</w:t>
      </w:r>
      <w:r>
        <w:rPr>
          <w:rFonts w:ascii="Cambria" w:hAnsi="Cambria"/>
          <w:i/>
          <w:noProof/>
          <w:sz w:val="20"/>
          <w:szCs w:val="20"/>
        </w:rPr>
        <w:t>zvyšovanie prispôsobivosti pracovníkov a firiem, podnikov a podnikateľov</w:t>
      </w:r>
      <w:r>
        <w:rPr>
          <w:rFonts w:ascii="Cambria" w:hAnsi="Cambria"/>
          <w:noProof/>
          <w:sz w:val="20"/>
          <w:szCs w:val="20"/>
        </w:rPr>
        <w:t>“ a „</w:t>
      </w:r>
      <w:r>
        <w:rPr>
          <w:rFonts w:ascii="Cambria" w:hAnsi="Cambria"/>
          <w:i/>
          <w:noProof/>
          <w:sz w:val="20"/>
          <w:szCs w:val="20"/>
        </w:rPr>
        <w:t>zlepšovanie prístupu k zamestnaniu a udržateľnosť</w:t>
      </w:r>
      <w:r>
        <w:rPr>
          <w:rFonts w:ascii="Cambria" w:hAnsi="Cambria"/>
          <w:noProof/>
          <w:sz w:val="20"/>
          <w:szCs w:val="20"/>
        </w:rPr>
        <w:t>“. Priority „</w:t>
      </w:r>
      <w:r>
        <w:rPr>
          <w:rFonts w:ascii="Cambria" w:hAnsi="Cambria"/>
          <w:i/>
          <w:noProof/>
          <w:sz w:val="20"/>
          <w:szCs w:val="20"/>
        </w:rPr>
        <w:t>cestovný ruch</w:t>
      </w:r>
      <w:r>
        <w:rPr>
          <w:rFonts w:ascii="Cambria" w:hAnsi="Cambria"/>
          <w:noProof/>
          <w:sz w:val="20"/>
          <w:szCs w:val="20"/>
        </w:rPr>
        <w:t>“ a „</w:t>
      </w:r>
      <w:r>
        <w:rPr>
          <w:rFonts w:ascii="Cambria" w:hAnsi="Cambria"/>
          <w:i/>
          <w:noProof/>
          <w:sz w:val="20"/>
          <w:szCs w:val="20"/>
        </w:rPr>
        <w:t>obnova miest a vidieka</w:t>
      </w:r>
      <w:r>
        <w:rPr>
          <w:rFonts w:ascii="Cambria" w:hAnsi="Cambria"/>
          <w:noProof/>
          <w:sz w:val="20"/>
          <w:szCs w:val="20"/>
        </w:rPr>
        <w:t>“ vynikali z hľadiska miery odhaľovania podvodov.</w:t>
      </w:r>
    </w:p>
    <w:p>
      <w:pPr>
        <w:spacing w:before="0" w:after="240"/>
        <w:rPr>
          <w:rFonts w:asciiTheme="majorHAnsi" w:hAnsiTheme="majorHAnsi"/>
          <w:noProof/>
          <w:sz w:val="20"/>
        </w:rPr>
      </w:pPr>
      <w:r>
        <w:rPr>
          <w:rFonts w:asciiTheme="majorHAnsi" w:hAnsiTheme="majorHAnsi"/>
          <w:noProof/>
          <w:sz w:val="20"/>
        </w:rPr>
        <w:t>V prípade opatrení politiky súdržnosti bol pomer preukázaných podvodov vyšší a zamietnutí nižší ako v prípade poľnohospodárstva.</w:t>
      </w:r>
    </w:p>
    <w:p>
      <w:pPr>
        <w:pStyle w:val="Heading3"/>
        <w:numPr>
          <w:ilvl w:val="3"/>
          <w:numId w:val="1"/>
        </w:numPr>
        <w:tabs>
          <w:tab w:val="clear" w:pos="1810"/>
          <w:tab w:val="num" w:pos="567"/>
        </w:tabs>
        <w:spacing w:before="0" w:after="240"/>
        <w:ind w:left="709" w:hanging="709"/>
        <w:rPr>
          <w:rFonts w:asciiTheme="majorHAnsi" w:hAnsiTheme="majorHAnsi"/>
          <w:i w:val="0"/>
          <w:noProof/>
          <w:color w:val="1F497D" w:themeColor="text2"/>
          <w:sz w:val="20"/>
        </w:rPr>
      </w:pPr>
      <w:bookmarkStart w:id="65" w:name="_Toc22547345"/>
      <w:r>
        <w:rPr>
          <w:rFonts w:asciiTheme="majorHAnsi" w:hAnsiTheme="majorHAnsi"/>
          <w:i w:val="0"/>
          <w:noProof/>
          <w:color w:val="1F497D" w:themeColor="text2"/>
          <w:sz w:val="20"/>
        </w:rPr>
        <w:t>Odhalené nepodvodné nezrovnalosti</w:t>
      </w:r>
      <w:bookmarkEnd w:id="65"/>
    </w:p>
    <w:p>
      <w:pPr>
        <w:spacing w:before="0" w:after="240"/>
        <w:rPr>
          <w:rFonts w:asciiTheme="majorHAnsi" w:hAnsiTheme="majorHAnsi"/>
          <w:noProof/>
          <w:sz w:val="20"/>
        </w:rPr>
      </w:pPr>
      <w:r>
        <w:rPr>
          <w:rFonts w:asciiTheme="majorHAnsi" w:hAnsiTheme="majorHAnsi"/>
          <w:noProof/>
          <w:sz w:val="20"/>
        </w:rPr>
        <w:t>V prvých piatich rokoch vykonávania súčasného programového obdobia je počet oznámených nepodvodných nezrovnalostí o približne 60 % nižší ako v rokoch 2014 – 2020.</w:t>
      </w:r>
    </w:p>
    <w:p>
      <w:pPr>
        <w:pStyle w:val="Heading2"/>
        <w:tabs>
          <w:tab w:val="clear" w:pos="850"/>
        </w:tabs>
        <w:spacing w:before="0" w:after="240"/>
        <w:ind w:left="567" w:hanging="567"/>
        <w:rPr>
          <w:rFonts w:asciiTheme="majorHAnsi" w:hAnsiTheme="majorHAnsi"/>
          <w:noProof/>
          <w:color w:val="1F497D" w:themeColor="text2"/>
          <w:sz w:val="20"/>
        </w:rPr>
      </w:pPr>
      <w:bookmarkStart w:id="66" w:name="_Toc22547346"/>
      <w:r>
        <w:rPr>
          <w:rFonts w:asciiTheme="majorHAnsi" w:hAnsiTheme="majorHAnsi"/>
          <w:noProof/>
          <w:color w:val="1F497D" w:themeColor="text2"/>
          <w:sz w:val="20"/>
        </w:rPr>
        <w:t>Nepriame riadenie (predvstupová politika) – štatistiky o odhalených nezrovnalostiach a podvodoch</w:t>
      </w:r>
      <w:bookmarkEnd w:id="66"/>
    </w:p>
    <w:p>
      <w:pPr>
        <w:spacing w:before="0" w:after="240"/>
        <w:rPr>
          <w:rFonts w:asciiTheme="majorHAnsi" w:hAnsiTheme="majorHAnsi"/>
          <w:noProof/>
          <w:sz w:val="20"/>
        </w:rPr>
      </w:pPr>
      <w:r>
        <w:rPr>
          <w:rFonts w:asciiTheme="majorHAnsi" w:hAnsiTheme="majorHAnsi"/>
          <w:noProof/>
          <w:sz w:val="20"/>
        </w:rPr>
        <w:t>Analýza nezrovnalostí týkajúca sa nepriameho riadenia je zameraná na predvstupové nástroje</w:t>
      </w:r>
      <w:r>
        <w:rPr>
          <w:rStyle w:val="FootnoteReference"/>
          <w:rFonts w:asciiTheme="majorHAnsi" w:hAnsiTheme="majorHAnsi"/>
          <w:noProof/>
          <w:sz w:val="20"/>
        </w:rPr>
        <w:footnoteReference w:id="63"/>
      </w:r>
      <w:r>
        <w:rPr>
          <w:rFonts w:asciiTheme="majorHAnsi" w:hAnsiTheme="majorHAnsi"/>
          <w:noProof/>
          <w:sz w:val="20"/>
        </w:rPr>
        <w:t>.</w:t>
      </w:r>
    </w:p>
    <w:p>
      <w:pPr>
        <w:spacing w:before="0"/>
        <w:rPr>
          <w:rFonts w:asciiTheme="majorHAnsi" w:hAnsiTheme="majorHAnsi"/>
          <w:noProof/>
          <w:sz w:val="20"/>
        </w:rPr>
      </w:pPr>
      <w:r>
        <w:rPr>
          <w:rFonts w:asciiTheme="majorHAnsi" w:hAnsiTheme="majorHAnsi"/>
          <w:noProof/>
          <w:sz w:val="20"/>
        </w:rPr>
        <w:t>Oznámené nezrovnalosti sa týkajú troch období (2000 – 2006, 2007 – 2013 a 2014 – 2020), pričom väčšina oznámených nezrovnalostí sa týka obdobia 2007 – 2013 (IPA I).</w:t>
      </w:r>
    </w:p>
    <w:p>
      <w:pPr>
        <w:spacing w:before="0" w:after="240"/>
        <w:rPr>
          <w:rFonts w:asciiTheme="majorHAnsi" w:hAnsiTheme="majorHAnsi"/>
          <w:noProof/>
          <w:sz w:val="20"/>
        </w:rPr>
      </w:pPr>
      <w:r>
        <w:rPr>
          <w:rFonts w:asciiTheme="majorHAnsi" w:hAnsiTheme="majorHAnsi"/>
          <w:noProof/>
          <w:sz w:val="20"/>
        </w:rPr>
        <w:t>Rovnako ako v predchádzajúcich rokoch hlavnou oblasťou, ktorej sa dotkli podvodné nezrovnalosti, je podpora rozvoja vidieka.</w:t>
      </w:r>
    </w:p>
    <w:p>
      <w:pPr>
        <w:pStyle w:val="Heading2"/>
        <w:tabs>
          <w:tab w:val="clear" w:pos="850"/>
        </w:tabs>
        <w:spacing w:before="0" w:after="240"/>
        <w:ind w:left="567" w:hanging="567"/>
        <w:rPr>
          <w:rFonts w:asciiTheme="majorHAnsi" w:hAnsiTheme="majorHAnsi"/>
          <w:noProof/>
          <w:color w:val="1F497D" w:themeColor="text2"/>
          <w:sz w:val="20"/>
        </w:rPr>
      </w:pPr>
      <w:bookmarkStart w:id="67" w:name="_Toc22547347"/>
      <w:r>
        <w:rPr>
          <w:rFonts w:asciiTheme="majorHAnsi" w:hAnsiTheme="majorHAnsi"/>
          <w:noProof/>
          <w:color w:val="1F497D" w:themeColor="text2"/>
          <w:sz w:val="20"/>
        </w:rPr>
        <w:t>Priame riadenie – sektorové politiky a opatrenia na boj proti podvodom a ich výsledky</w:t>
      </w:r>
      <w:bookmarkEnd w:id="67"/>
    </w:p>
    <w:p>
      <w:pPr>
        <w:pStyle w:val="Heading3"/>
        <w:tabs>
          <w:tab w:val="num" w:pos="851"/>
        </w:tabs>
        <w:spacing w:before="0" w:after="240"/>
        <w:ind w:left="567" w:hanging="567"/>
        <w:rPr>
          <w:rFonts w:asciiTheme="majorHAnsi" w:hAnsiTheme="majorHAnsi"/>
          <w:noProof/>
          <w:color w:val="1F497D" w:themeColor="text2"/>
          <w:sz w:val="20"/>
        </w:rPr>
      </w:pPr>
      <w:bookmarkStart w:id="68" w:name="_Toc22547348"/>
      <w:r>
        <w:rPr>
          <w:rFonts w:asciiTheme="majorHAnsi" w:hAnsiTheme="majorHAnsi"/>
          <w:noProof/>
          <w:color w:val="1F497D" w:themeColor="text2"/>
          <w:sz w:val="20"/>
        </w:rPr>
        <w:t>Priame riadenie – štatistiky o odhalených nezrovnalostiach a podvodoch</w:t>
      </w:r>
      <w:bookmarkEnd w:id="68"/>
    </w:p>
    <w:p>
      <w:pPr>
        <w:spacing w:before="0" w:after="240"/>
        <w:rPr>
          <w:rFonts w:asciiTheme="majorHAnsi" w:hAnsiTheme="majorHAnsi"/>
          <w:noProof/>
          <w:sz w:val="20"/>
        </w:rPr>
      </w:pPr>
      <w:r>
        <w:rPr>
          <w:rFonts w:asciiTheme="majorHAnsi" w:hAnsiTheme="majorHAnsi"/>
          <w:noProof/>
          <w:sz w:val="20"/>
        </w:rPr>
        <w:t>Štatistiky týkajúce sa priameho riadenia vychádzajú z príkazov na vymáhanie, ktoré vydali útvary Komisie a ktoré sú zaznamenané v podvojnom účtovníctve Komisie.</w:t>
      </w:r>
    </w:p>
    <w:p>
      <w:pPr>
        <w:pStyle w:val="Heading3"/>
        <w:numPr>
          <w:ilvl w:val="3"/>
          <w:numId w:val="1"/>
        </w:numPr>
        <w:tabs>
          <w:tab w:val="clear" w:pos="1810"/>
        </w:tabs>
        <w:spacing w:before="0" w:after="240"/>
        <w:ind w:left="567" w:hanging="567"/>
        <w:rPr>
          <w:rFonts w:asciiTheme="majorHAnsi" w:hAnsiTheme="majorHAnsi"/>
          <w:i w:val="0"/>
          <w:noProof/>
          <w:color w:val="1F497D" w:themeColor="text2"/>
          <w:sz w:val="20"/>
        </w:rPr>
      </w:pPr>
      <w:bookmarkStart w:id="69" w:name="_Toc22547349"/>
      <w:r>
        <w:rPr>
          <w:rFonts w:asciiTheme="majorHAnsi" w:hAnsiTheme="majorHAnsi"/>
          <w:i w:val="0"/>
          <w:noProof/>
          <w:color w:val="1F497D" w:themeColor="text2"/>
          <w:sz w:val="20"/>
        </w:rPr>
        <w:t>Odhalené podvodné nezrovnalosti</w:t>
      </w:r>
      <w:bookmarkEnd w:id="69"/>
    </w:p>
    <w:p>
      <w:pPr>
        <w:spacing w:before="0" w:after="240"/>
        <w:rPr>
          <w:rFonts w:asciiTheme="majorHAnsi" w:hAnsiTheme="majorHAnsi"/>
          <w:noProof/>
          <w:sz w:val="20"/>
        </w:rPr>
      </w:pPr>
      <w:r>
        <w:rPr>
          <w:rFonts w:asciiTheme="majorHAnsi" w:hAnsiTheme="majorHAnsi"/>
          <w:noProof/>
          <w:sz w:val="20"/>
        </w:rPr>
        <w:t>V roku 2018 bolo v podvojnom účtovníctve klasifikovaných 44 položiek vymáhania ako súvisiacich s podvodmi</w:t>
      </w:r>
      <w:r>
        <w:rPr>
          <w:rStyle w:val="FootnoteReference"/>
          <w:rFonts w:asciiTheme="majorHAnsi" w:hAnsiTheme="majorHAnsi"/>
          <w:noProof/>
          <w:sz w:val="20"/>
        </w:rPr>
        <w:footnoteReference w:id="64"/>
      </w:r>
      <w:r>
        <w:rPr>
          <w:rFonts w:asciiTheme="majorHAnsi" w:hAnsiTheme="majorHAnsi"/>
          <w:noProof/>
          <w:sz w:val="20"/>
        </w:rPr>
        <w:t>, pričom ich celková výška dosahovala 6,17 milióna EUR. Ak to porovnáme s celkovými skutočne vynaloženými prostriedkami, miera odhaľovania podvodov bola 0,03 %, t. j. približne stabilný päťročný priemer.</w:t>
      </w:r>
    </w:p>
    <w:p>
      <w:pPr>
        <w:pStyle w:val="Heading3"/>
        <w:numPr>
          <w:ilvl w:val="3"/>
          <w:numId w:val="1"/>
        </w:numPr>
        <w:tabs>
          <w:tab w:val="clear" w:pos="1810"/>
          <w:tab w:val="num" w:pos="567"/>
        </w:tabs>
        <w:spacing w:before="0" w:after="240"/>
        <w:ind w:left="709" w:hanging="709"/>
        <w:rPr>
          <w:rFonts w:asciiTheme="majorHAnsi" w:hAnsiTheme="majorHAnsi"/>
          <w:i w:val="0"/>
          <w:noProof/>
          <w:color w:val="1F497D" w:themeColor="text2"/>
          <w:sz w:val="20"/>
        </w:rPr>
      </w:pPr>
      <w:bookmarkStart w:id="70" w:name="_Toc22547350"/>
      <w:r>
        <w:rPr>
          <w:rFonts w:asciiTheme="majorHAnsi" w:hAnsiTheme="majorHAnsi"/>
          <w:i w:val="0"/>
          <w:noProof/>
          <w:color w:val="1F497D" w:themeColor="text2"/>
          <w:sz w:val="20"/>
        </w:rPr>
        <w:t>Odhalené nepodvodné nezrovnalosti</w:t>
      </w:r>
      <w:bookmarkEnd w:id="70"/>
    </w:p>
    <w:p>
      <w:pPr>
        <w:spacing w:before="0" w:after="240"/>
        <w:rPr>
          <w:rFonts w:asciiTheme="majorHAnsi" w:hAnsiTheme="majorHAnsi"/>
          <w:noProof/>
          <w:sz w:val="20"/>
          <w:highlight w:val="yellow"/>
        </w:rPr>
      </w:pPr>
      <w:r>
        <w:rPr>
          <w:rFonts w:asciiTheme="majorHAnsi" w:hAnsiTheme="majorHAnsi"/>
          <w:noProof/>
          <w:sz w:val="20"/>
        </w:rPr>
        <w:t>Pokiaľ ide o nepodvodné nezrovnalosti, v roku 2018 bolo zaznamenaných 1 585 položiek vymáhania v celkovej výške 67,6 milióna EUR. Za päťročné obdobie sa miera odhaľovania nezrovnalostí mierne znížila, a to približne o 0,46 %.</w:t>
      </w:r>
    </w:p>
    <w:p>
      <w:pPr>
        <w:pStyle w:val="Heading1"/>
        <w:tabs>
          <w:tab w:val="clear" w:pos="1570"/>
          <w:tab w:val="num" w:pos="567"/>
        </w:tabs>
        <w:spacing w:before="0" w:after="240"/>
        <w:ind w:left="426" w:hanging="426"/>
        <w:rPr>
          <w:rFonts w:asciiTheme="majorHAnsi" w:hAnsiTheme="majorHAnsi"/>
          <w:noProof/>
          <w:color w:val="1F497D" w:themeColor="text2"/>
          <w:sz w:val="20"/>
        </w:rPr>
      </w:pPr>
      <w:bookmarkStart w:id="71" w:name="_Toc22547351"/>
      <w:r>
        <w:rPr>
          <w:rFonts w:asciiTheme="majorHAnsi" w:hAnsiTheme="majorHAnsi"/>
          <w:noProof/>
          <w:color w:val="1F497D" w:themeColor="text2"/>
          <w:sz w:val="20"/>
        </w:rPr>
        <w:t>Vymáhanie finančných prostriedkov a iné preventívne a nápravné opatrenia</w:t>
      </w:r>
      <w:bookmarkEnd w:id="71"/>
    </w:p>
    <w:p>
      <w:pPr>
        <w:spacing w:before="0" w:after="240"/>
        <w:rPr>
          <w:rFonts w:asciiTheme="majorHAnsi" w:hAnsiTheme="majorHAnsi"/>
          <w:noProof/>
          <w:sz w:val="20"/>
        </w:rPr>
      </w:pPr>
      <w:r>
        <w:rPr>
          <w:rFonts w:asciiTheme="majorHAnsi" w:hAnsiTheme="majorHAnsi"/>
          <w:noProof/>
          <w:sz w:val="20"/>
        </w:rPr>
        <w:t xml:space="preserve">Podrobné informácie o vymáhaní, finančných opravách a ďalších preventívnych a nápravných opatreniach (prerušeniach a pozastaveniach platieb) sa uvádzajú vo </w:t>
      </w:r>
      <w:r>
        <w:rPr>
          <w:rFonts w:asciiTheme="majorHAnsi" w:hAnsiTheme="majorHAnsi"/>
          <w:i/>
          <w:noProof/>
          <w:sz w:val="20"/>
        </w:rPr>
        <w:t>výročnej správe o hospodárení a výkonnosti</w:t>
      </w:r>
      <w:r>
        <w:rPr>
          <w:rStyle w:val="FootnoteReference"/>
          <w:rFonts w:asciiTheme="majorHAnsi" w:hAnsiTheme="majorHAnsi"/>
          <w:noProof/>
          <w:sz w:val="20"/>
        </w:rPr>
        <w:footnoteReference w:id="65"/>
      </w:r>
      <w:r>
        <w:rPr>
          <w:rFonts w:asciiTheme="majorHAnsi" w:hAnsiTheme="majorHAnsi"/>
          <w:noProof/>
          <w:sz w:val="20"/>
        </w:rPr>
        <w:t>.</w:t>
      </w:r>
    </w:p>
    <w:p>
      <w:pPr>
        <w:spacing w:before="0" w:after="240"/>
        <w:rPr>
          <w:rFonts w:ascii="Cambria" w:hAnsi="Cambria"/>
          <w:noProof/>
          <w:sz w:val="20"/>
          <w:szCs w:val="20"/>
        </w:rPr>
      </w:pPr>
      <w:r>
        <w:rPr>
          <w:rFonts w:ascii="Cambria" w:hAnsi="Cambria"/>
          <w:noProof/>
          <w:sz w:val="20"/>
          <w:szCs w:val="20"/>
        </w:rPr>
        <w:t>Nezrovnalosti, ktoré boli odhalené a oznámené, ako sa uvádza v správe o ochrane finančných záujmov, sú predmetom nápravných opatrení s cieľom zabezpečiť, aby sa finančné prostriedky EÚ nepoužívali na financovanie protiprávnych alebo podvodných projektov. Ak je to potrebné, vnútroštátne orgány zavedú a uplatňujú postupy vymáhania v súlade s vnútroštátnymi regulačnými rámcami.</w:t>
      </w:r>
    </w:p>
    <w:p>
      <w:pPr>
        <w:pStyle w:val="Heading1"/>
        <w:tabs>
          <w:tab w:val="clear" w:pos="1570"/>
          <w:tab w:val="num" w:pos="567"/>
        </w:tabs>
        <w:spacing w:before="0" w:after="240"/>
        <w:ind w:left="426" w:hanging="426"/>
        <w:rPr>
          <w:rFonts w:asciiTheme="majorHAnsi" w:hAnsiTheme="majorHAnsi"/>
          <w:noProof/>
          <w:color w:val="1F497D" w:themeColor="text2"/>
          <w:sz w:val="20"/>
        </w:rPr>
      </w:pPr>
      <w:bookmarkStart w:id="72" w:name="_Toc22547352"/>
      <w:r>
        <w:rPr>
          <w:rFonts w:asciiTheme="majorHAnsi" w:hAnsiTheme="majorHAnsi"/>
          <w:noProof/>
          <w:color w:val="1F497D" w:themeColor="text2"/>
          <w:sz w:val="20"/>
        </w:rPr>
        <w:t>Spolupráca s členskými štátmi</w:t>
      </w:r>
      <w:bookmarkEnd w:id="72"/>
    </w:p>
    <w:p>
      <w:pPr>
        <w:spacing w:before="0" w:after="240"/>
        <w:rPr>
          <w:rFonts w:asciiTheme="majorHAnsi" w:hAnsiTheme="majorHAnsi"/>
          <w:bCs/>
          <w:iCs/>
          <w:noProof/>
          <w:sz w:val="20"/>
          <w:szCs w:val="20"/>
        </w:rPr>
      </w:pPr>
      <w:r>
        <w:rPr>
          <w:rFonts w:asciiTheme="majorHAnsi" w:hAnsiTheme="majorHAnsi"/>
          <w:bCs/>
          <w:iCs/>
          <w:noProof/>
          <w:sz w:val="20"/>
        </w:rPr>
        <w:t>V Poradnom výbore na koordináciu prevencie sprenevery (COCOLAF) zasadajú odborníci z Komisie (OLAF) a členských štátov. Výbor poskytuje fórum na diskusiu o hlavných trendoch v boji proti podvodom a príprave tejto správy, ako sa to vyžaduje podľa článku 325 ods. 5 ZFEÚ. Jeho práca je štruktúrovaná do štyroch pracovných skupín a pléna (pozri obrázok 11).</w:t>
      </w:r>
    </w:p>
    <w:p>
      <w:pPr>
        <w:spacing w:before="0"/>
        <w:rPr>
          <w:rFonts w:asciiTheme="majorHAnsi" w:hAnsiTheme="majorHAnsi"/>
          <w:bCs/>
          <w:iCs/>
          <w:noProof/>
          <w:sz w:val="20"/>
        </w:rPr>
      </w:pPr>
      <w:r>
        <w:rPr>
          <w:rFonts w:asciiTheme="majorHAnsi" w:hAnsiTheme="majorHAnsi"/>
          <w:bCs/>
          <w:iCs/>
          <w:noProof/>
          <w:sz w:val="20"/>
        </w:rPr>
        <w:t>Podskupina pre oznamovanie a analýzu výboru COCOLAF poskytla ideálne fórum na prediskutovanie a doladenie analýz uvedených v pracovnom dokumente útvarov Komisie o „štatistickom vyhodnotení nezrovnalostí“.</w:t>
      </w:r>
    </w:p>
    <w:p>
      <w:pPr>
        <w:spacing w:before="0"/>
        <w:rPr>
          <w:rFonts w:asciiTheme="majorHAnsi" w:hAnsiTheme="majorHAnsi"/>
          <w:bCs/>
          <w:iCs/>
          <w:noProof/>
          <w:sz w:val="20"/>
        </w:rPr>
      </w:pPr>
      <w:r>
        <w:rPr>
          <w:rFonts w:asciiTheme="majorHAnsi" w:hAnsiTheme="majorHAnsi"/>
          <w:bCs/>
          <w:iCs/>
          <w:noProof/>
          <w:sz w:val="20"/>
        </w:rPr>
        <w:t>V rámci podskupiny na predchádzanie podvodom sa začalo pracovať na vývoji metodiky pre profily krajín na opis systémov členských štátov zameraných na boj proti podvodom. Tento nástroj sa bude v nasledujúcich rokoch ďalej rozvíjať.</w:t>
      </w:r>
    </w:p>
    <w:p>
      <w:pPr>
        <w:pStyle w:val="Caption"/>
        <w:keepNext/>
        <w:spacing w:after="240"/>
        <w:ind w:left="1134" w:hanging="1134"/>
        <w:rPr>
          <w:rFonts w:asciiTheme="majorHAnsi" w:hAnsiTheme="majorHAnsi"/>
          <w:noProof/>
          <w:sz w:val="20"/>
          <w:szCs w:val="20"/>
        </w:rPr>
      </w:pPr>
      <w:bookmarkStart w:id="73" w:name="_Toc22547542"/>
      <w:r>
        <w:rPr>
          <w:rFonts w:asciiTheme="majorHAnsi" w:hAnsiTheme="majorHAnsi"/>
          <w:noProof/>
          <w:sz w:val="20"/>
          <w:szCs w:val="20"/>
        </w:rPr>
        <w:t xml:space="preserve">Obr. </w:t>
      </w:r>
      <w:r>
        <w:rPr>
          <w:rFonts w:asciiTheme="majorHAnsi" w:hAnsiTheme="majorHAnsi"/>
          <w:noProof/>
          <w:sz w:val="20"/>
          <w:szCs w:val="20"/>
        </w:rPr>
        <w:fldChar w:fldCharType="begin"/>
      </w:r>
      <w:r>
        <w:rPr>
          <w:rFonts w:asciiTheme="majorHAnsi" w:hAnsiTheme="majorHAnsi"/>
          <w:noProof/>
          <w:sz w:val="20"/>
          <w:szCs w:val="20"/>
        </w:rPr>
        <w:instrText xml:space="preserve"> SEQ Figure \* ARABIC </w:instrText>
      </w:r>
      <w:r>
        <w:rPr>
          <w:rFonts w:asciiTheme="majorHAnsi" w:hAnsiTheme="majorHAnsi"/>
          <w:noProof/>
          <w:sz w:val="20"/>
          <w:szCs w:val="20"/>
        </w:rPr>
        <w:fldChar w:fldCharType="separate"/>
      </w:r>
      <w:r>
        <w:rPr>
          <w:rFonts w:asciiTheme="majorHAnsi" w:hAnsiTheme="majorHAnsi"/>
          <w:noProof/>
          <w:sz w:val="20"/>
          <w:szCs w:val="20"/>
        </w:rPr>
        <w:t>11</w:t>
      </w:r>
      <w:r>
        <w:rPr>
          <w:rFonts w:asciiTheme="majorHAnsi" w:hAnsiTheme="majorHAnsi"/>
          <w:noProof/>
          <w:sz w:val="20"/>
          <w:szCs w:val="20"/>
        </w:rPr>
        <w:fldChar w:fldCharType="end"/>
      </w:r>
      <w:r>
        <w:rPr>
          <w:rFonts w:asciiTheme="majorHAnsi" w:hAnsiTheme="majorHAnsi"/>
          <w:noProof/>
          <w:sz w:val="20"/>
          <w:szCs w:val="20"/>
        </w:rPr>
        <w:t xml:space="preserve">: </w:t>
      </w:r>
      <w:r>
        <w:rPr>
          <w:rFonts w:asciiTheme="majorHAnsi" w:hAnsiTheme="majorHAnsi"/>
          <w:noProof/>
          <w:sz w:val="20"/>
          <w:szCs w:val="20"/>
        </w:rPr>
        <w:tab/>
        <w:t>Štruktúra a podskupiny výboru COCOLAF</w:t>
      </w:r>
      <w:bookmarkEnd w:id="73"/>
    </w:p>
    <w:p>
      <w:pPr>
        <w:pStyle w:val="Caption"/>
        <w:rPr>
          <w:rFonts w:asciiTheme="majorHAnsi" w:hAnsiTheme="majorHAnsi"/>
          <w:bCs w:val="0"/>
          <w:iCs/>
          <w:noProof/>
          <w:sz w:val="20"/>
        </w:rPr>
      </w:pPr>
      <w:r>
        <w:rPr>
          <w:rFonts w:asciiTheme="majorHAnsi" w:hAnsiTheme="majorHAnsi"/>
          <w:iCs/>
          <w:noProof/>
          <w:sz w:val="20"/>
          <w:lang w:val="en-GB" w:eastAsia="en-GB"/>
        </w:rPr>
        <w:drawing>
          <wp:inline distT="0" distB="0" distL="0" distR="0">
            <wp:extent cx="2904979" cy="2151233"/>
            <wp:effectExtent l="57150" t="0" r="2921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2" r:lo="rId173" r:qs="rId174" r:cs="rId175"/>
              </a:graphicData>
            </a:graphic>
          </wp:inline>
        </w:drawing>
      </w:r>
    </w:p>
    <w:p>
      <w:pPr>
        <w:rPr>
          <w:rFonts w:asciiTheme="majorHAnsi" w:hAnsiTheme="majorHAnsi"/>
          <w:noProof/>
          <w:sz w:val="20"/>
        </w:rPr>
      </w:pPr>
      <w:r>
        <w:rPr>
          <w:rFonts w:asciiTheme="majorHAnsi" w:hAnsiTheme="majorHAnsi"/>
          <w:noProof/>
          <w:sz w:val="20"/>
        </w:rPr>
        <w:t>Koordinačný útvar pre boj proti podvodom (AFCOS) sa stretáva raz ročne a predsedá mu úrad OLAF. V roku 2018 sa stretnutie uskutočnilo 16. októbra. Diskutovalo sa na ňom o vyšetrovacej spolupráci úradu OLAF s útvarom AFCOS – najmä pri kontrolách na mieste – a o výmene informácií. Medzi ďalšie témy programu patrila dôvernosť záverečných správ úradu OLAF, zastrešujúca spolupráca medzi vnútroštátnymi orgánmi útvaru AFCOS a ročný pracovný program Hercule na rok 2019.</w:t>
      </w:r>
    </w:p>
    <w:p>
      <w:pPr>
        <w:spacing w:before="0" w:after="240"/>
        <w:rPr>
          <w:rFonts w:asciiTheme="majorHAnsi" w:hAnsiTheme="majorHAnsi"/>
          <w:bCs/>
          <w:iCs/>
          <w:noProof/>
          <w:sz w:val="20"/>
          <w:highlight w:val="yellow"/>
        </w:rPr>
      </w:pPr>
      <w:r>
        <w:rPr>
          <w:rFonts w:asciiTheme="majorHAnsi" w:hAnsiTheme="majorHAnsi"/>
          <w:bCs/>
          <w:iCs/>
          <w:noProof/>
          <w:sz w:val="20"/>
        </w:rPr>
        <w:t>V sieti komunikátorov úradu OLAF pre boj proti podvodom (OAFCN) spolupracujú úradníci pre komunikáciu s hovorcami operačných partnerov úradu OLAF v členských štátoch. V roku 2018 OLAF zorganizoval spoločnú tlačovú konferenciu so švédskymi colnými orgánmi o boji proti falšovaniu priemyselného tovaru a spolu s lotyšským útvarom AFCOS uverejnil hosťovské príspevky na Twitteri s cieľom predstaviť 2. vydanie svojej úspešnej kampane, v ktorej vyzval ľudí, aby podvodom povedali nie.</w:t>
      </w:r>
    </w:p>
    <w:p>
      <w:pPr>
        <w:spacing w:before="0" w:after="240"/>
        <w:rPr>
          <w:rFonts w:asciiTheme="majorHAnsi" w:hAnsiTheme="majorHAnsi"/>
          <w:b/>
          <w:noProof/>
          <w:sz w:val="20"/>
        </w:rPr>
      </w:pPr>
      <w:r>
        <w:rPr>
          <w:rFonts w:asciiTheme="majorHAnsi" w:hAnsiTheme="majorHAnsi"/>
          <w:noProof/>
          <w:sz w:val="20"/>
        </w:rPr>
        <w:t>Členské štáty a Komisia si počas bulharského a rakúskeho predsedníctva vymieňali názory na otázky týkajúce sa boja proti podvodom na zasadnutiach pracovnej skupiny Rady pre boj proti podvodom (GAF).</w:t>
      </w:r>
    </w:p>
    <w:p>
      <w:pPr>
        <w:pStyle w:val="Heading1"/>
        <w:tabs>
          <w:tab w:val="clear" w:pos="1570"/>
          <w:tab w:val="num" w:pos="567"/>
        </w:tabs>
        <w:spacing w:before="0" w:after="240"/>
        <w:ind w:left="426" w:hanging="426"/>
        <w:rPr>
          <w:rFonts w:asciiTheme="majorHAnsi" w:hAnsiTheme="majorHAnsi"/>
          <w:noProof/>
          <w:color w:val="1F497D" w:themeColor="text2"/>
          <w:sz w:val="20"/>
        </w:rPr>
      </w:pPr>
      <w:bookmarkStart w:id="74" w:name="_Toc22547353"/>
      <w:r>
        <w:rPr>
          <w:rFonts w:asciiTheme="majorHAnsi" w:hAnsiTheme="majorHAnsi"/>
          <w:noProof/>
          <w:color w:val="1F497D" w:themeColor="text2"/>
          <w:sz w:val="20"/>
        </w:rPr>
        <w:t>Systém včasného odhaľovania rizika a vylúčenia (EDES)</w:t>
      </w:r>
      <w:bookmarkEnd w:id="74"/>
    </w:p>
    <w:p>
      <w:pPr>
        <w:spacing w:before="0"/>
        <w:rPr>
          <w:rFonts w:ascii="Cambria" w:hAnsi="Cambria"/>
          <w:noProof/>
          <w:sz w:val="20"/>
        </w:rPr>
      </w:pPr>
      <w:r>
        <w:rPr>
          <w:rFonts w:ascii="Cambria" w:hAnsi="Cambria"/>
          <w:noProof/>
          <w:sz w:val="20"/>
        </w:rPr>
        <w:t>Európska komisia riadi systém EDES. Od svojho vzniku v roku 2016 EDES vyzrel a ukázal sa ako silný nástroj na posilnenie ochrany finančných záujmov EÚ proti nespoľahlivým hospodárskym subjektom a podvodníkom (sankcie zahŕňajú vylúčenie z účasti na získavaní finančných prostriedkov EÚ). Systém EDES sa zameriava na širokú škálu praktík, ktoré možno sankcionovať. Je zakotvený v nariadení o rozpočtových pravidlách, ktoré sa vzťahujú na rozpočet EÚ, revidovanom v roku 2018</w:t>
      </w:r>
      <w:r>
        <w:rPr>
          <w:rStyle w:val="FootnoteReference"/>
          <w:rFonts w:ascii="Cambria" w:hAnsi="Cambria"/>
          <w:noProof/>
          <w:sz w:val="20"/>
        </w:rPr>
        <w:footnoteReference w:id="66"/>
      </w:r>
      <w:r>
        <w:rPr>
          <w:rFonts w:ascii="Cambria" w:hAnsi="Cambria"/>
          <w:noProof/>
          <w:sz w:val="20"/>
        </w:rPr>
        <w:t xml:space="preserve"> (články 135 až 145).</w:t>
      </w:r>
    </w:p>
    <w:p>
      <w:pPr>
        <w:spacing w:before="0"/>
        <w:rPr>
          <w:rFonts w:ascii="Cambria" w:hAnsi="Cambria"/>
          <w:noProof/>
          <w:sz w:val="16"/>
          <w:highlight w:val="yellow"/>
        </w:rPr>
      </w:pPr>
      <w:r>
        <w:rPr>
          <w:rFonts w:ascii="Cambria" w:hAnsi="Cambria"/>
          <w:noProof/>
          <w:sz w:val="20"/>
        </w:rPr>
        <w:t>Systém EDES predovšetkým zabezpečuje:</w:t>
      </w:r>
    </w:p>
    <w:p>
      <w:pPr>
        <w:pStyle w:val="ListParagraph"/>
        <w:numPr>
          <w:ilvl w:val="0"/>
          <w:numId w:val="3"/>
        </w:numPr>
        <w:spacing w:before="0"/>
        <w:ind w:left="357" w:hanging="357"/>
        <w:rPr>
          <w:rFonts w:asciiTheme="majorHAnsi" w:hAnsiTheme="majorHAnsi"/>
          <w:bCs/>
          <w:iCs/>
          <w:noProof/>
          <w:sz w:val="20"/>
        </w:rPr>
      </w:pPr>
      <w:r>
        <w:rPr>
          <w:rFonts w:asciiTheme="majorHAnsi" w:hAnsiTheme="majorHAnsi"/>
          <w:bCs/>
          <w:iCs/>
          <w:noProof/>
          <w:sz w:val="20"/>
        </w:rPr>
        <w:t>včasné odhaľovanie hospodárskych subjektov, ktoré predstavujú riziká pre finančné záujmy EÚ,</w:t>
      </w:r>
    </w:p>
    <w:p>
      <w:pPr>
        <w:pStyle w:val="ListParagraph"/>
        <w:numPr>
          <w:ilvl w:val="0"/>
          <w:numId w:val="3"/>
        </w:numPr>
        <w:spacing w:before="0"/>
        <w:ind w:left="357" w:hanging="357"/>
        <w:rPr>
          <w:rFonts w:asciiTheme="majorHAnsi" w:hAnsiTheme="majorHAnsi"/>
          <w:bCs/>
          <w:iCs/>
          <w:noProof/>
          <w:sz w:val="20"/>
        </w:rPr>
      </w:pPr>
      <w:r>
        <w:rPr>
          <w:rFonts w:asciiTheme="majorHAnsi" w:hAnsiTheme="majorHAnsi"/>
          <w:bCs/>
          <w:iCs/>
          <w:noProof/>
          <w:sz w:val="20"/>
        </w:rPr>
        <w:t>vylúčenie nespoľahlivých hospodárskych subjektov zo získavania finančných prostriedkov EÚ a/alebo uloženie peňažnej sankcie a</w:t>
      </w:r>
    </w:p>
    <w:p>
      <w:pPr>
        <w:pStyle w:val="ListParagraph"/>
        <w:numPr>
          <w:ilvl w:val="0"/>
          <w:numId w:val="3"/>
        </w:numPr>
        <w:spacing w:before="0" w:after="240"/>
        <w:ind w:left="357" w:hanging="357"/>
        <w:rPr>
          <w:rFonts w:asciiTheme="majorHAnsi" w:hAnsiTheme="majorHAnsi"/>
          <w:bCs/>
          <w:iCs/>
          <w:noProof/>
          <w:sz w:val="20"/>
        </w:rPr>
      </w:pPr>
      <w:r>
        <w:rPr>
          <w:rFonts w:asciiTheme="majorHAnsi" w:hAnsiTheme="majorHAnsi"/>
          <w:bCs/>
          <w:iCs/>
          <w:noProof/>
          <w:sz w:val="20"/>
        </w:rPr>
        <w:t>v najzávažnejších prípadoch uverejnenie informácií o vylúčení, resp. peňažnej sankcii na webovom sídle Komisie</w:t>
      </w:r>
      <w:r>
        <w:rPr>
          <w:rStyle w:val="FootnoteReference"/>
          <w:rFonts w:asciiTheme="majorHAnsi" w:hAnsiTheme="majorHAnsi"/>
          <w:bCs/>
          <w:iCs/>
          <w:noProof/>
          <w:sz w:val="20"/>
        </w:rPr>
        <w:t xml:space="preserve"> </w:t>
      </w:r>
      <w:r>
        <w:rPr>
          <w:rStyle w:val="FootnoteReference"/>
          <w:rFonts w:asciiTheme="majorHAnsi" w:hAnsiTheme="majorHAnsi"/>
          <w:bCs/>
          <w:iCs/>
          <w:noProof/>
          <w:sz w:val="20"/>
        </w:rPr>
        <w:footnoteReference w:id="67"/>
      </w:r>
      <w:r>
        <w:rPr>
          <w:rFonts w:asciiTheme="majorHAnsi" w:hAnsiTheme="majorHAnsi"/>
          <w:bCs/>
          <w:iCs/>
          <w:noProof/>
          <w:sz w:val="20"/>
        </w:rPr>
        <w:t>.</w:t>
      </w:r>
    </w:p>
    <w:p>
      <w:pPr>
        <w:spacing w:before="0" w:after="240"/>
        <w:rPr>
          <w:rFonts w:ascii="Cambria" w:eastAsia="Calibri" w:hAnsi="Cambria"/>
          <w:noProof/>
          <w:sz w:val="20"/>
        </w:rPr>
      </w:pPr>
      <w:r>
        <w:rPr>
          <w:rFonts w:ascii="Cambria" w:hAnsi="Cambria"/>
          <w:noProof/>
          <w:sz w:val="20"/>
        </w:rPr>
        <w:t>Systém EDES výrazne zlepšuje uplatňovanie pravidiel o správnych sankciách so zreteľom na základné práva dotknutých hospodárskych subjektov, nezávislosť a transparentnosť. Systém EDES je tiež jedným z osvedčených systémov vylúčenia spomedzi systémov, ktoré poskytujú rôzne medzinárodné organizácie a multilaterálne rozvojové banky.</w:t>
      </w:r>
    </w:p>
    <w:p>
      <w:pPr>
        <w:spacing w:before="0" w:after="240"/>
        <w:rPr>
          <w:rFonts w:ascii="Cambria" w:hAnsi="Cambria"/>
          <w:noProof/>
          <w:sz w:val="20"/>
        </w:rPr>
      </w:pPr>
      <w:r>
        <w:rPr>
          <w:rFonts w:ascii="Cambria" w:hAnsi="Cambria"/>
          <w:noProof/>
          <w:sz w:val="20"/>
        </w:rPr>
        <w:t>Zvláštnosťou a silnou stránkou systému EDES je právomoc udelená Európskej komisii alebo iným inštitúciám a orgánom EÚ</w:t>
      </w:r>
      <w:r>
        <w:rPr>
          <w:rStyle w:val="FootnoteReference"/>
          <w:rFonts w:ascii="Cambria" w:eastAsia="Calibri" w:hAnsi="Cambria"/>
          <w:noProof/>
          <w:sz w:val="20"/>
        </w:rPr>
        <w:footnoteReference w:id="68"/>
      </w:r>
      <w:r>
        <w:rPr>
          <w:rFonts w:ascii="Cambria" w:hAnsi="Cambria"/>
          <w:noProof/>
          <w:sz w:val="20"/>
        </w:rPr>
        <w:t xml:space="preserve"> konať, „</w:t>
      </w:r>
      <w:r>
        <w:rPr>
          <w:rFonts w:ascii="Cambria" w:hAnsi="Cambria"/>
          <w:i/>
          <w:noProof/>
          <w:sz w:val="20"/>
        </w:rPr>
        <w:t>ak neexistuje konečný vnútroštátny rozsudok či v relevantných prípadoch konečné správne rozhodnutie</w:t>
      </w:r>
      <w:r>
        <w:rPr>
          <w:rFonts w:ascii="Cambria" w:hAnsi="Cambria"/>
          <w:noProof/>
          <w:sz w:val="20"/>
        </w:rPr>
        <w:t>“</w:t>
      </w:r>
      <w:r>
        <w:rPr>
          <w:rStyle w:val="FootnoteReference"/>
          <w:rFonts w:ascii="Cambria" w:hAnsi="Cambria"/>
          <w:noProof/>
          <w:sz w:val="20"/>
        </w:rPr>
        <w:footnoteReference w:id="69"/>
      </w:r>
      <w:r>
        <w:rPr>
          <w:rFonts w:ascii="Cambria" w:hAnsi="Cambria"/>
          <w:noProof/>
          <w:sz w:val="20"/>
        </w:rPr>
        <w:t>. Ukladanie sankcií sa môže zakladať na „skutočnostiach a zisteniach“ preukázaných v rámci auditov, inšpekcií alebo kontrol, ktoré vykonáva príslušný povoľujúci úradník</w:t>
      </w:r>
      <w:r>
        <w:rPr>
          <w:rStyle w:val="FootnoteReference"/>
          <w:rFonts w:ascii="Cambria" w:hAnsi="Cambria"/>
          <w:noProof/>
          <w:sz w:val="20"/>
        </w:rPr>
        <w:footnoteReference w:id="70"/>
      </w:r>
      <w:r>
        <w:rPr>
          <w:rFonts w:ascii="Cambria" w:hAnsi="Cambria"/>
          <w:noProof/>
          <w:sz w:val="20"/>
        </w:rPr>
        <w:t>, vyšetrovaní, ktoré vykonáva OLAF, alebo na iných ako konečných správnych rozhodnutiach vnútroštátnych orgánov alebo medzinárodných organizácií.</w:t>
      </w:r>
    </w:p>
    <w:p>
      <w:pPr>
        <w:spacing w:after="0"/>
        <w:rPr>
          <w:rFonts w:ascii="Cambria" w:hAnsi="Cambria"/>
          <w:noProof/>
          <w:sz w:val="20"/>
        </w:rPr>
      </w:pPr>
      <w:r>
        <w:rPr>
          <w:rFonts w:ascii="Cambria" w:hAnsi="Cambria"/>
          <w:noProof/>
          <w:sz w:val="20"/>
        </w:rPr>
        <w:t>Rozhodnutie uložiť sankcie nespoľahlivým hospodárskym subjektom možno prijať až po získaní odporúčania</w:t>
      </w:r>
      <w:r>
        <w:rPr>
          <w:rStyle w:val="FootnoteReference"/>
          <w:rFonts w:ascii="Cambria" w:hAnsi="Cambria"/>
          <w:noProof/>
          <w:sz w:val="20"/>
        </w:rPr>
        <w:footnoteReference w:id="71"/>
      </w:r>
      <w:r>
        <w:rPr>
          <w:rFonts w:ascii="Cambria" w:hAnsi="Cambria"/>
          <w:noProof/>
          <w:sz w:val="20"/>
        </w:rPr>
        <w:t xml:space="preserve"> od centralizovaného medziinštitucionálneho výboru, ktorý vykoná predbežné právne posúdenie v prípade, že neexistuje právoplatný rozsudok alebo konečné správne rozhodnutie</w:t>
      </w:r>
      <w:r>
        <w:rPr>
          <w:rStyle w:val="FootnoteReference"/>
          <w:rFonts w:ascii="Cambria" w:hAnsi="Cambria"/>
          <w:noProof/>
          <w:sz w:val="20"/>
        </w:rPr>
        <w:footnoteReference w:id="72"/>
      </w:r>
      <w:r>
        <w:rPr>
          <w:rFonts w:ascii="Cambria" w:hAnsi="Cambria"/>
          <w:noProof/>
          <w:sz w:val="20"/>
        </w:rPr>
        <w:t>. Tento výbor nemá vyšetrovacie právomoci. Výbor sa skladá zo stáleho nezávislého predsedu na vysokej úrovni</w:t>
      </w:r>
      <w:r>
        <w:rPr>
          <w:rStyle w:val="FootnoteReference"/>
          <w:rFonts w:ascii="Cambria" w:hAnsi="Cambria"/>
          <w:noProof/>
          <w:sz w:val="20"/>
        </w:rPr>
        <w:footnoteReference w:id="73"/>
      </w:r>
      <w:r>
        <w:rPr>
          <w:rFonts w:ascii="Cambria" w:hAnsi="Cambria"/>
          <w:noProof/>
          <w:sz w:val="20"/>
        </w:rPr>
        <w:t xml:space="preserve">, dvoch stálych členov zastupujúcich Komisiu ako vlastníka systému a jedného člena </w:t>
      </w:r>
      <w:r>
        <w:rPr>
          <w:rFonts w:ascii="Cambria" w:hAnsi="Cambria"/>
          <w:i/>
          <w:noProof/>
          <w:sz w:val="20"/>
        </w:rPr>
        <w:t>ad hoc</w:t>
      </w:r>
      <w:r>
        <w:rPr>
          <w:rFonts w:ascii="Cambria" w:hAnsi="Cambria"/>
          <w:noProof/>
          <w:sz w:val="20"/>
        </w:rPr>
        <w:t xml:space="preserve"> zastupujúceho povoľujúceho úradníka útvaru žiadajúceho o odporúčanie. Výbor zodpovedá za právo na obhajobu prostredníctvom výmeny názorov s dotknutým hospodárskym subjektom a jeho odporúčania sa riadia zásadou proporcionality</w:t>
      </w:r>
      <w:r>
        <w:rPr>
          <w:rStyle w:val="FootnoteReference"/>
          <w:rFonts w:ascii="Cambria" w:hAnsi="Cambria"/>
          <w:noProof/>
          <w:sz w:val="20"/>
        </w:rPr>
        <w:footnoteReference w:id="74"/>
      </w:r>
      <w:r>
        <w:rPr>
          <w:rFonts w:ascii="Cambria" w:hAnsi="Cambria"/>
          <w:noProof/>
          <w:sz w:val="20"/>
        </w:rPr>
        <w:t>.</w:t>
      </w:r>
    </w:p>
    <w:p>
      <w:pPr>
        <w:spacing w:after="0"/>
        <w:rPr>
          <w:rFonts w:ascii="Cambria" w:hAnsi="Cambria"/>
          <w:noProof/>
          <w:sz w:val="20"/>
        </w:rPr>
      </w:pPr>
      <w:r>
        <w:rPr>
          <w:rFonts w:ascii="Cambria" w:hAnsi="Cambria"/>
          <w:noProof/>
          <w:sz w:val="20"/>
        </w:rPr>
        <w:t>V roku 2018 rôzne povoľujúce útvary postúpili výboru prostredníctvom svojho stáleho sekretariátu 6 prípustných prípadov, z ktorých všetky pochádzali od Európskej komisie. Okrem týchto 6 prípadov zaslaných sekretariátu výboru v roku 2018 sa do tejto správy pridali aj 4 prípady postúpené v roku 2017, keďže boli výboru predložené až v roku 2018</w:t>
      </w:r>
      <w:r>
        <w:rPr>
          <w:rStyle w:val="FootnoteReference"/>
          <w:rFonts w:ascii="Cambria" w:hAnsi="Cambria"/>
          <w:noProof/>
          <w:sz w:val="20"/>
        </w:rPr>
        <w:footnoteReference w:id="75"/>
      </w:r>
      <w:r>
        <w:rPr>
          <w:rFonts w:ascii="Cambria" w:hAnsi="Cambria"/>
          <w:noProof/>
          <w:sz w:val="20"/>
        </w:rPr>
        <w:t>. V prvom polroku 2019 bolo postúpených 8 prípadov.</w:t>
      </w:r>
    </w:p>
    <w:p>
      <w:pPr>
        <w:spacing w:after="0"/>
        <w:rPr>
          <w:rFonts w:asciiTheme="majorHAnsi" w:eastAsiaTheme="minorHAnsi" w:hAnsiTheme="majorHAnsi" w:cstheme="minorBidi"/>
          <w:noProof/>
          <w:sz w:val="20"/>
        </w:rPr>
      </w:pPr>
      <w:r>
        <w:rPr>
          <w:rFonts w:asciiTheme="majorHAnsi" w:hAnsiTheme="majorHAnsi"/>
          <w:noProof/>
          <w:sz w:val="20"/>
        </w:rPr>
        <w:t>Komisia musí podávať správy aj o rozhodnutiach prijímaných povoľujúcimi úradníkmi</w:t>
      </w:r>
      <w:r>
        <w:rPr>
          <w:rStyle w:val="FootnoteReference"/>
          <w:rFonts w:asciiTheme="majorHAnsi" w:eastAsiaTheme="minorHAnsi" w:hAnsiTheme="majorHAnsi" w:cstheme="minorBidi"/>
          <w:noProof/>
          <w:sz w:val="20"/>
        </w:rPr>
        <w:footnoteReference w:id="76"/>
      </w:r>
      <w:r>
        <w:rPr>
          <w:rFonts w:asciiTheme="majorHAnsi" w:hAnsiTheme="majorHAnsi"/>
          <w:noProof/>
          <w:sz w:val="20"/>
        </w:rPr>
        <w:t>, ktoré sa týkajú:</w:t>
      </w:r>
    </w:p>
    <w:p>
      <w:pPr>
        <w:pStyle w:val="ListParagraph"/>
        <w:numPr>
          <w:ilvl w:val="0"/>
          <w:numId w:val="3"/>
        </w:numPr>
        <w:spacing w:before="0"/>
        <w:ind w:left="357" w:hanging="357"/>
        <w:contextualSpacing w:val="0"/>
        <w:rPr>
          <w:rFonts w:asciiTheme="majorHAnsi" w:eastAsiaTheme="minorHAnsi" w:hAnsiTheme="majorHAnsi" w:cstheme="minorBidi"/>
          <w:noProof/>
          <w:sz w:val="20"/>
        </w:rPr>
      </w:pPr>
      <w:r>
        <w:rPr>
          <w:rFonts w:asciiTheme="majorHAnsi" w:hAnsiTheme="majorHAnsi"/>
          <w:noProof/>
          <w:sz w:val="20"/>
        </w:rPr>
        <w:t>nevylúčenia hospodárskych subjektov, ak je to nevyhnutné na zabezpečenie pokračovania služby na obmedzené časové obdobie a do prijatia nápravných opatrení dotknutými hospodárskymi subjektmi,</w:t>
      </w:r>
    </w:p>
    <w:p>
      <w:pPr>
        <w:pStyle w:val="ListParagraph"/>
        <w:numPr>
          <w:ilvl w:val="0"/>
          <w:numId w:val="3"/>
        </w:numPr>
        <w:spacing w:before="0"/>
        <w:ind w:left="357" w:hanging="357"/>
        <w:contextualSpacing w:val="0"/>
        <w:rPr>
          <w:rFonts w:asciiTheme="majorHAnsi" w:eastAsiaTheme="minorHAnsi" w:hAnsiTheme="majorHAnsi" w:cstheme="minorBidi"/>
          <w:noProof/>
          <w:sz w:val="20"/>
        </w:rPr>
      </w:pPr>
      <w:r>
        <w:rPr>
          <w:rFonts w:asciiTheme="majorHAnsi" w:hAnsiTheme="majorHAnsi"/>
          <w:noProof/>
          <w:sz w:val="20"/>
        </w:rPr>
        <w:t>neuverejnenia informácií o správnych sankciách na webovom sídle Komisie, a to buď z dôvodu nevyhnutnosti zachovania dôvernosti vyšetrovania, alebo z dôvodu dodržania zásady proporcionality, ak ide o fyzickú osobu, a</w:t>
      </w:r>
    </w:p>
    <w:p>
      <w:pPr>
        <w:pStyle w:val="ListParagraph"/>
        <w:numPr>
          <w:ilvl w:val="0"/>
          <w:numId w:val="3"/>
        </w:numPr>
        <w:spacing w:before="0" w:after="240"/>
        <w:contextualSpacing w:val="0"/>
        <w:rPr>
          <w:rFonts w:asciiTheme="majorHAnsi" w:eastAsiaTheme="minorHAnsi" w:hAnsiTheme="majorHAnsi" w:cstheme="minorBidi"/>
          <w:noProof/>
          <w:sz w:val="20"/>
        </w:rPr>
      </w:pPr>
      <w:r>
        <w:rPr>
          <w:rFonts w:asciiTheme="majorHAnsi" w:hAnsiTheme="majorHAnsi"/>
          <w:noProof/>
          <w:sz w:val="20"/>
        </w:rPr>
        <w:t>všetkých rozhodnutí povoľujúceho úradníka, ktoré sa odchyľujú od odporúčaní výboru.</w:t>
      </w:r>
    </w:p>
    <w:p>
      <w:pPr>
        <w:spacing w:before="0" w:after="240"/>
        <w:rPr>
          <w:rFonts w:ascii="Cambria" w:hAnsi="Cambria"/>
          <w:noProof/>
          <w:sz w:val="20"/>
        </w:rPr>
      </w:pPr>
      <w:r>
        <w:rPr>
          <w:rFonts w:ascii="Cambria" w:hAnsi="Cambria"/>
          <w:noProof/>
          <w:sz w:val="20"/>
        </w:rPr>
        <w:t>Odkedy výbor v roku 2016 začal svoju činnosť, príslušní povoľujúci úradníci sa neodchýlili od žiadneho z jeho odporúčaní a v plnom rozsahu sa nimi riadili.</w:t>
      </w:r>
    </w:p>
    <w:p>
      <w:pPr>
        <w:rPr>
          <w:rFonts w:ascii="Cambria" w:hAnsi="Cambria"/>
          <w:noProof/>
          <w:sz w:val="20"/>
        </w:rPr>
      </w:pPr>
      <w:r>
        <w:rPr>
          <w:rFonts w:ascii="Cambria" w:hAnsi="Cambria"/>
          <w:noProof/>
          <w:sz w:val="20"/>
        </w:rPr>
        <w:t>V roku 2018 útvar Komisie pre vnútorný audit podrobil systém EDES auditu, ktorého výsledkom bolo pozitívne stanovisko k zavedenému systému. V nadväznosti na to Komisia zintenzívnila svoje úsilie o zvyšovanie povedomia o systéme EDES medzi internými</w:t>
      </w:r>
      <w:r>
        <w:rPr>
          <w:rStyle w:val="FootnoteReference"/>
          <w:rFonts w:ascii="Cambria" w:hAnsi="Cambria"/>
          <w:noProof/>
          <w:sz w:val="20"/>
        </w:rPr>
        <w:footnoteReference w:id="77"/>
      </w:r>
      <w:r>
        <w:rPr>
          <w:rFonts w:ascii="Cambria" w:hAnsi="Cambria"/>
          <w:noProof/>
          <w:sz w:val="20"/>
        </w:rPr>
        <w:t xml:space="preserve"> a externými zainteresovanými stranami</w:t>
      </w:r>
      <w:r>
        <w:rPr>
          <w:rStyle w:val="FootnoteReference"/>
          <w:rFonts w:ascii="Cambria" w:hAnsi="Cambria"/>
          <w:noProof/>
          <w:sz w:val="20"/>
        </w:rPr>
        <w:footnoteReference w:id="78"/>
      </w:r>
      <w:r>
        <w:rPr>
          <w:rFonts w:ascii="Cambria" w:hAnsi="Cambria"/>
          <w:noProof/>
          <w:sz w:val="20"/>
        </w:rPr>
        <w:t>. K tomu prispelo najmä:</w:t>
      </w:r>
    </w:p>
    <w:p>
      <w:pPr>
        <w:pStyle w:val="ListParagraph"/>
        <w:numPr>
          <w:ilvl w:val="0"/>
          <w:numId w:val="25"/>
        </w:numPr>
        <w:rPr>
          <w:rFonts w:ascii="Cambria" w:hAnsi="Cambria"/>
          <w:noProof/>
          <w:sz w:val="20"/>
          <w:szCs w:val="24"/>
        </w:rPr>
      </w:pPr>
      <w:r>
        <w:rPr>
          <w:rFonts w:ascii="Cambria" w:hAnsi="Cambria"/>
          <w:noProof/>
          <w:sz w:val="20"/>
        </w:rPr>
        <w:t>spustenie komunikačného plánu a prieskumu medzi zainteresovanými stranami,</w:t>
      </w:r>
    </w:p>
    <w:p>
      <w:pPr>
        <w:pStyle w:val="ListParagraph"/>
        <w:numPr>
          <w:ilvl w:val="0"/>
          <w:numId w:val="25"/>
        </w:numPr>
        <w:rPr>
          <w:rFonts w:ascii="Cambria" w:hAnsi="Cambria"/>
          <w:noProof/>
          <w:sz w:val="20"/>
          <w:szCs w:val="24"/>
        </w:rPr>
      </w:pPr>
      <w:r>
        <w:rPr>
          <w:rFonts w:ascii="Cambria" w:hAnsi="Cambria"/>
          <w:noProof/>
          <w:sz w:val="20"/>
        </w:rPr>
        <w:t>dôkladné monitorovanie systematických opatrení v súlade s odporúčaniami v spolupráci s úradom OLAF a</w:t>
      </w:r>
    </w:p>
    <w:p>
      <w:pPr>
        <w:pStyle w:val="ListParagraph"/>
        <w:numPr>
          <w:ilvl w:val="0"/>
          <w:numId w:val="24"/>
        </w:numPr>
        <w:rPr>
          <w:rFonts w:ascii="Cambria" w:hAnsi="Cambria"/>
          <w:noProof/>
          <w:sz w:val="20"/>
          <w:szCs w:val="24"/>
        </w:rPr>
      </w:pPr>
      <w:r>
        <w:rPr>
          <w:rFonts w:ascii="Cambria" w:hAnsi="Cambria"/>
          <w:noProof/>
          <w:sz w:val="20"/>
        </w:rPr>
        <w:t>začlenenie využívania systému EDES do stratégií generálnych riaditeľstiev Komisie týkajúcich sa boja proti podvodom.</w:t>
      </w:r>
    </w:p>
    <w:p>
      <w:pPr>
        <w:pStyle w:val="Heading1"/>
        <w:tabs>
          <w:tab w:val="clear" w:pos="1570"/>
          <w:tab w:val="num" w:pos="567"/>
        </w:tabs>
        <w:spacing w:before="0" w:after="240"/>
        <w:ind w:left="426" w:hanging="426"/>
        <w:rPr>
          <w:rFonts w:asciiTheme="majorHAnsi" w:hAnsiTheme="majorHAnsi"/>
          <w:noProof/>
          <w:color w:val="1F497D" w:themeColor="text2"/>
          <w:sz w:val="20"/>
        </w:rPr>
      </w:pPr>
      <w:bookmarkStart w:id="75" w:name="_Toc22547354"/>
      <w:r>
        <w:rPr>
          <w:rFonts w:asciiTheme="majorHAnsi" w:hAnsiTheme="majorHAnsi"/>
          <w:noProof/>
          <w:color w:val="1F497D" w:themeColor="text2"/>
          <w:sz w:val="20"/>
        </w:rPr>
        <w:t>Činnosti v nadväznosti na uznesenie Európskeho parlamentu o výročnej správe za rok 2017</w:t>
      </w:r>
      <w:bookmarkEnd w:id="75"/>
    </w:p>
    <w:p>
      <w:pPr>
        <w:rPr>
          <w:rFonts w:asciiTheme="majorHAnsi" w:hAnsiTheme="majorHAnsi"/>
          <w:noProof/>
          <w:sz w:val="20"/>
          <w:szCs w:val="22"/>
        </w:rPr>
      </w:pPr>
      <w:r>
        <w:rPr>
          <w:rFonts w:asciiTheme="majorHAnsi" w:hAnsiTheme="majorHAnsi"/>
          <w:noProof/>
          <w:sz w:val="20"/>
          <w:szCs w:val="22"/>
        </w:rPr>
        <w:t>Európsky parlament prijal 31. januára 2019 uznesenie o </w:t>
      </w:r>
      <w:r>
        <w:rPr>
          <w:rFonts w:asciiTheme="majorHAnsi" w:hAnsiTheme="majorHAnsi"/>
          <w:i/>
          <w:noProof/>
          <w:sz w:val="20"/>
          <w:szCs w:val="22"/>
        </w:rPr>
        <w:t>výročnej správe Komisie za rok 2017 o ochrane finančných záujmov EÚ a boji proti podvodom</w:t>
      </w:r>
      <w:r>
        <w:rPr>
          <w:rStyle w:val="FootnoteReference"/>
          <w:rFonts w:asciiTheme="majorHAnsi" w:hAnsiTheme="majorHAnsi"/>
          <w:i/>
          <w:noProof/>
          <w:sz w:val="20"/>
          <w:szCs w:val="22"/>
        </w:rPr>
        <w:footnoteReference w:id="79"/>
      </w:r>
      <w:r>
        <w:rPr>
          <w:rFonts w:asciiTheme="majorHAnsi" w:hAnsiTheme="majorHAnsi"/>
          <w:noProof/>
          <w:sz w:val="20"/>
          <w:szCs w:val="22"/>
        </w:rPr>
        <w:t>. Komisia uvítala uznesenie Európskeho parlamentu a vzala na vedomie, že Parlament uznal kroky Komisie v oblasti boja proti podvodom a podporil jej iniciatívy v tejto oblasti, najmä zriadenie Európskej prokuratúry a návrh Komisie na zmenu nariadenia č. 883/2013 o vyšetrovaniach úradu OLAF. Komisia sa bude môcť dôkladne zamerať na mnohé témy, ktoré Parlament nastolil, najmä výzvu na úzku spoluprácu medzi úradom OLAF a Európskou prokuratúrou. Komisia bude takisto naďalej vyzývať tie členské štáty, ktoré sa ešte nezúčastňujú na Európskej prokuratúre, aby sa pripojili, a zabezpečí, aby Európska prokuratúra mala dostatočné zdroje na vykonávanie svojho mandátu. Komisia vo svojej formálnej odpovedi, ktorá sa má zaslať koncom tohto roka, poskytne podrobné pripomienky k uzneseniu Parlamentu</w:t>
      </w:r>
      <w:r>
        <w:rPr>
          <w:rStyle w:val="FootnoteReference"/>
          <w:rFonts w:asciiTheme="majorHAnsi" w:hAnsiTheme="majorHAnsi"/>
          <w:noProof/>
          <w:sz w:val="20"/>
          <w:szCs w:val="22"/>
        </w:rPr>
        <w:footnoteReference w:id="80"/>
      </w:r>
      <w:r>
        <w:rPr>
          <w:rFonts w:asciiTheme="majorHAnsi" w:hAnsiTheme="majorHAnsi"/>
          <w:noProof/>
          <w:sz w:val="20"/>
          <w:szCs w:val="22"/>
        </w:rPr>
        <w:t>.</w:t>
      </w:r>
    </w:p>
    <w:p>
      <w:pPr>
        <w:pStyle w:val="Heading1"/>
        <w:tabs>
          <w:tab w:val="clear" w:pos="1570"/>
          <w:tab w:val="num" w:pos="567"/>
        </w:tabs>
        <w:spacing w:before="0"/>
        <w:ind w:left="425" w:hanging="425"/>
        <w:rPr>
          <w:rFonts w:asciiTheme="majorHAnsi" w:hAnsiTheme="majorHAnsi"/>
          <w:noProof/>
          <w:color w:val="1F497D" w:themeColor="text2"/>
          <w:sz w:val="20"/>
        </w:rPr>
      </w:pPr>
      <w:bookmarkStart w:id="76" w:name="_Toc22547355"/>
      <w:r>
        <w:rPr>
          <w:rFonts w:asciiTheme="majorHAnsi" w:hAnsiTheme="majorHAnsi"/>
          <w:noProof/>
          <w:color w:val="1F497D" w:themeColor="text2"/>
          <w:sz w:val="20"/>
        </w:rPr>
        <w:t>Závery a odporúčania</w:t>
      </w:r>
      <w:bookmarkEnd w:id="76"/>
    </w:p>
    <w:p>
      <w:pPr>
        <w:pStyle w:val="Heading2"/>
        <w:tabs>
          <w:tab w:val="clear" w:pos="850"/>
          <w:tab w:val="num" w:pos="567"/>
        </w:tabs>
        <w:spacing w:before="0"/>
        <w:ind w:left="425" w:hanging="425"/>
        <w:rPr>
          <w:rFonts w:asciiTheme="majorHAnsi" w:hAnsiTheme="majorHAnsi"/>
          <w:noProof/>
          <w:color w:val="1F497D" w:themeColor="text2"/>
          <w:sz w:val="20"/>
        </w:rPr>
      </w:pPr>
      <w:bookmarkStart w:id="77" w:name="_Toc22547356"/>
      <w:r>
        <w:rPr>
          <w:rFonts w:asciiTheme="majorHAnsi" w:hAnsiTheme="majorHAnsi"/>
          <w:noProof/>
          <w:color w:val="1F497D" w:themeColor="text2"/>
          <w:sz w:val="20"/>
        </w:rPr>
        <w:t>Príjmy</w:t>
      </w:r>
      <w:bookmarkEnd w:id="77"/>
    </w:p>
    <w:p>
      <w:pPr>
        <w:spacing w:before="0"/>
        <w:rPr>
          <w:rFonts w:ascii="Cambria" w:hAnsi="Cambria"/>
          <w:noProof/>
          <w:sz w:val="20"/>
          <w:szCs w:val="20"/>
        </w:rPr>
      </w:pPr>
      <w:r>
        <w:rPr>
          <w:rFonts w:ascii="Cambria" w:hAnsi="Cambria"/>
          <w:noProof/>
          <w:sz w:val="20"/>
          <w:szCs w:val="20"/>
        </w:rPr>
        <w:t>V roku 2018 boli solárne panely tovarom, ktorého sa najviac dotkli podvody a nezrovnalosti z finančného hľadiska, rovnako ako to bolo v roku 2017 a 2016. Komisia v roku 2018 v niekoľkých členských štátoch vykonala kontroly na mieste týkajúce sa stratégie kontroly solárnych panelov z dôvodu možných rizík (únik vysokých antidumpingových ciel) a rôznych oznámení o vzájomnej pomoci, ktoré OLAF vydal v uplynulých rokoch. Informovanosť členských štátov o zraniteľnosti dovozu solárnych panelov voči podvodom a nezrovnalostiam sa zvýšila, čo v roku 2018 viedlo k ďalším kontrolám zo strany členských štátov. To iba poukazuje na význam vyšetrovaní vedených úradom OLAF a na jeho koordinačnú úlohu v tejto konkrétnej oblasti.</w:t>
      </w:r>
    </w:p>
    <w:p>
      <w:pPr>
        <w:spacing w:before="0"/>
        <w:rPr>
          <w:rFonts w:ascii="Cambria" w:hAnsi="Cambria"/>
          <w:noProof/>
          <w:sz w:val="20"/>
          <w:szCs w:val="20"/>
        </w:rPr>
      </w:pPr>
      <w:r>
        <w:rPr>
          <w:rFonts w:ascii="Cambria" w:hAnsi="Cambria"/>
          <w:noProof/>
          <w:sz w:val="20"/>
          <w:szCs w:val="20"/>
        </w:rPr>
        <w:t>Podvody v oblasti príjmov spočívajúce v podhodnotení tovaru dovážaného do EÚ budú v nasledujúcich rokoch naďalej predstavovať hrozbu. Z vyšetrovaní úradu OLAF týkajúcich sa podhodnotenia textilu a obuvi dovážaných z Číny vyplynulo, že podvodníci budú využívať všetky nedostatky a že rozsiahle podvody sa môžu vyplácať.</w:t>
      </w:r>
    </w:p>
    <w:p>
      <w:pPr>
        <w:spacing w:before="0"/>
        <w:rPr>
          <w:rFonts w:ascii="Cambria" w:hAnsi="Cambria"/>
          <w:noProof/>
          <w:sz w:val="20"/>
          <w:szCs w:val="20"/>
        </w:rPr>
      </w:pPr>
      <w:r>
        <w:rPr>
          <w:rFonts w:ascii="Cambria" w:hAnsi="Cambria"/>
          <w:noProof/>
          <w:sz w:val="20"/>
          <w:szCs w:val="20"/>
        </w:rPr>
        <w:t>Digitalizácia globálneho hospodárstva a nové ekonomické modely, ako je elektronický obchod, rýchlo pretvárajú podobu cezhraničného obchodu z malého počtu veľkých/hromadných zásielok na veľké množstvo zásielok s nízkou hodnotou a malých zásielok.</w:t>
      </w:r>
    </w:p>
    <w:p>
      <w:pPr>
        <w:autoSpaceDE w:val="0"/>
        <w:autoSpaceDN w:val="0"/>
        <w:adjustRightInd w:val="0"/>
        <w:rPr>
          <w:rFonts w:ascii="Cambria" w:hAnsi="Cambria"/>
          <w:noProof/>
          <w:sz w:val="20"/>
          <w:szCs w:val="20"/>
        </w:rPr>
      </w:pPr>
      <w:r>
        <w:rPr>
          <w:rFonts w:ascii="Cambria" w:hAnsi="Cambria"/>
          <w:noProof/>
          <w:sz w:val="20"/>
          <w:szCs w:val="20"/>
        </w:rPr>
        <w:t>Cezhraničný elektronický obchod s tovarom predstavuje riziko pre finančné záujmy EÚ a pre členské štáty. Osobitným rizikom je zneužitie oslobodení zásielok s nízkou hodnotou od cla: i) podhodnotením tovaru v elektronickom obchode; ii) rozdelením zásielok tak, aby ich hodnota bola pod prahom oslobodenia (150 EUR); iii) dovozom obchodných zásielok deklarovaných ako dary alebo (iv) dovozom tovaru, ktorý nie je oprávnený na oslobodenie.</w:t>
      </w:r>
    </w:p>
    <w:p>
      <w:pPr>
        <w:autoSpaceDE w:val="0"/>
        <w:autoSpaceDN w:val="0"/>
        <w:adjustRightInd w:val="0"/>
        <w:rPr>
          <w:rFonts w:ascii="Cambria" w:hAnsi="Cambria"/>
          <w:noProof/>
          <w:sz w:val="20"/>
          <w:szCs w:val="20"/>
        </w:rPr>
      </w:pPr>
      <w:r>
        <w:rPr>
          <w:rFonts w:ascii="Cambria" w:hAnsi="Cambria"/>
          <w:noProof/>
          <w:sz w:val="20"/>
          <w:szCs w:val="20"/>
        </w:rPr>
        <w:t>Rastúci elektronický obchod si vyžaduje, aby členské štáty upravili svoje stratégie colnej kontroly s cieľom dosiahnuť správnu rovnováhu medzi uľahčením/zjednodušením obchodu a ochranou finančných záujmov EÚ.</w:t>
      </w:r>
    </w:p>
    <w:p>
      <w:pPr>
        <w:spacing w:before="0"/>
        <w:rPr>
          <w:rFonts w:asciiTheme="majorHAnsi" w:hAnsiTheme="majorHAnsi"/>
          <w:noProof/>
          <w:sz w:val="20"/>
          <w:szCs w:val="20"/>
        </w:rPr>
      </w:pPr>
      <w:r>
        <w:rPr>
          <w:rFonts w:ascii="Cambria" w:hAnsi="Cambria"/>
          <w:noProof/>
          <w:sz w:val="20"/>
          <w:szCs w:val="20"/>
        </w:rPr>
        <w:t>Flexibilná kombinácia jednotlivých kontrol má preto zásadný význam z hľadiska odstránenia všetkých nedostatkov, ktoré podvodníci zneužívajú, a umožnenia colným orgánom úspešne reagovať na rôzne hospodárske modely uplatňované prostredníctvom technológií (ako je elektronický obchod) a účinne chrániť finančné záujmy EÚ a zároveň zabezpečovať uľahčenie a zjednodušenie obchodu.</w:t>
      </w:r>
    </w:p>
    <w:p>
      <w:pPr>
        <w:shd w:val="clear" w:color="auto" w:fill="DBE5F1" w:themeFill="accent1" w:themeFillTint="33"/>
        <w:spacing w:before="0"/>
        <w:rPr>
          <w:rFonts w:asciiTheme="majorHAnsi" w:hAnsiTheme="majorHAnsi"/>
          <w:b/>
          <w:noProof/>
          <w:sz w:val="20"/>
          <w:szCs w:val="20"/>
        </w:rPr>
      </w:pPr>
      <w:r>
        <w:rPr>
          <w:rFonts w:asciiTheme="majorHAnsi" w:hAnsiTheme="majorHAnsi"/>
          <w:b/>
          <w:noProof/>
          <w:sz w:val="20"/>
          <w:szCs w:val="20"/>
        </w:rPr>
        <w:t>Odporúčanie 1</w:t>
      </w:r>
    </w:p>
    <w:p>
      <w:pPr>
        <w:shd w:val="clear" w:color="auto" w:fill="DBE5F1" w:themeFill="accent1" w:themeFillTint="33"/>
        <w:spacing w:before="0"/>
        <w:rPr>
          <w:rFonts w:asciiTheme="majorHAnsi" w:hAnsiTheme="majorHAnsi"/>
          <w:b/>
          <w:noProof/>
          <w:sz w:val="20"/>
          <w:szCs w:val="20"/>
        </w:rPr>
      </w:pPr>
      <w:r>
        <w:rPr>
          <w:rFonts w:asciiTheme="majorHAnsi" w:hAnsiTheme="majorHAnsi"/>
          <w:b/>
          <w:noProof/>
          <w:sz w:val="20"/>
          <w:szCs w:val="20"/>
        </w:rPr>
        <w:t>Od členských štátov sa požaduje, aby posilnili a presadzovali svoje stratégie colnej kontroly v prípade cezhraničného elektronického obchodu, najmä so zreteľom na možné zneužitie oslobodení zásielok s nízkou hodnotou od cla, a aby zabezpečili správny výber TVZ.</w:t>
      </w:r>
    </w:p>
    <w:p>
      <w:pPr>
        <w:shd w:val="clear" w:color="auto" w:fill="DBE5F1" w:themeFill="accent1" w:themeFillTint="33"/>
        <w:spacing w:before="0"/>
        <w:rPr>
          <w:rFonts w:asciiTheme="majorHAnsi" w:hAnsiTheme="majorHAnsi"/>
          <w:b/>
          <w:noProof/>
          <w:sz w:val="20"/>
          <w:szCs w:val="20"/>
        </w:rPr>
      </w:pPr>
      <w:r>
        <w:rPr>
          <w:rFonts w:asciiTheme="majorHAnsi" w:hAnsiTheme="majorHAnsi"/>
          <w:b/>
          <w:noProof/>
          <w:sz w:val="20"/>
          <w:szCs w:val="20"/>
        </w:rPr>
        <w:t>Členské štáty preto musia zabezpečiť, aby:</w:t>
      </w:r>
    </w:p>
    <w:p>
      <w:pPr>
        <w:pStyle w:val="ListParagraph"/>
        <w:numPr>
          <w:ilvl w:val="0"/>
          <w:numId w:val="13"/>
        </w:numPr>
        <w:shd w:val="clear" w:color="auto" w:fill="DBE5F1" w:themeFill="accent1" w:themeFillTint="33"/>
        <w:spacing w:before="0"/>
        <w:rPr>
          <w:rFonts w:asciiTheme="majorHAnsi" w:hAnsiTheme="majorHAnsi"/>
          <w:b/>
          <w:noProof/>
          <w:sz w:val="20"/>
          <w:szCs w:val="20"/>
        </w:rPr>
      </w:pPr>
      <w:r>
        <w:rPr>
          <w:rFonts w:asciiTheme="majorHAnsi" w:hAnsiTheme="majorHAnsi"/>
          <w:b/>
          <w:noProof/>
          <w:sz w:val="20"/>
          <w:szCs w:val="20"/>
        </w:rPr>
        <w:t>elektronické systémy colných vyhlásení (ďalej len „ECS“) automaticky neuplatňovali požadované oslobodenie od cla na tovar s deklarovanou vnútornou hodnotou nad 150 EUR, na obchodné zásielky deklarované ako dary a na tovar, ktorý nie je oprávnený na oslobodenie,</w:t>
      </w:r>
    </w:p>
    <w:p>
      <w:pPr>
        <w:pStyle w:val="ListParagraph"/>
        <w:numPr>
          <w:ilvl w:val="0"/>
          <w:numId w:val="13"/>
        </w:numPr>
        <w:shd w:val="clear" w:color="auto" w:fill="DBE5F1" w:themeFill="accent1" w:themeFillTint="33"/>
        <w:spacing w:before="0"/>
        <w:rPr>
          <w:rFonts w:asciiTheme="majorHAnsi" w:hAnsiTheme="majorHAnsi"/>
          <w:b/>
          <w:noProof/>
          <w:sz w:val="20"/>
          <w:szCs w:val="20"/>
        </w:rPr>
      </w:pPr>
      <w:r>
        <w:rPr>
          <w:rFonts w:asciiTheme="majorHAnsi" w:hAnsiTheme="majorHAnsi"/>
          <w:b/>
          <w:noProof/>
          <w:sz w:val="20"/>
          <w:szCs w:val="20"/>
        </w:rPr>
        <w:t>ECS systematicky zisťovali potenciálne podhodnotené alebo nesprávne deklarované tovary so zreteľom na oslobodenie zásielok s nízkou hodnotou od cla pomocou rizikových profilov alebo náhodne,</w:t>
      </w:r>
    </w:p>
    <w:p>
      <w:pPr>
        <w:pStyle w:val="ListParagraph"/>
        <w:numPr>
          <w:ilvl w:val="0"/>
          <w:numId w:val="13"/>
        </w:numPr>
        <w:shd w:val="clear" w:color="auto" w:fill="DBE5F1" w:themeFill="accent1" w:themeFillTint="33"/>
        <w:spacing w:before="0"/>
        <w:rPr>
          <w:rFonts w:asciiTheme="majorHAnsi" w:hAnsiTheme="majorHAnsi"/>
          <w:b/>
          <w:noProof/>
          <w:sz w:val="20"/>
          <w:szCs w:val="20"/>
        </w:rPr>
      </w:pPr>
      <w:r>
        <w:rPr>
          <w:rFonts w:asciiTheme="majorHAnsi" w:hAnsiTheme="majorHAnsi"/>
          <w:b/>
          <w:noProof/>
          <w:sz w:val="20"/>
          <w:szCs w:val="20"/>
        </w:rPr>
        <w:t>sa zaviedli osobitné kontrolné opatrenia na zabránenie umelému rozdeľovaniu zásielok, ktorého cieľom je zneužiť oslobodenie od cla, a</w:t>
      </w:r>
    </w:p>
    <w:p>
      <w:pPr>
        <w:pStyle w:val="ListParagraph"/>
        <w:numPr>
          <w:ilvl w:val="0"/>
          <w:numId w:val="13"/>
        </w:numPr>
        <w:shd w:val="clear" w:color="auto" w:fill="DBE5F1" w:themeFill="accent1" w:themeFillTint="33"/>
        <w:spacing w:before="0"/>
        <w:rPr>
          <w:rFonts w:asciiTheme="majorHAnsi" w:hAnsiTheme="majorHAnsi"/>
          <w:b/>
          <w:noProof/>
          <w:sz w:val="20"/>
          <w:szCs w:val="20"/>
        </w:rPr>
      </w:pPr>
      <w:r>
        <w:rPr>
          <w:rFonts w:asciiTheme="majorHAnsi" w:hAnsiTheme="majorHAnsi"/>
          <w:b/>
          <w:noProof/>
          <w:sz w:val="20"/>
          <w:szCs w:val="20"/>
        </w:rPr>
        <w:t xml:space="preserve">kontroly </w:t>
      </w:r>
      <w:r>
        <w:rPr>
          <w:rFonts w:asciiTheme="majorHAnsi" w:hAnsiTheme="majorHAnsi"/>
          <w:b/>
          <w:i/>
          <w:iCs/>
          <w:noProof/>
          <w:sz w:val="20"/>
          <w:szCs w:val="20"/>
        </w:rPr>
        <w:t>ex post</w:t>
      </w:r>
      <w:r>
        <w:rPr>
          <w:rFonts w:asciiTheme="majorHAnsi" w:hAnsiTheme="majorHAnsi"/>
          <w:b/>
          <w:noProof/>
          <w:sz w:val="20"/>
          <w:szCs w:val="20"/>
        </w:rPr>
        <w:t xml:space="preserve"> zahŕňali overovanie dodržiavania colných oslobodení zo strany obchodníkov pri zásielkach s nízkou hodnotou a aby z týchto kontrol súladu neboli vylúčené schválené hospodárske subjekty.</w:t>
      </w:r>
    </w:p>
    <w:p>
      <w:pPr>
        <w:pStyle w:val="Heading2"/>
        <w:tabs>
          <w:tab w:val="clear" w:pos="850"/>
          <w:tab w:val="num" w:pos="567"/>
        </w:tabs>
        <w:spacing w:before="0" w:after="240"/>
        <w:ind w:left="426" w:hanging="426"/>
        <w:rPr>
          <w:rFonts w:asciiTheme="majorHAnsi" w:hAnsiTheme="majorHAnsi"/>
          <w:noProof/>
          <w:color w:val="1F497D" w:themeColor="text2"/>
          <w:sz w:val="20"/>
        </w:rPr>
      </w:pPr>
      <w:bookmarkStart w:id="78" w:name="_Toc22547357"/>
      <w:r>
        <w:rPr>
          <w:rFonts w:asciiTheme="majorHAnsi" w:hAnsiTheme="majorHAnsi"/>
          <w:noProof/>
          <w:color w:val="1F497D" w:themeColor="text2"/>
          <w:sz w:val="20"/>
        </w:rPr>
        <w:t>Výdavky</w:t>
      </w:r>
      <w:bookmarkEnd w:id="78"/>
    </w:p>
    <w:p>
      <w:pPr>
        <w:spacing w:before="0" w:after="80"/>
        <w:rPr>
          <w:rFonts w:asciiTheme="majorHAnsi" w:hAnsiTheme="majorHAnsi"/>
          <w:noProof/>
          <w:sz w:val="20"/>
        </w:rPr>
      </w:pPr>
      <w:r>
        <w:rPr>
          <w:rFonts w:asciiTheme="majorHAnsi" w:hAnsiTheme="majorHAnsi"/>
          <w:noProof/>
          <w:sz w:val="20"/>
        </w:rPr>
        <w:t>Hlavné zistenia analýzy tejto správy potvrdzujú najvýznamnejšie trendy a závery uvedené v predchádzajúcich správach.</w:t>
      </w:r>
    </w:p>
    <w:p>
      <w:pPr>
        <w:spacing w:before="0" w:after="80"/>
        <w:rPr>
          <w:rFonts w:asciiTheme="majorHAnsi" w:hAnsiTheme="majorHAnsi"/>
          <w:noProof/>
          <w:sz w:val="20"/>
        </w:rPr>
      </w:pPr>
      <w:r>
        <w:rPr>
          <w:rFonts w:asciiTheme="majorHAnsi" w:hAnsiTheme="majorHAnsi"/>
          <w:noProof/>
          <w:sz w:val="20"/>
        </w:rPr>
        <w:t>Pokiaľ ide o výdavky na poľnohospodárstvo, hlavnými príslušnými opatreniami sú trhové opatrenia a investície do rozvoja vidieka. Pokiaľ ide o priame platby, na miestnej úrovni sa môžu vyskytnúť špecifické problémy a je potrebné, aby ich príslušné vnútroštátne orgány správne a rýchlo riešili.</w:t>
      </w:r>
    </w:p>
    <w:p>
      <w:pPr>
        <w:spacing w:before="0" w:after="80"/>
        <w:rPr>
          <w:rFonts w:asciiTheme="majorHAnsi" w:hAnsiTheme="majorHAnsi"/>
          <w:noProof/>
          <w:sz w:val="20"/>
        </w:rPr>
      </w:pPr>
      <w:r>
        <w:rPr>
          <w:rFonts w:asciiTheme="majorHAnsi" w:hAnsiTheme="majorHAnsi"/>
          <w:noProof/>
          <w:sz w:val="20"/>
        </w:rPr>
        <w:t>Pokiaľ ide o politiku súdržnosti, zaznamenal sa pokrok, a to najmä v súčasnom programovom období. Nové ustanovenia o boji proti podvodom uvedené v nariadení č. 1303/2013 ukazujú sľubné výsledky, pretože zjavne zlepšujú odhaľovanie podvodov, zatiaľ čo počet nepodvodných nezrovnalostí podľa všetkého klesá. Komisia bude naďalej sledovať tieto výsledky s cieľom posúdiť, či sú skutočne dôsledkom účinnejších systémov, a nie nedostatočného odhaľovania a nedostatočného oznamovania (najmä v prípade nepodvodných nezrovnalostí).</w:t>
      </w:r>
    </w:p>
    <w:p>
      <w:pPr>
        <w:shd w:val="clear" w:color="auto" w:fill="DBE5F1" w:themeFill="accent1" w:themeFillTint="33"/>
        <w:spacing w:before="0"/>
        <w:rPr>
          <w:rFonts w:asciiTheme="majorHAnsi" w:hAnsiTheme="majorHAnsi"/>
          <w:b/>
          <w:noProof/>
          <w:sz w:val="20"/>
          <w:szCs w:val="20"/>
        </w:rPr>
      </w:pPr>
      <w:r>
        <w:rPr>
          <w:rFonts w:asciiTheme="majorHAnsi" w:hAnsiTheme="majorHAnsi"/>
          <w:b/>
          <w:noProof/>
          <w:sz w:val="20"/>
          <w:szCs w:val="20"/>
        </w:rPr>
        <w:t>Odporúčanie 2</w:t>
      </w:r>
    </w:p>
    <w:p>
      <w:pPr>
        <w:shd w:val="clear" w:color="auto" w:fill="DBE5F1" w:themeFill="accent1" w:themeFillTint="33"/>
        <w:spacing w:before="0" w:after="80"/>
        <w:rPr>
          <w:rFonts w:asciiTheme="majorHAnsi" w:hAnsiTheme="majorHAnsi"/>
          <w:b/>
          <w:noProof/>
          <w:sz w:val="20"/>
          <w:szCs w:val="20"/>
        </w:rPr>
      </w:pPr>
      <w:r>
        <w:rPr>
          <w:rFonts w:asciiTheme="majorHAnsi" w:hAnsiTheme="majorHAnsi"/>
          <w:b/>
          <w:noProof/>
          <w:sz w:val="20"/>
          <w:szCs w:val="20"/>
        </w:rPr>
        <w:t>Komisia opakuje, že by bolo vhodné, keby členské štáty, ktoré tak ešte neurobili, prijali národné stratégie pre boj proti podvodom.</w:t>
      </w:r>
    </w:p>
    <w:p>
      <w:pPr>
        <w:shd w:val="clear" w:color="auto" w:fill="DBE5F1" w:themeFill="accent1" w:themeFillTint="33"/>
        <w:spacing w:before="0" w:after="80"/>
        <w:rPr>
          <w:rFonts w:asciiTheme="majorHAnsi" w:hAnsiTheme="majorHAnsi"/>
          <w:b/>
          <w:noProof/>
          <w:sz w:val="20"/>
          <w:szCs w:val="20"/>
        </w:rPr>
      </w:pPr>
      <w:r>
        <w:rPr>
          <w:rFonts w:asciiTheme="majorHAnsi" w:hAnsiTheme="majorHAnsi"/>
          <w:b/>
          <w:noProof/>
          <w:sz w:val="20"/>
          <w:szCs w:val="20"/>
        </w:rPr>
        <w:t>Tieto stratégie by sa mali rozvíjať v spolupráci so všetkými útvarmi a orgánmi, ktoré majú osobitnú úlohu a odborné znalosti v oblasti ochrany finančných záujmov EÚ vrátane orgánov presadzovania práva a prokuratúry.</w:t>
      </w:r>
    </w:p>
    <w:p>
      <w:pPr>
        <w:shd w:val="clear" w:color="auto" w:fill="DBE5F1" w:themeFill="accent1" w:themeFillTint="33"/>
        <w:spacing w:before="0" w:after="80"/>
        <w:rPr>
          <w:rFonts w:asciiTheme="majorHAnsi" w:hAnsiTheme="majorHAnsi"/>
          <w:b/>
          <w:noProof/>
          <w:sz w:val="20"/>
          <w:szCs w:val="20"/>
        </w:rPr>
      </w:pPr>
      <w:r>
        <w:rPr>
          <w:rFonts w:asciiTheme="majorHAnsi" w:hAnsiTheme="majorHAnsi"/>
          <w:b/>
          <w:noProof/>
          <w:sz w:val="20"/>
          <w:szCs w:val="20"/>
        </w:rPr>
        <w:t>V súlade s odporúčaniami z predchádzajúcich rokov by sa v týchto stratégiách mali zohľadniť:</w:t>
      </w:r>
    </w:p>
    <w:p>
      <w:pPr>
        <w:pStyle w:val="ListParagraph"/>
        <w:numPr>
          <w:ilvl w:val="0"/>
          <w:numId w:val="23"/>
        </w:numPr>
        <w:shd w:val="clear" w:color="auto" w:fill="DBE5F1" w:themeFill="accent1" w:themeFillTint="33"/>
        <w:spacing w:before="0" w:after="240"/>
        <w:ind w:left="426" w:hanging="426"/>
        <w:rPr>
          <w:rFonts w:asciiTheme="majorHAnsi" w:hAnsiTheme="majorHAnsi"/>
          <w:b/>
          <w:noProof/>
          <w:sz w:val="20"/>
          <w:szCs w:val="20"/>
        </w:rPr>
      </w:pPr>
      <w:r>
        <w:rPr>
          <w:rFonts w:asciiTheme="majorHAnsi" w:hAnsiTheme="majorHAnsi"/>
          <w:b/>
          <w:noProof/>
          <w:sz w:val="20"/>
          <w:szCs w:val="20"/>
        </w:rPr>
        <w:t>závery analýzy rizík obsiahnuté v tejto správe a predchádzajúcich správach,</w:t>
      </w:r>
    </w:p>
    <w:p>
      <w:pPr>
        <w:pStyle w:val="ListParagraph"/>
        <w:numPr>
          <w:ilvl w:val="0"/>
          <w:numId w:val="23"/>
        </w:numPr>
        <w:shd w:val="clear" w:color="auto" w:fill="DBE5F1" w:themeFill="accent1" w:themeFillTint="33"/>
        <w:spacing w:before="0" w:after="240"/>
        <w:ind w:left="426" w:hanging="426"/>
        <w:rPr>
          <w:rFonts w:asciiTheme="majorHAnsi" w:hAnsiTheme="majorHAnsi"/>
          <w:b/>
          <w:noProof/>
          <w:sz w:val="20"/>
          <w:szCs w:val="20"/>
        </w:rPr>
      </w:pPr>
      <w:r>
        <w:rPr>
          <w:rFonts w:asciiTheme="majorHAnsi" w:hAnsiTheme="majorHAnsi"/>
          <w:b/>
          <w:noProof/>
          <w:sz w:val="20"/>
          <w:szCs w:val="20"/>
        </w:rPr>
        <w:t>potreba štrukturalizovať koordináciu medzi správnymi a trestnoprávnymi kontrolami a vyšetrovaniami,</w:t>
      </w:r>
    </w:p>
    <w:p>
      <w:pPr>
        <w:pStyle w:val="ListParagraph"/>
        <w:numPr>
          <w:ilvl w:val="0"/>
          <w:numId w:val="23"/>
        </w:numPr>
        <w:shd w:val="clear" w:color="auto" w:fill="DBE5F1" w:themeFill="accent1" w:themeFillTint="33"/>
        <w:spacing w:before="0" w:after="240"/>
        <w:ind w:left="426" w:hanging="426"/>
        <w:rPr>
          <w:rFonts w:asciiTheme="majorHAnsi" w:hAnsiTheme="majorHAnsi"/>
          <w:b/>
          <w:noProof/>
          <w:sz w:val="20"/>
          <w:szCs w:val="20"/>
        </w:rPr>
      </w:pPr>
      <w:r>
        <w:rPr>
          <w:rFonts w:asciiTheme="majorHAnsi" w:hAnsiTheme="majorHAnsi"/>
          <w:b/>
          <w:noProof/>
          <w:sz w:val="20"/>
          <w:szCs w:val="20"/>
        </w:rPr>
        <w:t>spôsoby, ako začleniť tipy z médií a od oznamovateľov do kontrolného systému, a</w:t>
      </w:r>
    </w:p>
    <w:p>
      <w:pPr>
        <w:pStyle w:val="ListParagraph"/>
        <w:numPr>
          <w:ilvl w:val="0"/>
          <w:numId w:val="23"/>
        </w:numPr>
        <w:shd w:val="clear" w:color="auto" w:fill="DBE5F1" w:themeFill="accent1" w:themeFillTint="33"/>
        <w:spacing w:before="0"/>
        <w:ind w:left="425" w:hanging="425"/>
        <w:rPr>
          <w:rFonts w:asciiTheme="majorHAnsi" w:hAnsiTheme="majorHAnsi"/>
          <w:b/>
          <w:noProof/>
          <w:sz w:val="20"/>
          <w:szCs w:val="20"/>
        </w:rPr>
      </w:pPr>
      <w:r>
        <w:rPr>
          <w:rFonts w:asciiTheme="majorHAnsi" w:hAnsiTheme="majorHAnsi"/>
          <w:b/>
          <w:noProof/>
          <w:sz w:val="20"/>
          <w:szCs w:val="20"/>
        </w:rPr>
        <w:t>príležitosti na posilnenie prístupu založeného na analýze rizika s cieľom odhaliť nezrovnalosti a podvody vrátane použitia IT nástrojov (napríklad ARACHNE).</w:t>
      </w:r>
    </w:p>
    <w:p>
      <w:pPr>
        <w:pStyle w:val="Heading2"/>
        <w:tabs>
          <w:tab w:val="clear" w:pos="850"/>
          <w:tab w:val="num" w:pos="567"/>
        </w:tabs>
        <w:spacing w:before="0" w:after="160"/>
        <w:ind w:left="425" w:hanging="425"/>
        <w:rPr>
          <w:rFonts w:asciiTheme="majorHAnsi" w:hAnsiTheme="majorHAnsi"/>
          <w:noProof/>
          <w:color w:val="1F497D" w:themeColor="text2"/>
          <w:sz w:val="20"/>
        </w:rPr>
      </w:pPr>
      <w:bookmarkStart w:id="79" w:name="_Toc22547358"/>
      <w:r>
        <w:rPr>
          <w:rFonts w:asciiTheme="majorHAnsi" w:hAnsiTheme="majorHAnsi"/>
          <w:noProof/>
          <w:color w:val="1F497D" w:themeColor="text2"/>
          <w:sz w:val="20"/>
        </w:rPr>
        <w:t>Pohľad do budúcnosti</w:t>
      </w:r>
      <w:bookmarkEnd w:id="79"/>
    </w:p>
    <w:p>
      <w:pPr>
        <w:spacing w:before="0" w:after="80"/>
        <w:rPr>
          <w:rFonts w:asciiTheme="majorHAnsi" w:hAnsiTheme="majorHAnsi"/>
          <w:noProof/>
          <w:sz w:val="20"/>
        </w:rPr>
      </w:pPr>
      <w:r>
        <w:rPr>
          <w:rFonts w:asciiTheme="majorHAnsi" w:hAnsiTheme="majorHAnsi"/>
          <w:noProof/>
          <w:sz w:val="20"/>
        </w:rPr>
        <w:t>Komisia, spoluzákonodarcovia a členské štáty neustále zdokonaľujú regulačný rámec, prostredníctvom ktorého sa chráni európsky rozpočet. Zámerom tejto správy je ilustrovať tento prebiehajúci proces a výrazný pokrok, ktorý sa dosiahol v priebehu troch desaťročí spoločnej práce a úsilia. Počas pôsobenia Junckerovej Komisie sa tento proces ešte urýchlil. Hlavné iniciatívy sa zavŕšili a dosiahli sa operatívne výsledky, ktoré svedčia o nepretržitom úsilí o riešenie vznikajúcich problémov a rizík.</w:t>
      </w:r>
    </w:p>
    <w:p>
      <w:pPr>
        <w:spacing w:before="0" w:after="80"/>
        <w:rPr>
          <w:rFonts w:asciiTheme="majorHAnsi" w:hAnsiTheme="majorHAnsi"/>
          <w:noProof/>
          <w:sz w:val="20"/>
        </w:rPr>
      </w:pPr>
      <w:r>
        <w:rPr>
          <w:rFonts w:asciiTheme="majorHAnsi" w:hAnsiTheme="majorHAnsi"/>
          <w:noProof/>
          <w:sz w:val="20"/>
        </w:rPr>
        <w:t>Tento proces pokračuje aj v roku 2019, v ktorom spoluzákonodarcovia dokončujú prijímanie ďalších dôležitých legislatívnych iniciatív, ktoré ďalej posilnia rámec boja proti podvodom, konkrétne smernice o ochrane oznamovateľov a smernice o predchádzaní praniu špinavých peňazí.</w:t>
      </w:r>
    </w:p>
    <w:p>
      <w:pPr>
        <w:spacing w:before="0" w:after="80"/>
        <w:rPr>
          <w:rFonts w:asciiTheme="majorHAnsi" w:hAnsiTheme="majorHAnsi"/>
          <w:noProof/>
          <w:sz w:val="20"/>
        </w:rPr>
      </w:pPr>
      <w:r>
        <w:rPr>
          <w:rFonts w:asciiTheme="majorHAnsi" w:hAnsiTheme="majorHAnsi"/>
          <w:noProof/>
          <w:sz w:val="20"/>
        </w:rPr>
        <w:t>Pokiaľ ide o ochranu finančných záujmov EÚ v teréne, výročná správa EDA svedčí o významných zlepšeniach za posledné roky, pričom niektoré oblasti politiky vykazujú mieru chybovosti pod úrovňou závažnosti. Dvor audítorov predložil kvalifikované stanovisko k rozpočtu EÚ na dva po sebe nasledujúce roky (2016 a 2017).</w:t>
      </w:r>
    </w:p>
    <w:p>
      <w:pPr>
        <w:spacing w:before="0" w:after="80"/>
        <w:rPr>
          <w:rFonts w:asciiTheme="majorHAnsi" w:eastAsia="MS Mincho" w:hAnsiTheme="majorHAnsi"/>
          <w:noProof/>
          <w:sz w:val="20"/>
        </w:rPr>
      </w:pPr>
      <w:r>
        <w:rPr>
          <w:rFonts w:asciiTheme="majorHAnsi" w:hAnsiTheme="majorHAnsi"/>
          <w:noProof/>
          <w:sz w:val="20"/>
        </w:rPr>
        <w:t>Tento proces musí pokračovať a je možné a nevyhnutné ešte viac ho zdokonaľovať. V dvoch osobitných správach prijatých v roku 2019</w:t>
      </w:r>
      <w:r>
        <w:rPr>
          <w:rStyle w:val="FootnoteReference"/>
          <w:rFonts w:asciiTheme="majorHAnsi" w:hAnsiTheme="majorHAnsi"/>
          <w:noProof/>
          <w:sz w:val="20"/>
        </w:rPr>
        <w:footnoteReference w:id="81"/>
      </w:r>
      <w:r>
        <w:rPr>
          <w:rFonts w:asciiTheme="majorHAnsi" w:hAnsiTheme="majorHAnsi"/>
          <w:noProof/>
          <w:sz w:val="20"/>
        </w:rPr>
        <w:t xml:space="preserve"> Dvor audítorov uznal tento pokrok, ale zároveň označil oblasti, v ktorých sú potrebné zlepšenia. Väčšina je podložená závermi uvedenými v správach o ochrane finančných záujmov, zatiaľ čo iné si vyžadujú nové opatrenia. Nová stratégia pre boj proti podvodom, ktorú Komisia prijala 29. apríla 2019, reaguje na väčšinu obáv Dvora audítorov, pričom jej cieľom je posilniť rámec analýzy a vnútornej koordinácie Komisie a čeliť tak novým výzvam, ktoré predstavuje neustále sa meniace prostredie.</w:t>
      </w:r>
    </w:p>
    <w:sectPr>
      <w:headerReference w:type="even" r:id="rId177"/>
      <w:headerReference w:type="default" r:id="rId178"/>
      <w:footerReference w:type="even" r:id="rId179"/>
      <w:footerReference w:type="default" r:id="rId180"/>
      <w:headerReference w:type="first" r:id="rId181"/>
      <w:footerReference w:type="first" r:id="rId182"/>
      <w:pgSz w:w="11906" w:h="16838"/>
      <w:pgMar w:top="1417" w:right="1417" w:bottom="1417" w:left="1417"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before="0" w:after="0"/>
      </w:pPr>
      <w:r>
        <w:separator/>
      </w:r>
    </w:p>
  </w:endnote>
  <w:endnote w:type="continuationSeparator" w:id="0">
    <w:p>
      <w:pPr>
        <w:spacing w:before="0" w:after="0"/>
      </w:pPr>
      <w:r>
        <w:continuationSeparator/>
      </w:r>
    </w:p>
  </w:endnote>
  <w:endnote w:id="1">
    <w:p>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Pr>
        <w:rFonts w:asciiTheme="majorHAnsi" w:hAnsiTheme="majorHAnsi"/>
        <w:sz w:val="20"/>
        <w:szCs w:val="20"/>
      </w:rPr>
      <w:t>15</w:t>
    </w:r>
    <w:r>
      <w:rPr>
        <w:rFonts w:asciiTheme="majorHAnsi" w:hAnsiTheme="majorHAnsi"/>
        <w:sz w:val="20"/>
        <w:szCs w:val="20"/>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Pr>
        <w:rFonts w:asciiTheme="majorHAnsi" w:hAnsiTheme="majorHAnsi"/>
        <w:noProof/>
        <w:sz w:val="20"/>
        <w:szCs w:val="20"/>
      </w:rPr>
      <w:t>8</w:t>
    </w:r>
    <w:r>
      <w:rPr>
        <w:rFonts w:asciiTheme="majorHAnsi" w:hAnsiTheme="majorHAnsi"/>
        <w:sz w:val="20"/>
        <w:szCs w:val="20"/>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Pr>
        <w:rFonts w:asciiTheme="majorHAnsi" w:hAnsiTheme="majorHAnsi"/>
        <w:noProof/>
        <w:sz w:val="20"/>
        <w:szCs w:val="20"/>
      </w:rPr>
      <w:t>9</w:t>
    </w:r>
    <w:r>
      <w:rPr>
        <w:rFonts w:asciiTheme="majorHAnsi" w:hAnsiTheme="majorHAnsi"/>
        <w:sz w:val="20"/>
        <w:szCs w:val="20"/>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SK</w:t>
    </w:r>
    <w:r>
      <w:rPr>
        <w:rFonts w:ascii="Arial" w:hAnsi="Arial" w:cs="Arial"/>
        <w:b/>
        <w:sz w:val="48"/>
      </w:rPr>
      <w:tab/>
    </w:r>
    <w:r>
      <w:rPr>
        <w:rFonts w:ascii="Arial" w:hAnsi="Arial" w:cs="Arial"/>
        <w:b/>
        <w:sz w:val="48"/>
      </w:rPr>
      <w:tab/>
    </w:r>
    <w:r>
      <w:tab/>
    </w:r>
    <w:r>
      <w:rPr>
        <w:rFonts w:ascii="Arial" w:hAnsi="Arial" w:cs="Arial"/>
        <w:b/>
        <w:sz w:val="48"/>
      </w:rPr>
      <w:t>SK</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Pr>
        <w:rFonts w:asciiTheme="majorHAnsi" w:hAnsiTheme="majorHAnsi"/>
        <w:noProof/>
        <w:sz w:val="20"/>
        <w:szCs w:val="20"/>
      </w:rPr>
      <w:t>10</w:t>
    </w:r>
    <w:r>
      <w:rPr>
        <w:rFonts w:asciiTheme="majorHAnsi" w:hAnsiTheme="majorHAnsi"/>
        <w:sz w:val="20"/>
        <w:szCs w:val="20"/>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Pr>
        <w:rFonts w:asciiTheme="majorHAnsi" w:hAnsiTheme="majorHAnsi"/>
        <w:sz w:val="20"/>
        <w:szCs w:val="20"/>
      </w:rPr>
      <w:t>9</w:t>
    </w:r>
    <w:r>
      <w:rPr>
        <w:rFonts w:asciiTheme="majorHAnsi" w:hAnsiTheme="majorHAnsi"/>
        <w:sz w:val="20"/>
        <w:szCs w:val="20"/>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Pr>
        <w:rFonts w:asciiTheme="majorHAnsi" w:hAnsiTheme="majorHAnsi"/>
        <w:noProof/>
        <w:sz w:val="20"/>
        <w:szCs w:val="20"/>
      </w:rPr>
      <w:t>15</w:t>
    </w:r>
    <w:r>
      <w:rPr>
        <w:rFonts w:asciiTheme="majorHAnsi" w:hAnsiTheme="majorHAnsi"/>
        <w:sz w:val="20"/>
        <w:szCs w:val="20"/>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Pr>
        <w:rFonts w:asciiTheme="majorHAnsi" w:hAnsiTheme="majorHAnsi"/>
        <w:noProof/>
        <w:sz w:val="20"/>
        <w:szCs w:val="20"/>
      </w:rPr>
      <w:t>16</w:t>
    </w:r>
    <w:r>
      <w:rPr>
        <w:rFonts w:asciiTheme="majorHAnsi" w:hAnsiTheme="majorHAnsi"/>
        <w:sz w:val="20"/>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Pr>
        <w:rFonts w:asciiTheme="majorHAnsi" w:hAnsiTheme="majorHAnsi"/>
        <w:noProof/>
        <w:sz w:val="20"/>
        <w:szCs w:val="20"/>
      </w:rPr>
      <w:t>18</w:t>
    </w:r>
    <w:r>
      <w:rPr>
        <w:rFonts w:asciiTheme="majorHAnsi" w:hAnsiTheme="majorHAnsi"/>
        <w:sz w:val="20"/>
        <w:szCs w:val="20"/>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Pr>
        <w:rFonts w:asciiTheme="majorHAnsi" w:hAnsiTheme="majorHAnsi"/>
        <w:noProof/>
        <w:sz w:val="20"/>
        <w:szCs w:val="20"/>
      </w:rPr>
      <w:t>19</w:t>
    </w:r>
    <w:r>
      <w:rPr>
        <w:rFonts w:asciiTheme="majorHAnsi" w:hAnsiTheme="majorHAnsi"/>
        <w:sz w:val="20"/>
        <w:szCs w:val="20"/>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Pr>
        <w:rFonts w:asciiTheme="majorHAnsi" w:hAnsiTheme="majorHAnsi"/>
        <w:sz w:val="20"/>
        <w:szCs w:val="20"/>
      </w:rPr>
      <w:t>21</w:t>
    </w:r>
    <w:r>
      <w:rPr>
        <w:rFonts w:asciiTheme="majorHAnsi" w:hAnsiTheme="majorHAnsi"/>
        <w:sz w:val="20"/>
        <w:szCs w:val="20"/>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Pr>
        <w:rFonts w:asciiTheme="majorHAnsi" w:hAnsiTheme="majorHAnsi"/>
        <w:noProof/>
        <w:sz w:val="20"/>
        <w:szCs w:val="20"/>
      </w:rPr>
      <w:t>22</w:t>
    </w:r>
    <w:r>
      <w:rPr>
        <w:rFonts w:asciiTheme="majorHAnsi" w:hAnsiTheme="majorHAnsi"/>
        <w:sz w:val="20"/>
        <w:szCs w:val="20"/>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Pr>
        <w:rFonts w:asciiTheme="majorHAnsi" w:hAnsiTheme="majorHAnsi"/>
        <w:sz w:val="20"/>
        <w:szCs w:val="20"/>
      </w:rPr>
      <w:t>23</w:t>
    </w:r>
    <w:r>
      <w:rPr>
        <w:rFonts w:asciiTheme="majorHAnsi" w:hAnsiTheme="majorHAnsi"/>
        <w:sz w:val="20"/>
        <w:szCs w:val="20"/>
      </w:rP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Pr>
        <w:rFonts w:asciiTheme="majorHAnsi" w:hAnsiTheme="majorHAnsi"/>
        <w:noProof/>
        <w:sz w:val="20"/>
        <w:szCs w:val="20"/>
      </w:rPr>
      <w:t>23</w:t>
    </w:r>
    <w:r>
      <w:rPr>
        <w:rFonts w:asciiTheme="majorHAnsi" w:hAnsiTheme="majorHAnsi"/>
        <w:sz w:val="20"/>
        <w:szCs w:val="20"/>
      </w:rPr>
      <w:fldChar w:fldCharType="end"/>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Pr>
        <w:rFonts w:asciiTheme="majorHAnsi" w:hAnsiTheme="majorHAnsi"/>
        <w:noProof/>
        <w:sz w:val="20"/>
        <w:szCs w:val="20"/>
      </w:rPr>
      <w:t>2</w:t>
    </w:r>
    <w:r>
      <w:rPr>
        <w:rFonts w:asciiTheme="majorHAnsi" w:hAnsiTheme="majorHAnsi"/>
        <w:sz w:val="20"/>
        <w:szCs w:val="20"/>
      </w:rPr>
      <w:fldChar w:fldCharType="end"/>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Pr>
        <w:rFonts w:asciiTheme="majorHAnsi" w:hAnsiTheme="majorHAnsi"/>
        <w:noProof/>
        <w:sz w:val="20"/>
        <w:szCs w:val="20"/>
      </w:rPr>
      <w:t>25</w:t>
    </w:r>
    <w:r>
      <w:rPr>
        <w:rFonts w:asciiTheme="majorHAnsi" w:hAnsiTheme="majorHAnsi"/>
        <w:sz w:val="20"/>
        <w:szCs w:val="20"/>
      </w:rPr>
      <w:fldChar w:fldCharType="end"/>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Pr>
        <w:rFonts w:asciiTheme="majorHAnsi" w:hAnsiTheme="majorHAnsi"/>
        <w:noProof/>
        <w:sz w:val="20"/>
        <w:szCs w:val="20"/>
      </w:rPr>
      <w:t>26</w:t>
    </w:r>
    <w:r>
      <w:rPr>
        <w:rFonts w:asciiTheme="majorHAnsi" w:hAnsiTheme="majorHAnsi"/>
        <w:sz w:val="20"/>
        <w:szCs w:val="20"/>
      </w:rPr>
      <w:fldChar w:fldCharType="end"/>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Pr>
        <w:rFonts w:asciiTheme="majorHAnsi" w:hAnsiTheme="majorHAnsi"/>
        <w:noProof/>
        <w:sz w:val="20"/>
        <w:szCs w:val="20"/>
      </w:rPr>
      <w:t>27</w:t>
    </w:r>
    <w:r>
      <w:rPr>
        <w:rFonts w:asciiTheme="majorHAnsi" w:hAnsiTheme="majorHAnsi"/>
        <w:sz w:val="20"/>
        <w:szCs w:val="20"/>
      </w:rPr>
      <w:fldChar w:fldCharType="end"/>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rPr>
        <w:sz w:val="20"/>
      </w:rPr>
    </w:pPr>
    <w:r>
      <w:rPr>
        <w:sz w:val="20"/>
      </w:rPr>
      <w:fldChar w:fldCharType="begin"/>
    </w:r>
    <w:r>
      <w:rPr>
        <w:sz w:val="20"/>
      </w:rPr>
      <w:instrText xml:space="preserve"> PAGE   \* MERGEFORMAT </w:instrText>
    </w:r>
    <w:r>
      <w:rPr>
        <w:sz w:val="20"/>
      </w:rPr>
      <w:fldChar w:fldCharType="separate"/>
    </w:r>
    <w:r>
      <w:rPr>
        <w:noProof/>
        <w:sz w:val="20"/>
      </w:rPr>
      <w:t>32</w:t>
    </w:r>
    <w:r>
      <w:rPr>
        <w:sz w:val="2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Pr>
        <w:rFonts w:asciiTheme="majorHAnsi" w:hAnsiTheme="majorHAnsi"/>
        <w:noProof/>
        <w:sz w:val="20"/>
        <w:szCs w:val="20"/>
      </w:rPr>
      <w:t>7</w:t>
    </w:r>
    <w:r>
      <w:rPr>
        <w:rFonts w:asciiTheme="majorHAnsi" w:hAnsiTheme="majorHAnsi"/>
        <w:sz w:val="20"/>
        <w:szCs w:val="20"/>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before="0" w:after="0"/>
      </w:pPr>
      <w:r>
        <w:separator/>
      </w:r>
    </w:p>
  </w:footnote>
  <w:footnote w:type="continuationSeparator" w:id="0">
    <w:p>
      <w:pPr>
        <w:spacing w:before="0" w:after="0"/>
      </w:pPr>
      <w:r>
        <w:continuationSeparator/>
      </w:r>
    </w:p>
  </w:footnote>
  <w:footnote w:id="1">
    <w:p>
      <w:pPr>
        <w:pStyle w:val="footnotetext1"/>
        <w:tabs>
          <w:tab w:val="clear" w:pos="360"/>
        </w:tabs>
        <w:ind w:left="284" w:hanging="284"/>
        <w:rPr>
          <w:rStyle w:val="FootnoteReference"/>
          <w:rFonts w:asciiTheme="majorHAnsi" w:hAnsiTheme="majorHAnsi"/>
          <w:spacing w:val="-2"/>
          <w:sz w:val="16"/>
          <w:szCs w:val="16"/>
          <w:vertAlign w:val="baseline"/>
        </w:rPr>
      </w:pPr>
      <w:r>
        <w:rPr>
          <w:rStyle w:val="FootnoteReference"/>
          <w:rFonts w:asciiTheme="majorHAnsi" w:hAnsiTheme="majorHAnsi"/>
          <w:spacing w:val="-2"/>
          <w:sz w:val="16"/>
          <w:szCs w:val="16"/>
        </w:rPr>
        <w:footnoteRef/>
      </w:r>
      <w:r>
        <w:rPr>
          <w:rFonts w:asciiTheme="majorHAnsi" w:hAnsiTheme="majorHAnsi"/>
          <w:spacing w:val="-2"/>
          <w:sz w:val="16"/>
          <w:szCs w:val="16"/>
        </w:rPr>
        <w:tab/>
      </w:r>
      <w:r>
        <w:rPr>
          <w:rStyle w:val="FootnoteReference"/>
          <w:rFonts w:asciiTheme="majorHAnsi" w:hAnsiTheme="majorHAnsi"/>
          <w:spacing w:val="-2"/>
          <w:sz w:val="16"/>
          <w:szCs w:val="16"/>
          <w:vertAlign w:val="baseline"/>
        </w:rPr>
        <w:t>i) Vykonávanie článku 325 členskými štátmi v roku 2018;</w:t>
      </w:r>
      <w:r>
        <w:rPr>
          <w:rStyle w:val="FootnoteReference"/>
          <w:rFonts w:asciiTheme="majorHAnsi" w:hAnsiTheme="majorHAnsi"/>
          <w:spacing w:val="-2"/>
          <w:sz w:val="16"/>
          <w:szCs w:val="16"/>
          <w:vertAlign w:val="baseline"/>
        </w:rPr>
        <w:tab/>
      </w:r>
      <w:r>
        <w:rPr>
          <w:rFonts w:asciiTheme="majorHAnsi" w:hAnsiTheme="majorHAnsi"/>
          <w:spacing w:val="-2"/>
          <w:sz w:val="16"/>
          <w:szCs w:val="16"/>
        </w:rPr>
        <w:br/>
      </w:r>
      <w:r>
        <w:rPr>
          <w:rStyle w:val="FootnoteReference"/>
          <w:rFonts w:asciiTheme="majorHAnsi" w:hAnsiTheme="majorHAnsi"/>
          <w:spacing w:val="-2"/>
          <w:sz w:val="16"/>
          <w:szCs w:val="16"/>
          <w:vertAlign w:val="baseline"/>
        </w:rPr>
        <w:t>ii) Štatistické hodnotenie nezrovnalostí oznámených v oblasti vlastných zdrojov, prírodných zdrojov, politiky súdržnosti a predvstupovej pomoci, ako aj priamych výdavkov;</w:t>
      </w:r>
      <w:r>
        <w:rPr>
          <w:rFonts w:asciiTheme="majorHAnsi" w:hAnsiTheme="majorHAnsi"/>
          <w:spacing w:val="-2"/>
          <w:sz w:val="16"/>
          <w:szCs w:val="16"/>
        </w:rPr>
        <w:br/>
      </w:r>
      <w:r>
        <w:rPr>
          <w:rStyle w:val="FootnoteReference"/>
          <w:rFonts w:asciiTheme="majorHAnsi" w:hAnsiTheme="majorHAnsi"/>
          <w:spacing w:val="-2"/>
          <w:sz w:val="16"/>
          <w:szCs w:val="16"/>
          <w:vertAlign w:val="baseline"/>
        </w:rPr>
        <w:t>iii) Prijatie opatrení v nadväznosti na odporúčania zo správy Komisie o ochrane finančných záujmov EÚ – boj proti podvodom, 2017;</w:t>
      </w:r>
      <w:r>
        <w:rPr>
          <w:rFonts w:asciiTheme="majorHAnsi" w:hAnsiTheme="majorHAnsi"/>
          <w:spacing w:val="-2"/>
          <w:sz w:val="16"/>
          <w:szCs w:val="16"/>
        </w:rPr>
        <w:tab/>
      </w:r>
      <w:r>
        <w:rPr>
          <w:rStyle w:val="FootnoteReference"/>
          <w:rFonts w:asciiTheme="majorHAnsi" w:hAnsiTheme="majorHAnsi"/>
          <w:spacing w:val="-2"/>
          <w:sz w:val="16"/>
          <w:szCs w:val="16"/>
          <w:vertAlign w:val="baseline"/>
        </w:rPr>
        <w:t xml:space="preserve"> </w:t>
      </w:r>
      <w:r>
        <w:rPr>
          <w:rFonts w:asciiTheme="majorHAnsi" w:hAnsiTheme="majorHAnsi"/>
          <w:spacing w:val="-2"/>
          <w:sz w:val="16"/>
          <w:szCs w:val="16"/>
        </w:rPr>
        <w:br/>
      </w:r>
      <w:r>
        <w:rPr>
          <w:rStyle w:val="FootnoteReference"/>
          <w:rFonts w:asciiTheme="majorHAnsi" w:hAnsiTheme="majorHAnsi"/>
          <w:spacing w:val="-2"/>
          <w:sz w:val="16"/>
          <w:szCs w:val="16"/>
          <w:vertAlign w:val="baseline"/>
        </w:rPr>
        <w:t>iv) Systém včasného odhaľovania rizika a vylúčenia (EDES) – výbor uvedený v článku 108 nariadenia o rozpočtových pravidlách;</w:t>
      </w:r>
      <w:r>
        <w:rPr>
          <w:rStyle w:val="FootnoteReference"/>
          <w:spacing w:val="-2"/>
          <w:sz w:val="16"/>
          <w:vertAlign w:val="baseline"/>
        </w:rPr>
        <w:t xml:space="preserve"> a</w:t>
      </w:r>
      <w:r>
        <w:rPr>
          <w:spacing w:val="-2"/>
          <w:sz w:val="16"/>
        </w:rPr>
        <w:tab/>
      </w:r>
      <w:r>
        <w:rPr>
          <w:rStyle w:val="FootnoteReference"/>
          <w:spacing w:val="-2"/>
          <w:sz w:val="16"/>
          <w:vertAlign w:val="baseline"/>
        </w:rPr>
        <w:br/>
      </w:r>
      <w:r>
        <w:rPr>
          <w:rStyle w:val="FootnoteReference"/>
          <w:rFonts w:asciiTheme="majorHAnsi" w:hAnsiTheme="majorHAnsi"/>
          <w:spacing w:val="-2"/>
          <w:sz w:val="16"/>
          <w:szCs w:val="16"/>
          <w:vertAlign w:val="baseline"/>
        </w:rPr>
        <w:t>v) Ročný prehľad s informáciami o výsledkoch programu Hercule III v roku 2018.</w:t>
      </w:r>
    </w:p>
  </w:footnote>
  <w:footnote w:id="2">
    <w:p>
      <w:pPr>
        <w:pStyle w:val="footnotetext1"/>
        <w:tabs>
          <w:tab w:val="clear" w:pos="360"/>
        </w:tabs>
        <w:ind w:left="284" w:hanging="284"/>
        <w:rPr>
          <w:spacing w:val="-2"/>
        </w:rPr>
      </w:pPr>
      <w:r>
        <w:rPr>
          <w:rStyle w:val="FootnoteReference"/>
          <w:spacing w:val="-2"/>
        </w:rPr>
        <w:footnoteRef/>
      </w:r>
      <w:r>
        <w:rPr>
          <w:spacing w:val="-2"/>
        </w:rPr>
        <w:tab/>
      </w:r>
      <w:r>
        <w:rPr>
          <w:spacing w:val="-2"/>
          <w:sz w:val="16"/>
        </w:rPr>
        <w:t>Pozri bod 6</w:t>
      </w:r>
      <w:r>
        <w:rPr>
          <w:spacing w:val="-2"/>
        </w:rPr>
        <w:t>.</w:t>
      </w:r>
    </w:p>
  </w:footnote>
  <w:footnote w:id="3">
    <w:p>
      <w:pPr>
        <w:pStyle w:val="footnotetext1"/>
        <w:tabs>
          <w:tab w:val="clear" w:pos="360"/>
        </w:tabs>
        <w:ind w:left="284" w:hanging="284"/>
        <w:rPr>
          <w:rFonts w:asciiTheme="majorHAnsi" w:hAnsiTheme="majorHAnsi"/>
          <w:spacing w:val="-2"/>
          <w:sz w:val="16"/>
          <w:szCs w:val="16"/>
        </w:rPr>
      </w:pPr>
      <w:r>
        <w:rPr>
          <w:rStyle w:val="FootnoteReference"/>
          <w:spacing w:val="-2"/>
        </w:rPr>
        <w:footnoteRef/>
      </w:r>
      <w:r>
        <w:rPr>
          <w:spacing w:val="-2"/>
        </w:rPr>
        <w:tab/>
      </w:r>
      <w:r>
        <w:rPr>
          <w:rFonts w:asciiTheme="majorHAnsi" w:hAnsiTheme="majorHAnsi"/>
          <w:spacing w:val="-2"/>
          <w:sz w:val="16"/>
          <w:szCs w:val="16"/>
        </w:rPr>
        <w:t>COM(2000) 358 final.</w:t>
      </w:r>
    </w:p>
  </w:footnote>
  <w:footnote w:id="4">
    <w:p>
      <w:pPr>
        <w:pStyle w:val="footnotetext1"/>
        <w:tabs>
          <w:tab w:val="clear" w:pos="360"/>
          <w:tab w:val="left" w:pos="284"/>
        </w:tabs>
        <w:ind w:left="284" w:hanging="284"/>
        <w:rPr>
          <w:spacing w:val="-2"/>
        </w:rPr>
      </w:pPr>
      <w:r>
        <w:rPr>
          <w:rStyle w:val="FootnoteReference"/>
          <w:spacing w:val="-2"/>
        </w:rPr>
        <w:footnoteRef/>
      </w:r>
      <w:r>
        <w:rPr>
          <w:spacing w:val="-2"/>
        </w:rPr>
        <w:tab/>
      </w:r>
      <w:r>
        <w:rPr>
          <w:rFonts w:asciiTheme="majorHAnsi" w:hAnsiTheme="majorHAnsi"/>
          <w:spacing w:val="-2"/>
          <w:sz w:val="16"/>
          <w:szCs w:val="16"/>
        </w:rPr>
        <w:t>Smernica Európskeho parlamentu a Rady (EÚ) 2017/1371 z 5. júla 2017 o boji proti podvodom, ktoré poškodzujú finančné záujmy Únie, prostredníctvom trestného práva, Ú. v. EÚ L 198, 28.7.2017, s. 29 – 41.</w:t>
      </w:r>
      <w:r>
        <w:rPr>
          <w:spacing w:val="-2"/>
          <w:sz w:val="16"/>
          <w:szCs w:val="16"/>
        </w:rPr>
        <w:t xml:space="preserve"> </w:t>
      </w:r>
    </w:p>
  </w:footnote>
  <w:footnote w:id="5">
    <w:p>
      <w:pPr>
        <w:pStyle w:val="footnotetext1"/>
        <w:tabs>
          <w:tab w:val="clear" w:pos="360"/>
          <w:tab w:val="left" w:pos="284"/>
        </w:tabs>
        <w:ind w:left="284" w:hanging="284"/>
        <w:rPr>
          <w:rFonts w:asciiTheme="majorHAnsi" w:hAnsiTheme="majorHAnsi"/>
          <w:spacing w:val="-2"/>
          <w:sz w:val="16"/>
          <w:szCs w:val="16"/>
        </w:rPr>
      </w:pPr>
      <w:r>
        <w:rPr>
          <w:rStyle w:val="FootnoteReference"/>
          <w:rFonts w:asciiTheme="majorHAnsi" w:hAnsiTheme="majorHAnsi"/>
          <w:spacing w:val="-2"/>
          <w:sz w:val="16"/>
          <w:szCs w:val="16"/>
        </w:rPr>
        <w:footnoteRef/>
      </w:r>
      <w:r>
        <w:rPr>
          <w:spacing w:val="-2"/>
        </w:rPr>
        <w:tab/>
      </w:r>
      <w:r>
        <w:rPr>
          <w:rFonts w:asciiTheme="majorHAnsi" w:hAnsiTheme="majorHAnsi"/>
          <w:spacing w:val="-2"/>
          <w:sz w:val="16"/>
          <w:szCs w:val="16"/>
        </w:rPr>
        <w:t>Nariadenie Rady (EÚ) 2017/1939 z 12. októbra 2017, ktorým sa vykonáva posilnená spolupráca na účely zriadenia Európskej prokuratúry, Ú. v. EÚ L 283, 31.10.2017, s. 1.</w:t>
      </w:r>
    </w:p>
  </w:footnote>
  <w:footnote w:id="6">
    <w:p>
      <w:pPr>
        <w:pStyle w:val="footnotetext1"/>
        <w:tabs>
          <w:tab w:val="clear" w:pos="360"/>
          <w:tab w:val="left" w:pos="284"/>
        </w:tabs>
        <w:ind w:left="284" w:hanging="284"/>
        <w:rPr>
          <w:spacing w:val="-2"/>
        </w:rPr>
      </w:pPr>
      <w:r>
        <w:rPr>
          <w:rStyle w:val="FootnoteReference"/>
          <w:spacing w:val="-2"/>
        </w:rPr>
        <w:footnoteRef/>
      </w:r>
      <w:r>
        <w:rPr>
          <w:spacing w:val="-2"/>
        </w:rPr>
        <w:tab/>
      </w:r>
      <w:r>
        <w:rPr>
          <w:rFonts w:asciiTheme="majorHAnsi" w:hAnsiTheme="majorHAnsi"/>
          <w:spacing w:val="-2"/>
          <w:sz w:val="16"/>
          <w:szCs w:val="16"/>
        </w:rPr>
        <w:t>C(2017) 2373 final.</w:t>
      </w:r>
    </w:p>
  </w:footnote>
  <w:footnote w:id="7">
    <w:p>
      <w:pPr>
        <w:pStyle w:val="footnotetext1"/>
        <w:rPr>
          <w:spacing w:val="-2"/>
          <w:sz w:val="16"/>
          <w:szCs w:val="16"/>
        </w:rPr>
      </w:pPr>
      <w:r>
        <w:rPr>
          <w:rStyle w:val="FootnoteReference"/>
          <w:spacing w:val="-2"/>
        </w:rPr>
        <w:footnoteRef/>
      </w:r>
      <w:r>
        <w:rPr>
          <w:spacing w:val="-2"/>
        </w:rPr>
        <w:tab/>
      </w:r>
      <w:r>
        <w:rPr>
          <w:spacing w:val="-2"/>
          <w:sz w:val="16"/>
          <w:szCs w:val="16"/>
        </w:rPr>
        <w:t>Nariadenie Európskeho parlamentu a Rady (EÚ, Euratom) č. 883/2013 z 11. septembra 2013 o vyšetrovaniach vykonávaných Európskym úradom pre boj proti podvodom (OLAF), ktorým sa zrušuje nariadenie Európskeho parlamentu a Rady (ES) č. 1073/1999 a nariadenie Rady (Euratom) č. 1074/1999 (Ú. v. EÚ L 248, 18.9.2013, s. 1).</w:t>
      </w:r>
    </w:p>
  </w:footnote>
  <w:footnote w:id="8">
    <w:p>
      <w:pPr>
        <w:pStyle w:val="footnotetext1"/>
        <w:rPr>
          <w:spacing w:val="-2"/>
          <w:sz w:val="16"/>
          <w:szCs w:val="16"/>
        </w:rPr>
      </w:pPr>
      <w:r>
        <w:rPr>
          <w:rStyle w:val="FootnoteReference"/>
          <w:spacing w:val="-2"/>
        </w:rPr>
        <w:footnoteRef/>
      </w:r>
      <w:r>
        <w:rPr>
          <w:spacing w:val="-2"/>
        </w:rPr>
        <w:t xml:space="preserve"> </w:t>
      </w:r>
      <w:r>
        <w:rPr>
          <w:spacing w:val="-2"/>
          <w:sz w:val="16"/>
          <w:szCs w:val="16"/>
        </w:rPr>
        <w:tab/>
      </w:r>
      <w:hyperlink r:id="rId1" w:history="1">
        <w:r>
          <w:rPr>
            <w:rStyle w:val="Hyperlink"/>
            <w:spacing w:val="-2"/>
            <w:sz w:val="16"/>
            <w:szCs w:val="16"/>
          </w:rPr>
          <w:t>https://www.europarl.europa.eu/doceo/document/TA-8-2019-0383_SK.html</w:t>
        </w:r>
      </w:hyperlink>
      <w:r>
        <w:rPr>
          <w:spacing w:val="-2"/>
          <w:sz w:val="16"/>
          <w:szCs w:val="16"/>
        </w:rPr>
        <w:t>.</w:t>
      </w:r>
    </w:p>
  </w:footnote>
  <w:footnote w:id="9">
    <w:p>
      <w:pPr>
        <w:pStyle w:val="footnotetext1"/>
        <w:tabs>
          <w:tab w:val="clear" w:pos="360"/>
          <w:tab w:val="left" w:pos="284"/>
        </w:tabs>
        <w:ind w:left="284" w:hanging="284"/>
        <w:rPr>
          <w:spacing w:val="-2"/>
          <w:sz w:val="16"/>
          <w:szCs w:val="16"/>
        </w:rPr>
      </w:pPr>
      <w:r>
        <w:rPr>
          <w:rStyle w:val="FootnoteReference"/>
          <w:spacing w:val="-2"/>
          <w:sz w:val="16"/>
          <w:szCs w:val="16"/>
        </w:rPr>
        <w:footnoteRef/>
      </w:r>
      <w:r>
        <w:rPr>
          <w:spacing w:val="-2"/>
          <w:sz w:val="16"/>
          <w:szCs w:val="16"/>
        </w:rPr>
        <w:t xml:space="preserve"> </w:t>
      </w:r>
      <w:r>
        <w:rPr>
          <w:spacing w:val="-2"/>
          <w:sz w:val="16"/>
          <w:szCs w:val="16"/>
        </w:rPr>
        <w:tab/>
      </w:r>
      <w:hyperlink r:id="rId2" w:history="1">
        <w:r>
          <w:rPr>
            <w:rStyle w:val="Hyperlink"/>
            <w:spacing w:val="-2"/>
            <w:sz w:val="16"/>
            <w:szCs w:val="16"/>
          </w:rPr>
          <w:t>https://ec.europa.eu/info/publications/2018-european-semester-country-reports_sk</w:t>
        </w:r>
      </w:hyperlink>
      <w:r>
        <w:rPr>
          <w:rStyle w:val="Hyperlink"/>
          <w:spacing w:val="-2"/>
          <w:sz w:val="16"/>
          <w:szCs w:val="16"/>
        </w:rPr>
        <w:t>.</w:t>
      </w:r>
    </w:p>
  </w:footnote>
  <w:footnote w:id="10">
    <w:p>
      <w:pPr>
        <w:pStyle w:val="footnotetext1"/>
        <w:tabs>
          <w:tab w:val="clear" w:pos="360"/>
          <w:tab w:val="left" w:pos="284"/>
        </w:tabs>
        <w:ind w:left="284" w:hanging="284"/>
        <w:rPr>
          <w:rFonts w:asciiTheme="majorHAnsi" w:hAnsiTheme="majorHAnsi"/>
          <w:spacing w:val="-2"/>
          <w:sz w:val="16"/>
          <w:szCs w:val="16"/>
        </w:rPr>
      </w:pPr>
      <w:r>
        <w:rPr>
          <w:rStyle w:val="FootnoteReference"/>
          <w:rFonts w:asciiTheme="majorHAnsi" w:hAnsiTheme="majorHAnsi"/>
          <w:spacing w:val="-2"/>
          <w:sz w:val="16"/>
          <w:szCs w:val="16"/>
        </w:rPr>
        <w:footnoteRef/>
      </w:r>
      <w:r>
        <w:rPr>
          <w:rFonts w:asciiTheme="majorHAnsi" w:hAnsiTheme="majorHAnsi"/>
          <w:spacing w:val="-2"/>
          <w:sz w:val="16"/>
          <w:szCs w:val="16"/>
        </w:rPr>
        <w:tab/>
        <w:t>COM(2011) 376 final.</w:t>
      </w:r>
    </w:p>
  </w:footnote>
  <w:footnote w:id="11">
    <w:p>
      <w:pPr>
        <w:pStyle w:val="footnotetext1"/>
        <w:tabs>
          <w:tab w:val="left" w:pos="284"/>
        </w:tabs>
        <w:ind w:left="284" w:hanging="284"/>
        <w:rPr>
          <w:rFonts w:asciiTheme="majorHAnsi" w:hAnsiTheme="majorHAnsi"/>
          <w:spacing w:val="-2"/>
          <w:sz w:val="16"/>
          <w:szCs w:val="16"/>
        </w:rPr>
      </w:pPr>
      <w:r>
        <w:rPr>
          <w:rStyle w:val="FootnoteReference"/>
          <w:rFonts w:asciiTheme="majorHAnsi" w:hAnsiTheme="majorHAnsi"/>
          <w:spacing w:val="-2"/>
          <w:sz w:val="16"/>
          <w:szCs w:val="16"/>
        </w:rPr>
        <w:footnoteRef/>
      </w:r>
      <w:r>
        <w:rPr>
          <w:rFonts w:asciiTheme="majorHAnsi" w:hAnsiTheme="majorHAnsi"/>
          <w:spacing w:val="-2"/>
          <w:sz w:val="16"/>
          <w:szCs w:val="16"/>
        </w:rPr>
        <w:t xml:space="preserve"> </w:t>
      </w:r>
      <w:r>
        <w:rPr>
          <w:rFonts w:asciiTheme="majorHAnsi" w:hAnsiTheme="majorHAnsi"/>
          <w:spacing w:val="-2"/>
          <w:sz w:val="16"/>
          <w:szCs w:val="16"/>
        </w:rPr>
        <w:tab/>
        <w:t>Pozri oznámenie Komisii: Zjednodušenie a posilnenie správy a riadenia spoločností v Európskej komisii, C(2018)7704 final z 21. novembra 2018.</w:t>
      </w:r>
    </w:p>
  </w:footnote>
  <w:footnote w:id="12">
    <w:p>
      <w:pPr>
        <w:pStyle w:val="footnotetext1"/>
        <w:tabs>
          <w:tab w:val="left" w:pos="284"/>
        </w:tabs>
        <w:ind w:left="284" w:hanging="284"/>
        <w:rPr>
          <w:rFonts w:asciiTheme="majorHAnsi" w:hAnsiTheme="majorHAnsi"/>
          <w:spacing w:val="-2"/>
          <w:sz w:val="16"/>
          <w:szCs w:val="16"/>
        </w:rPr>
      </w:pPr>
      <w:r>
        <w:rPr>
          <w:rStyle w:val="FootnoteReference"/>
          <w:rFonts w:asciiTheme="majorHAnsi" w:hAnsiTheme="majorHAnsi"/>
          <w:spacing w:val="-2"/>
          <w:sz w:val="16"/>
          <w:szCs w:val="16"/>
        </w:rPr>
        <w:footnoteRef/>
      </w:r>
      <w:r>
        <w:rPr>
          <w:rFonts w:asciiTheme="majorHAnsi" w:hAnsiTheme="majorHAnsi"/>
          <w:spacing w:val="-2"/>
          <w:sz w:val="16"/>
          <w:szCs w:val="16"/>
        </w:rPr>
        <w:tab/>
        <w:t>Nariadenie Európskeho parlamentu a Rady (EÚ) č. 250/2014 z 26. februára 2014, ktorým sa ustanovuje program na podporu činností v oblasti ochrany finančných záujmov Európskej únie (program Hercule III) a ktorým sa zrušuje rozhodnutie č. 804/2004/ES (Ú. v. EÚ L 84, 20.3.2014, s. 6).</w:t>
      </w:r>
    </w:p>
  </w:footnote>
  <w:footnote w:id="13">
    <w:p>
      <w:pPr>
        <w:pStyle w:val="footnotetext1"/>
        <w:tabs>
          <w:tab w:val="clear" w:pos="360"/>
          <w:tab w:val="left" w:pos="284"/>
        </w:tabs>
        <w:ind w:left="284" w:hanging="284"/>
        <w:rPr>
          <w:rFonts w:asciiTheme="majorHAnsi" w:hAnsiTheme="majorHAnsi"/>
          <w:spacing w:val="-2"/>
          <w:sz w:val="16"/>
          <w:szCs w:val="16"/>
        </w:rPr>
      </w:pPr>
      <w:r>
        <w:rPr>
          <w:rStyle w:val="FootnoteReference"/>
          <w:rFonts w:asciiTheme="majorHAnsi" w:hAnsiTheme="majorHAnsi"/>
          <w:spacing w:val="-2"/>
          <w:sz w:val="16"/>
          <w:szCs w:val="16"/>
        </w:rPr>
        <w:footnoteRef/>
      </w:r>
      <w:r>
        <w:rPr>
          <w:rFonts w:asciiTheme="majorHAnsi" w:hAnsiTheme="majorHAnsi"/>
          <w:spacing w:val="-2"/>
          <w:sz w:val="16"/>
          <w:szCs w:val="16"/>
        </w:rPr>
        <w:tab/>
        <w:t>Rozhodnutie Komisie C(2018) 1763 final z 28. marca 2018.</w:t>
      </w:r>
    </w:p>
  </w:footnote>
  <w:footnote w:id="14">
    <w:p>
      <w:pPr>
        <w:pStyle w:val="footnotetext1"/>
        <w:tabs>
          <w:tab w:val="clear" w:pos="360"/>
          <w:tab w:val="left" w:pos="284"/>
        </w:tabs>
        <w:ind w:left="284" w:hanging="284"/>
        <w:rPr>
          <w:rFonts w:asciiTheme="majorHAnsi" w:hAnsiTheme="majorHAnsi"/>
          <w:spacing w:val="-2"/>
          <w:sz w:val="16"/>
          <w:szCs w:val="16"/>
        </w:rPr>
      </w:pPr>
      <w:r>
        <w:rPr>
          <w:rStyle w:val="FootnoteReference"/>
          <w:rFonts w:asciiTheme="majorHAnsi" w:hAnsiTheme="majorHAnsi"/>
          <w:spacing w:val="-2"/>
          <w:sz w:val="16"/>
          <w:szCs w:val="16"/>
        </w:rPr>
        <w:footnoteRef/>
      </w:r>
      <w:r>
        <w:rPr>
          <w:rFonts w:asciiTheme="majorHAnsi" w:hAnsiTheme="majorHAnsi"/>
          <w:spacing w:val="-2"/>
          <w:sz w:val="16"/>
          <w:szCs w:val="16"/>
        </w:rPr>
        <w:tab/>
        <w:t>Podrobnosti sa uvádzajú v pracovnom dokumente útvarov Komisie uvedenom v poznámke pod čiarou č. 1 bode v).</w:t>
      </w:r>
    </w:p>
  </w:footnote>
  <w:footnote w:id="15">
    <w:p>
      <w:pPr>
        <w:pStyle w:val="footnotetext1"/>
        <w:jc w:val="left"/>
        <w:rPr>
          <w:rFonts w:asciiTheme="majorHAnsi" w:hAnsiTheme="majorHAnsi"/>
          <w:spacing w:val="-2"/>
          <w:sz w:val="16"/>
          <w:szCs w:val="16"/>
        </w:rPr>
      </w:pPr>
      <w:r>
        <w:rPr>
          <w:rStyle w:val="FootnoteReference"/>
          <w:spacing w:val="-2"/>
          <w:sz w:val="16"/>
          <w:szCs w:val="16"/>
        </w:rPr>
        <w:footnoteRef/>
      </w:r>
      <w:r>
        <w:rPr>
          <w:rFonts w:asciiTheme="majorHAnsi" w:hAnsiTheme="majorHAnsi"/>
          <w:spacing w:val="-2"/>
        </w:rPr>
        <w:tab/>
        <w:t>Rozsudok Všeobecného súdu z 3. mája 2018 vo veci T-48/16, Sigma Orionis SA/Európska komisia.</w:t>
      </w:r>
    </w:p>
  </w:footnote>
  <w:footnote w:id="16">
    <w:p>
      <w:pPr>
        <w:pStyle w:val="footnotetext1"/>
        <w:rPr>
          <w:spacing w:val="-2"/>
          <w:sz w:val="16"/>
          <w:szCs w:val="16"/>
        </w:rPr>
      </w:pPr>
      <w:r>
        <w:rPr>
          <w:rStyle w:val="FootnoteReference"/>
          <w:spacing w:val="-2"/>
          <w:sz w:val="16"/>
          <w:szCs w:val="16"/>
        </w:rPr>
        <w:footnoteRef/>
      </w:r>
      <w:r>
        <w:rPr>
          <w:spacing w:val="-2"/>
          <w:sz w:val="16"/>
          <w:szCs w:val="16"/>
        </w:rPr>
        <w:t xml:space="preserve"> </w:t>
      </w:r>
      <w:r>
        <w:rPr>
          <w:spacing w:val="-2"/>
          <w:sz w:val="16"/>
          <w:szCs w:val="16"/>
        </w:rPr>
        <w:tab/>
      </w:r>
      <w:r>
        <w:rPr>
          <w:rFonts w:ascii="Cambria" w:hAnsi="Cambria"/>
          <w:spacing w:val="-2"/>
          <w:sz w:val="16"/>
          <w:szCs w:val="16"/>
        </w:rPr>
        <w:t>Pozri bod</w:t>
      </w:r>
      <w:r>
        <w:rPr>
          <w:spacing w:val="-2"/>
          <w:sz w:val="16"/>
          <w:szCs w:val="16"/>
        </w:rPr>
        <w:t xml:space="preserve"> 7.</w:t>
      </w:r>
    </w:p>
  </w:footnote>
  <w:footnote w:id="17">
    <w:p>
      <w:pPr>
        <w:pStyle w:val="footnotetext1"/>
        <w:rPr>
          <w:rFonts w:asciiTheme="majorHAnsi" w:hAnsiTheme="majorHAnsi"/>
          <w:spacing w:val="-2"/>
          <w:sz w:val="16"/>
          <w:szCs w:val="16"/>
        </w:rPr>
      </w:pPr>
      <w:r>
        <w:rPr>
          <w:rStyle w:val="FootnoteReference"/>
          <w:spacing w:val="-2"/>
          <w:sz w:val="16"/>
          <w:szCs w:val="16"/>
        </w:rPr>
        <w:footnoteRef/>
      </w:r>
      <w:r>
        <w:rPr>
          <w:spacing w:val="-2"/>
          <w:sz w:val="16"/>
          <w:szCs w:val="16"/>
        </w:rPr>
        <w:tab/>
        <w:t>Podrobnejšia analýza judikatúry Európskeho súdneho dvora sa uvádza v pracovnom dokumente útvarov Komisie, v poznámke pod čiarou č. 1 bode v).</w:t>
      </w:r>
    </w:p>
  </w:footnote>
  <w:footnote w:id="18">
    <w:p>
      <w:pPr>
        <w:pStyle w:val="footnotetext1"/>
        <w:tabs>
          <w:tab w:val="clear" w:pos="360"/>
          <w:tab w:val="left" w:pos="284"/>
        </w:tabs>
        <w:ind w:left="284" w:hanging="284"/>
        <w:rPr>
          <w:rFonts w:asciiTheme="majorHAnsi" w:hAnsiTheme="majorHAnsi"/>
          <w:spacing w:val="-2"/>
          <w:sz w:val="16"/>
          <w:szCs w:val="16"/>
        </w:rPr>
      </w:pPr>
      <w:r>
        <w:rPr>
          <w:rStyle w:val="FootnoteReference"/>
          <w:rFonts w:asciiTheme="majorHAnsi" w:hAnsiTheme="majorHAnsi"/>
          <w:spacing w:val="-2"/>
          <w:sz w:val="16"/>
          <w:szCs w:val="16"/>
        </w:rPr>
        <w:footnoteRef/>
      </w:r>
      <w:r>
        <w:rPr>
          <w:rFonts w:asciiTheme="majorHAnsi" w:hAnsiTheme="majorHAnsi"/>
          <w:spacing w:val="-2"/>
          <w:sz w:val="16"/>
          <w:szCs w:val="16"/>
        </w:rPr>
        <w:tab/>
        <w:t>Oznámené opatrenia sa podrobne analyzujú v pracovnom dokumente útvarov Komisie uvedenom v poznámke pod čiarou č. 1 bode i).</w:t>
      </w:r>
    </w:p>
  </w:footnote>
  <w:footnote w:id="19">
    <w:p>
      <w:pPr>
        <w:pStyle w:val="footnotetext1"/>
        <w:tabs>
          <w:tab w:val="clear" w:pos="360"/>
          <w:tab w:val="left" w:pos="284"/>
        </w:tabs>
        <w:ind w:left="284" w:hanging="284"/>
        <w:rPr>
          <w:rFonts w:asciiTheme="majorHAnsi" w:hAnsiTheme="majorHAnsi"/>
          <w:spacing w:val="-2"/>
          <w:sz w:val="16"/>
          <w:szCs w:val="16"/>
        </w:rPr>
      </w:pPr>
      <w:r>
        <w:rPr>
          <w:rStyle w:val="FootnoteReference"/>
          <w:rFonts w:asciiTheme="majorHAnsi" w:hAnsiTheme="majorHAnsi"/>
          <w:spacing w:val="-2"/>
          <w:sz w:val="16"/>
          <w:szCs w:val="16"/>
        </w:rPr>
        <w:footnoteRef/>
      </w:r>
      <w:r>
        <w:rPr>
          <w:rFonts w:asciiTheme="majorHAnsi" w:hAnsiTheme="majorHAnsi"/>
          <w:spacing w:val="-2"/>
          <w:sz w:val="16"/>
          <w:szCs w:val="16"/>
        </w:rPr>
        <w:tab/>
        <w:t>Niektoré z nich tvorili súčasť balíka, ktorý zahŕňal napríklad legislatívne, administratívne, operačné alebo organizačné opatrenia prijaté spoločne s cieľom ich uplatňovania na rôznych úrovniach inštitucionálnej štruktúry krajiny. Tým sa celkový počet oznámených opatrení zvyšuje na 111.</w:t>
      </w:r>
    </w:p>
  </w:footnote>
  <w:footnote w:id="20">
    <w:p>
      <w:pPr>
        <w:pStyle w:val="footnotetext1"/>
        <w:tabs>
          <w:tab w:val="clear" w:pos="360"/>
          <w:tab w:val="left" w:pos="284"/>
        </w:tabs>
        <w:ind w:left="284" w:hanging="284"/>
        <w:rPr>
          <w:rFonts w:asciiTheme="majorHAnsi" w:hAnsiTheme="majorHAnsi"/>
          <w:spacing w:val="-2"/>
          <w:sz w:val="16"/>
          <w:szCs w:val="16"/>
        </w:rPr>
      </w:pPr>
      <w:r>
        <w:rPr>
          <w:rStyle w:val="FootnoteReference"/>
          <w:rFonts w:asciiTheme="majorHAnsi" w:hAnsiTheme="majorHAnsi"/>
          <w:spacing w:val="-2"/>
          <w:sz w:val="16"/>
          <w:szCs w:val="16"/>
        </w:rPr>
        <w:footnoteRef/>
      </w:r>
      <w:r>
        <w:rPr>
          <w:rFonts w:asciiTheme="majorHAnsi" w:hAnsiTheme="majorHAnsi"/>
          <w:spacing w:val="-2"/>
          <w:sz w:val="16"/>
          <w:szCs w:val="16"/>
        </w:rPr>
        <w:tab/>
        <w:t>Bulharsko, Chorvátsko, Česko, Francúzsko, Grécko, Maďarsko, Taliansko, Lotyšsko, Malta, Slovensko a Rumunsko v minulosti oznámili svoje národné stratégie pre boj proti podvodom, tie sú však už zastarané.</w:t>
      </w:r>
    </w:p>
  </w:footnote>
  <w:footnote w:id="21">
    <w:p>
      <w:pPr>
        <w:pStyle w:val="footnotetext1"/>
        <w:tabs>
          <w:tab w:val="clear" w:pos="360"/>
          <w:tab w:val="left" w:pos="284"/>
        </w:tabs>
        <w:ind w:left="284" w:hanging="284"/>
        <w:rPr>
          <w:rFonts w:asciiTheme="majorHAnsi" w:hAnsiTheme="majorHAnsi"/>
          <w:spacing w:val="-2"/>
          <w:sz w:val="16"/>
          <w:szCs w:val="16"/>
        </w:rPr>
      </w:pPr>
      <w:r>
        <w:rPr>
          <w:rStyle w:val="FootnoteReference"/>
          <w:spacing w:val="-2"/>
          <w:sz w:val="16"/>
          <w:szCs w:val="16"/>
        </w:rPr>
        <w:footnoteRef/>
      </w:r>
      <w:r>
        <w:rPr>
          <w:rFonts w:asciiTheme="majorHAnsi" w:hAnsiTheme="majorHAnsi"/>
          <w:spacing w:val="-2"/>
          <w:sz w:val="16"/>
          <w:szCs w:val="16"/>
        </w:rPr>
        <w:tab/>
        <w:t>Bulharsko, Cyprus, Česko, Estónsko, Fínsko, Maďarsko, Lotyšsko, Litva, Malta a Rumunsko.</w:t>
      </w:r>
    </w:p>
  </w:footnote>
  <w:footnote w:id="22">
    <w:p>
      <w:pPr>
        <w:pStyle w:val="footnotetext1"/>
        <w:tabs>
          <w:tab w:val="clear" w:pos="360"/>
          <w:tab w:val="left" w:pos="284"/>
        </w:tabs>
        <w:ind w:left="284" w:hanging="284"/>
        <w:rPr>
          <w:rFonts w:asciiTheme="majorHAnsi" w:hAnsiTheme="majorHAnsi"/>
          <w:spacing w:val="-2"/>
          <w:sz w:val="16"/>
          <w:szCs w:val="16"/>
        </w:rPr>
      </w:pPr>
      <w:r>
        <w:rPr>
          <w:rStyle w:val="FootnoteReference"/>
          <w:spacing w:val="-2"/>
          <w:sz w:val="16"/>
          <w:szCs w:val="16"/>
        </w:rPr>
        <w:footnoteRef/>
      </w:r>
      <w:r>
        <w:rPr>
          <w:rFonts w:asciiTheme="majorHAnsi" w:hAnsiTheme="majorHAnsi"/>
          <w:spacing w:val="-2"/>
          <w:sz w:val="16"/>
          <w:szCs w:val="16"/>
        </w:rPr>
        <w:tab/>
        <w:t>Maďarsko a Švédsko.</w:t>
      </w:r>
    </w:p>
  </w:footnote>
  <w:footnote w:id="23">
    <w:p>
      <w:pPr>
        <w:pStyle w:val="footnotetext1"/>
        <w:tabs>
          <w:tab w:val="clear" w:pos="360"/>
          <w:tab w:val="left" w:pos="284"/>
        </w:tabs>
        <w:ind w:left="284" w:hanging="284"/>
        <w:rPr>
          <w:rFonts w:asciiTheme="majorHAnsi" w:hAnsiTheme="majorHAnsi"/>
          <w:spacing w:val="-2"/>
          <w:sz w:val="16"/>
          <w:szCs w:val="16"/>
        </w:rPr>
      </w:pPr>
      <w:r>
        <w:rPr>
          <w:rStyle w:val="FootnoteReference"/>
          <w:spacing w:val="-2"/>
          <w:sz w:val="16"/>
          <w:szCs w:val="16"/>
        </w:rPr>
        <w:footnoteRef/>
      </w:r>
      <w:r>
        <w:rPr>
          <w:rFonts w:asciiTheme="majorHAnsi" w:hAnsiTheme="majorHAnsi"/>
          <w:spacing w:val="-2"/>
          <w:sz w:val="16"/>
          <w:szCs w:val="16"/>
        </w:rPr>
        <w:tab/>
        <w:t>Česko, Rumunsko a Grécko.</w:t>
      </w:r>
    </w:p>
  </w:footnote>
  <w:footnote w:id="24">
    <w:p>
      <w:pPr>
        <w:pStyle w:val="footnotetext1"/>
        <w:tabs>
          <w:tab w:val="clear" w:pos="360"/>
          <w:tab w:val="left" w:pos="284"/>
        </w:tabs>
        <w:ind w:left="284" w:hanging="284"/>
        <w:rPr>
          <w:spacing w:val="-2"/>
          <w:sz w:val="16"/>
          <w:szCs w:val="16"/>
        </w:rPr>
      </w:pPr>
      <w:r>
        <w:rPr>
          <w:rStyle w:val="FootnoteReference"/>
          <w:spacing w:val="-2"/>
          <w:sz w:val="16"/>
          <w:szCs w:val="16"/>
        </w:rPr>
        <w:footnoteRef/>
      </w:r>
      <w:r>
        <w:rPr>
          <w:rFonts w:asciiTheme="majorHAnsi" w:hAnsiTheme="majorHAnsi"/>
          <w:spacing w:val="-2"/>
          <w:sz w:val="16"/>
          <w:szCs w:val="16"/>
        </w:rPr>
        <w:tab/>
        <w:t>Belgicko a Švédsko.</w:t>
      </w:r>
    </w:p>
  </w:footnote>
  <w:footnote w:id="25">
    <w:p>
      <w:pPr>
        <w:pStyle w:val="footnotetext1"/>
        <w:tabs>
          <w:tab w:val="clear" w:pos="360"/>
          <w:tab w:val="left" w:pos="284"/>
        </w:tabs>
        <w:ind w:left="284" w:hanging="284"/>
        <w:rPr>
          <w:rFonts w:asciiTheme="majorHAnsi" w:hAnsiTheme="majorHAnsi"/>
          <w:spacing w:val="-2"/>
          <w:sz w:val="16"/>
          <w:szCs w:val="16"/>
        </w:rPr>
      </w:pPr>
      <w:r>
        <w:rPr>
          <w:rStyle w:val="FootnoteReference"/>
          <w:rFonts w:asciiTheme="majorHAnsi" w:hAnsiTheme="majorHAnsi"/>
          <w:spacing w:val="-2"/>
          <w:sz w:val="16"/>
          <w:szCs w:val="16"/>
        </w:rPr>
        <w:footnoteRef/>
      </w:r>
      <w:r>
        <w:rPr>
          <w:rFonts w:asciiTheme="majorHAnsi" w:hAnsiTheme="majorHAnsi"/>
          <w:spacing w:val="-2"/>
          <w:sz w:val="16"/>
          <w:szCs w:val="16"/>
        </w:rPr>
        <w:tab/>
        <w:t>Hoci ich členské štáty výslovne nevymedzujú ako prierezové opatrenia, najviac sa hodia do tohto oddielu.</w:t>
      </w:r>
    </w:p>
  </w:footnote>
  <w:footnote w:id="26">
    <w:p>
      <w:pPr>
        <w:pStyle w:val="footnotetext1"/>
        <w:tabs>
          <w:tab w:val="clear" w:pos="360"/>
          <w:tab w:val="left" w:pos="284"/>
        </w:tabs>
        <w:ind w:left="284" w:hanging="284"/>
        <w:rPr>
          <w:spacing w:val="-2"/>
          <w:sz w:val="16"/>
          <w:szCs w:val="16"/>
        </w:rPr>
      </w:pPr>
      <w:r>
        <w:rPr>
          <w:rStyle w:val="FootnoteReference"/>
          <w:spacing w:val="-2"/>
          <w:sz w:val="16"/>
          <w:szCs w:val="16"/>
        </w:rPr>
        <w:footnoteRef/>
      </w:r>
      <w:r>
        <w:rPr>
          <w:rFonts w:asciiTheme="majorHAnsi" w:hAnsiTheme="majorHAnsi"/>
          <w:spacing w:val="-2"/>
          <w:sz w:val="16"/>
          <w:szCs w:val="16"/>
        </w:rPr>
        <w:tab/>
        <w:t>Podrobná analýza odpovedí sa nachádza v pracovnom dokumente útvarov Komisie uvedenom v poznámke pod čiarou č. </w:t>
      </w:r>
      <w:r>
        <w:rPr>
          <w:rFonts w:asciiTheme="majorHAnsi" w:hAnsiTheme="majorHAnsi"/>
          <w:spacing w:val="-2"/>
          <w:sz w:val="16"/>
          <w:szCs w:val="16"/>
        </w:rPr>
        <w:fldChar w:fldCharType="begin"/>
      </w:r>
      <w:r>
        <w:rPr>
          <w:rFonts w:asciiTheme="majorHAnsi" w:hAnsiTheme="majorHAnsi"/>
          <w:spacing w:val="-2"/>
          <w:sz w:val="16"/>
          <w:szCs w:val="16"/>
        </w:rPr>
        <w:instrText xml:space="preserve"> NOTEREF _Ref12878653 \h  \* MERGEFORMAT </w:instrText>
      </w:r>
      <w:r>
        <w:rPr>
          <w:rFonts w:asciiTheme="majorHAnsi" w:hAnsiTheme="majorHAnsi"/>
          <w:spacing w:val="-2"/>
          <w:sz w:val="16"/>
          <w:szCs w:val="16"/>
        </w:rPr>
      </w:r>
      <w:r>
        <w:rPr>
          <w:rFonts w:asciiTheme="majorHAnsi" w:hAnsiTheme="majorHAnsi"/>
          <w:spacing w:val="-2"/>
          <w:sz w:val="16"/>
          <w:szCs w:val="16"/>
        </w:rPr>
        <w:fldChar w:fldCharType="separate"/>
      </w:r>
      <w:r>
        <w:rPr>
          <w:rFonts w:asciiTheme="majorHAnsi" w:hAnsiTheme="majorHAnsi"/>
          <w:spacing w:val="-2"/>
          <w:sz w:val="16"/>
          <w:szCs w:val="16"/>
        </w:rPr>
        <w:t>1</w:t>
      </w:r>
      <w:r>
        <w:rPr>
          <w:rFonts w:asciiTheme="majorHAnsi" w:hAnsiTheme="majorHAnsi"/>
          <w:spacing w:val="-2"/>
          <w:sz w:val="16"/>
          <w:szCs w:val="16"/>
        </w:rPr>
        <w:fldChar w:fldCharType="end"/>
      </w:r>
      <w:r>
        <w:rPr>
          <w:rFonts w:asciiTheme="majorHAnsi" w:hAnsiTheme="majorHAnsi"/>
          <w:spacing w:val="-2"/>
          <w:sz w:val="16"/>
          <w:szCs w:val="16"/>
        </w:rPr>
        <w:t xml:space="preserve"> bode iii).</w:t>
      </w:r>
    </w:p>
  </w:footnote>
  <w:footnote w:id="27">
    <w:p>
      <w:pPr>
        <w:pStyle w:val="footnotetext1"/>
        <w:tabs>
          <w:tab w:val="clear" w:pos="360"/>
          <w:tab w:val="left" w:pos="284"/>
        </w:tabs>
        <w:ind w:left="284" w:hanging="284"/>
        <w:rPr>
          <w:rFonts w:asciiTheme="majorHAnsi" w:hAnsiTheme="majorHAnsi"/>
          <w:spacing w:val="-2"/>
          <w:sz w:val="16"/>
          <w:szCs w:val="16"/>
        </w:rPr>
      </w:pPr>
      <w:r>
        <w:rPr>
          <w:rStyle w:val="FootnoteReference"/>
          <w:spacing w:val="-2"/>
          <w:sz w:val="16"/>
          <w:szCs w:val="16"/>
        </w:rPr>
        <w:footnoteRef/>
      </w:r>
      <w:r>
        <w:rPr>
          <w:spacing w:val="-2"/>
          <w:sz w:val="16"/>
          <w:szCs w:val="16"/>
        </w:rPr>
        <w:tab/>
      </w:r>
      <w:r>
        <w:rPr>
          <w:rFonts w:asciiTheme="majorHAnsi" w:hAnsiTheme="majorHAnsi"/>
          <w:spacing w:val="-2"/>
          <w:sz w:val="16"/>
          <w:szCs w:val="16"/>
        </w:rPr>
        <w:t xml:space="preserve">Predbežne schválené znenie je k dispozícii na </w:t>
      </w:r>
      <w:hyperlink r:id="rId3" w:history="1">
        <w:r>
          <w:rPr>
            <w:rFonts w:asciiTheme="majorHAnsi" w:hAnsiTheme="majorHAnsi"/>
            <w:spacing w:val="-2"/>
            <w:sz w:val="16"/>
            <w:szCs w:val="16"/>
          </w:rPr>
          <w:t>http://www.europarl.europa.eu/doceo/document/TA-8-2019-0366_SK.html</w:t>
        </w:r>
      </w:hyperlink>
      <w:r>
        <w:rPr>
          <w:rFonts w:asciiTheme="majorHAnsi" w:hAnsiTheme="majorHAnsi"/>
          <w:spacing w:val="-2"/>
          <w:sz w:val="16"/>
          <w:szCs w:val="16"/>
        </w:rPr>
        <w:t>.</w:t>
      </w:r>
    </w:p>
  </w:footnote>
  <w:footnote w:id="28">
    <w:p>
      <w:pPr>
        <w:pStyle w:val="footnotetext1"/>
        <w:tabs>
          <w:tab w:val="clear" w:pos="360"/>
          <w:tab w:val="left" w:pos="284"/>
        </w:tabs>
        <w:ind w:left="284" w:hanging="284"/>
        <w:rPr>
          <w:rFonts w:asciiTheme="majorHAnsi" w:hAnsiTheme="majorHAnsi"/>
          <w:spacing w:val="-2"/>
          <w:sz w:val="16"/>
          <w:szCs w:val="16"/>
        </w:rPr>
      </w:pPr>
      <w:r>
        <w:rPr>
          <w:rStyle w:val="FootnoteReference"/>
          <w:spacing w:val="-2"/>
          <w:sz w:val="16"/>
          <w:szCs w:val="16"/>
        </w:rPr>
        <w:footnoteRef/>
      </w:r>
      <w:r>
        <w:rPr>
          <w:rStyle w:val="FootnoteReference"/>
        </w:rPr>
        <w:tab/>
      </w:r>
      <w:r>
        <w:rPr>
          <w:rFonts w:asciiTheme="majorHAnsi" w:hAnsiTheme="majorHAnsi"/>
          <w:spacing w:val="-2"/>
          <w:sz w:val="16"/>
          <w:szCs w:val="16"/>
        </w:rPr>
        <w:t>Podrobná analýza oznámených nezrovnalostí sa nachádza v pracovnom dokumente útvarov Komisie uvedenom v poznámke pod čiarou č. 1 bode ii).</w:t>
      </w:r>
    </w:p>
  </w:footnote>
  <w:footnote w:id="29">
    <w:p>
      <w:pPr>
        <w:pStyle w:val="footnotetext1"/>
        <w:tabs>
          <w:tab w:val="clear" w:pos="360"/>
          <w:tab w:val="left" w:pos="284"/>
        </w:tabs>
        <w:ind w:left="284" w:hanging="284"/>
        <w:rPr>
          <w:rFonts w:asciiTheme="majorHAnsi" w:hAnsiTheme="majorHAnsi"/>
          <w:spacing w:val="-2"/>
          <w:sz w:val="16"/>
          <w:szCs w:val="16"/>
        </w:rPr>
      </w:pPr>
      <w:r>
        <w:rPr>
          <w:rStyle w:val="FootnoteReference"/>
          <w:rFonts w:asciiTheme="majorHAnsi" w:hAnsiTheme="majorHAnsi"/>
          <w:spacing w:val="-2"/>
          <w:sz w:val="16"/>
          <w:szCs w:val="16"/>
        </w:rPr>
        <w:footnoteRef/>
      </w:r>
      <w:r>
        <w:rPr>
          <w:rFonts w:asciiTheme="majorHAnsi" w:hAnsiTheme="majorHAnsi"/>
          <w:spacing w:val="-2"/>
          <w:sz w:val="16"/>
          <w:szCs w:val="16"/>
        </w:rPr>
        <w:tab/>
        <w:t xml:space="preserve">Tento ukazovateľ označuje „úroveň frekvencie podvodov“. Pozri oddiel 2.3.2 pracovného dokumentu útvarov Komisie </w:t>
      </w:r>
      <w:r>
        <w:rPr>
          <w:rFonts w:asciiTheme="majorHAnsi" w:hAnsiTheme="majorHAnsi"/>
          <w:i/>
          <w:spacing w:val="-2"/>
          <w:sz w:val="16"/>
          <w:szCs w:val="16"/>
        </w:rPr>
        <w:t>Metodika štatistického hodnotenia oznámených nezrovnalostí za rok 2015</w:t>
      </w:r>
      <w:r>
        <w:rPr>
          <w:rFonts w:asciiTheme="majorHAnsi" w:hAnsiTheme="majorHAnsi"/>
          <w:spacing w:val="-2"/>
          <w:sz w:val="16"/>
          <w:szCs w:val="16"/>
        </w:rPr>
        <w:t>, SWD(2016) 237 final.</w:t>
      </w:r>
    </w:p>
  </w:footnote>
  <w:footnote w:id="30">
    <w:p>
      <w:pPr>
        <w:pStyle w:val="footnotetext1"/>
        <w:tabs>
          <w:tab w:val="clear" w:pos="360"/>
          <w:tab w:val="left" w:pos="284"/>
        </w:tabs>
        <w:ind w:left="284" w:hanging="284"/>
        <w:rPr>
          <w:rFonts w:asciiTheme="majorHAnsi" w:hAnsiTheme="majorHAnsi"/>
          <w:spacing w:val="-2"/>
          <w:sz w:val="16"/>
          <w:szCs w:val="16"/>
        </w:rPr>
      </w:pPr>
      <w:r>
        <w:rPr>
          <w:rStyle w:val="FootnoteReference"/>
          <w:rFonts w:asciiTheme="majorHAnsi" w:hAnsiTheme="majorHAnsi"/>
          <w:spacing w:val="-2"/>
          <w:sz w:val="16"/>
          <w:szCs w:val="16"/>
        </w:rPr>
        <w:footnoteRef/>
      </w:r>
      <w:r>
        <w:rPr>
          <w:rFonts w:asciiTheme="majorHAnsi" w:hAnsiTheme="majorHAnsi"/>
          <w:spacing w:val="-2"/>
          <w:sz w:val="16"/>
          <w:szCs w:val="16"/>
        </w:rPr>
        <w:tab/>
        <w:t>Tento ukazovateľ označuje „úroveň sumy podvodov“. Pozri oddiel 2.3.3 dokumentu uvedeného v poznámke pod čiarou č. </w:t>
      </w:r>
      <w:r>
        <w:rPr>
          <w:rFonts w:asciiTheme="majorHAnsi" w:hAnsiTheme="majorHAnsi"/>
          <w:spacing w:val="-2"/>
          <w:sz w:val="16"/>
          <w:szCs w:val="16"/>
          <w:highlight w:val="yellow"/>
        </w:rPr>
        <w:fldChar w:fldCharType="begin"/>
      </w:r>
      <w:r>
        <w:rPr>
          <w:rFonts w:asciiTheme="majorHAnsi" w:hAnsiTheme="majorHAnsi"/>
          <w:spacing w:val="-2"/>
          <w:sz w:val="16"/>
          <w:szCs w:val="16"/>
        </w:rPr>
        <w:instrText xml:space="preserve"> NOTEREF _Ref518659126 \h </w:instrText>
      </w:r>
      <w:r>
        <w:rPr>
          <w:rFonts w:asciiTheme="majorHAnsi" w:hAnsiTheme="majorHAnsi"/>
          <w:spacing w:val="-2"/>
          <w:sz w:val="16"/>
          <w:szCs w:val="16"/>
          <w:highlight w:val="yellow"/>
        </w:rPr>
        <w:instrText xml:space="preserve"> \* MERGEFORMAT </w:instrText>
      </w:r>
      <w:r>
        <w:rPr>
          <w:rFonts w:asciiTheme="majorHAnsi" w:hAnsiTheme="majorHAnsi"/>
          <w:spacing w:val="-2"/>
          <w:sz w:val="16"/>
          <w:szCs w:val="16"/>
          <w:highlight w:val="yellow"/>
        </w:rPr>
      </w:r>
      <w:r>
        <w:rPr>
          <w:rFonts w:asciiTheme="majorHAnsi" w:hAnsiTheme="majorHAnsi"/>
          <w:spacing w:val="-2"/>
          <w:sz w:val="16"/>
          <w:szCs w:val="16"/>
          <w:highlight w:val="yellow"/>
        </w:rPr>
        <w:fldChar w:fldCharType="separate"/>
      </w:r>
      <w:r>
        <w:rPr>
          <w:rFonts w:asciiTheme="majorHAnsi" w:hAnsiTheme="majorHAnsi"/>
          <w:spacing w:val="-2"/>
          <w:sz w:val="16"/>
          <w:szCs w:val="16"/>
        </w:rPr>
        <w:t>29</w:t>
      </w:r>
      <w:r>
        <w:rPr>
          <w:rFonts w:asciiTheme="majorHAnsi" w:hAnsiTheme="majorHAnsi"/>
          <w:spacing w:val="-2"/>
          <w:sz w:val="16"/>
          <w:szCs w:val="16"/>
          <w:highlight w:val="yellow"/>
        </w:rPr>
        <w:fldChar w:fldCharType="end"/>
      </w:r>
      <w:r>
        <w:rPr>
          <w:rFonts w:asciiTheme="majorHAnsi" w:hAnsiTheme="majorHAnsi"/>
          <w:spacing w:val="-2"/>
          <w:sz w:val="16"/>
          <w:szCs w:val="16"/>
        </w:rPr>
        <w:t>.</w:t>
      </w:r>
    </w:p>
  </w:footnote>
  <w:footnote w:id="31">
    <w:p>
      <w:pPr>
        <w:pStyle w:val="FootnoteText"/>
        <w:tabs>
          <w:tab w:val="left" w:pos="284"/>
        </w:tabs>
        <w:ind w:left="284" w:hanging="284"/>
        <w:rPr>
          <w:rFonts w:asciiTheme="majorHAnsi" w:hAnsiTheme="majorHAnsi"/>
          <w:spacing w:val="-2"/>
          <w:sz w:val="16"/>
          <w:szCs w:val="16"/>
        </w:rPr>
      </w:pPr>
      <w:r>
        <w:rPr>
          <w:rStyle w:val="FootnoteReference"/>
          <w:rFonts w:asciiTheme="majorHAnsi" w:hAnsiTheme="majorHAnsi"/>
          <w:spacing w:val="-2"/>
          <w:sz w:val="16"/>
          <w:szCs w:val="16"/>
        </w:rPr>
        <w:footnoteRef/>
      </w:r>
      <w:r>
        <w:rPr>
          <w:rFonts w:asciiTheme="majorHAnsi" w:hAnsiTheme="majorHAnsi"/>
          <w:spacing w:val="-2"/>
          <w:sz w:val="16"/>
          <w:szCs w:val="16"/>
        </w:rPr>
        <w:t xml:space="preserve"> </w:t>
      </w:r>
      <w:r>
        <w:rPr>
          <w:rFonts w:asciiTheme="majorHAnsi" w:hAnsiTheme="majorHAnsi"/>
          <w:spacing w:val="-2"/>
          <w:sz w:val="16"/>
          <w:szCs w:val="16"/>
        </w:rPr>
        <w:tab/>
      </w:r>
      <w:hyperlink r:id="rId4" w:history="1">
        <w:r>
          <w:rPr>
            <w:rStyle w:val="Hyperlink"/>
            <w:rFonts w:asciiTheme="majorHAnsi" w:hAnsiTheme="majorHAnsi"/>
            <w:spacing w:val="-2"/>
            <w:sz w:val="16"/>
            <w:szCs w:val="16"/>
          </w:rPr>
          <w:t>https://ec.europa.eu/anti-fraud/about-us/reports/olaf-report_sk</w:t>
        </w:r>
      </w:hyperlink>
      <w:r>
        <w:rPr>
          <w:rStyle w:val="Hyperlink"/>
          <w:rFonts w:asciiTheme="majorHAnsi" w:hAnsiTheme="majorHAnsi"/>
          <w:spacing w:val="-2"/>
          <w:sz w:val="16"/>
          <w:szCs w:val="16"/>
        </w:rPr>
        <w:t>.</w:t>
      </w:r>
      <w:r>
        <w:rPr>
          <w:rFonts w:asciiTheme="majorHAnsi" w:hAnsiTheme="majorHAnsi"/>
          <w:spacing w:val="-2"/>
          <w:sz w:val="16"/>
          <w:szCs w:val="16"/>
        </w:rPr>
        <w:t xml:space="preserve"> </w:t>
      </w:r>
    </w:p>
  </w:footnote>
  <w:footnote w:id="32">
    <w:p>
      <w:pPr>
        <w:pStyle w:val="FootnoteText"/>
        <w:tabs>
          <w:tab w:val="left" w:pos="284"/>
        </w:tabs>
        <w:ind w:left="284" w:hanging="284"/>
        <w:rPr>
          <w:rFonts w:asciiTheme="majorHAnsi" w:hAnsiTheme="majorHAnsi"/>
          <w:spacing w:val="-2"/>
          <w:sz w:val="16"/>
          <w:szCs w:val="16"/>
        </w:rPr>
      </w:pPr>
      <w:r>
        <w:rPr>
          <w:rStyle w:val="FootnoteReference"/>
          <w:spacing w:val="-2"/>
        </w:rPr>
        <w:footnoteRef/>
      </w:r>
      <w:r>
        <w:rPr>
          <w:spacing w:val="-2"/>
          <w:sz w:val="18"/>
          <w:szCs w:val="18"/>
        </w:rPr>
        <w:t xml:space="preserve"> </w:t>
      </w:r>
      <w:r>
        <w:rPr>
          <w:rFonts w:asciiTheme="majorHAnsi" w:hAnsiTheme="majorHAnsi"/>
          <w:spacing w:val="-2"/>
          <w:sz w:val="16"/>
          <w:szCs w:val="16"/>
        </w:rPr>
        <w:t>Jeho právnym základom je nariadenie č. 515/97 zmenené nariadením 2015/1525.</w:t>
      </w:r>
    </w:p>
  </w:footnote>
  <w:footnote w:id="33">
    <w:p>
      <w:pPr>
        <w:pStyle w:val="FootnoteText"/>
        <w:tabs>
          <w:tab w:val="left" w:pos="284"/>
        </w:tabs>
        <w:ind w:left="284" w:hanging="284"/>
        <w:rPr>
          <w:rFonts w:asciiTheme="majorHAnsi" w:hAnsiTheme="majorHAnsi"/>
          <w:spacing w:val="-2"/>
          <w:sz w:val="16"/>
          <w:szCs w:val="16"/>
        </w:rPr>
      </w:pPr>
      <w:r>
        <w:rPr>
          <w:rStyle w:val="FootnoteReference"/>
          <w:spacing w:val="-2"/>
          <w:sz w:val="16"/>
          <w:szCs w:val="16"/>
        </w:rPr>
        <w:footnoteRef/>
      </w:r>
      <w:r>
        <w:rPr>
          <w:spacing w:val="-2"/>
          <w:sz w:val="16"/>
          <w:szCs w:val="16"/>
        </w:rPr>
        <w:t xml:space="preserve"> </w:t>
      </w:r>
      <w:r>
        <w:rPr>
          <w:spacing w:val="-2"/>
          <w:sz w:val="16"/>
          <w:szCs w:val="16"/>
        </w:rPr>
        <w:tab/>
      </w:r>
      <w:hyperlink r:id="rId5" w:history="1">
        <w:r>
          <w:rPr>
            <w:rStyle w:val="Hyperlink"/>
            <w:rFonts w:asciiTheme="majorHAnsi" w:hAnsiTheme="majorHAnsi"/>
            <w:spacing w:val="-2"/>
            <w:sz w:val="16"/>
            <w:szCs w:val="16"/>
          </w:rPr>
          <w:t>https://ec.europa.eu/anti-fraud/media-corner/news/07-12-2018/new-action-plan-reaffirms-commission-leading-role-fight-against_sk</w:t>
        </w:r>
      </w:hyperlink>
      <w:r>
        <w:rPr>
          <w:rStyle w:val="Hyperlink"/>
          <w:rFonts w:asciiTheme="majorHAnsi" w:hAnsiTheme="majorHAnsi"/>
          <w:spacing w:val="-2"/>
          <w:sz w:val="16"/>
          <w:szCs w:val="16"/>
        </w:rPr>
        <w:t>.</w:t>
      </w:r>
    </w:p>
  </w:footnote>
  <w:footnote w:id="34">
    <w:p>
      <w:pPr>
        <w:pStyle w:val="footnotetext1"/>
        <w:rPr>
          <w:rFonts w:asciiTheme="majorHAnsi" w:hAnsiTheme="majorHAnsi"/>
          <w:spacing w:val="-2"/>
          <w:sz w:val="16"/>
          <w:szCs w:val="16"/>
        </w:rPr>
      </w:pPr>
      <w:r>
        <w:rPr>
          <w:rStyle w:val="FootnoteReference"/>
          <w:spacing w:val="-2"/>
          <w:sz w:val="16"/>
          <w:szCs w:val="16"/>
        </w:rPr>
        <w:footnoteRef/>
      </w:r>
      <w:r>
        <w:rPr>
          <w:rStyle w:val="FootnoteReference"/>
          <w:spacing w:val="-2"/>
          <w:sz w:val="22"/>
          <w:szCs w:val="16"/>
        </w:rPr>
        <w:t xml:space="preserve"> </w:t>
      </w:r>
      <w:r>
        <w:rPr>
          <w:spacing w:val="-2"/>
          <w:sz w:val="22"/>
          <w:szCs w:val="16"/>
        </w:rPr>
        <w:tab/>
      </w:r>
      <w:r>
        <w:rPr>
          <w:rFonts w:asciiTheme="majorHAnsi" w:hAnsiTheme="majorHAnsi"/>
          <w:spacing w:val="-2"/>
          <w:sz w:val="16"/>
        </w:rPr>
        <w:t>Európska komisia 25. mája 2018 prijala návrh COM(2018) 329 týkajúci sa zavedenia podrobných technických opatrení na fungovanie konečného systému DPH pre zdaňovanie obchodu medzi členskými štátmi, ktorý by podľa dôvodovej správy Komisie mal priniesť zníženie cezhraničných podvodov s DPH až o 41 miliárd EUR ročne. O tomto návrhu sa stále rokuje v Rade.</w:t>
      </w:r>
    </w:p>
  </w:footnote>
  <w:footnote w:id="35">
    <w:p>
      <w:pPr>
        <w:pStyle w:val="footnotetext1"/>
        <w:rPr>
          <w:rFonts w:asciiTheme="majorHAnsi" w:hAnsiTheme="majorHAnsi"/>
          <w:spacing w:val="-2"/>
          <w:sz w:val="16"/>
          <w:szCs w:val="16"/>
        </w:rPr>
      </w:pPr>
      <w:r>
        <w:rPr>
          <w:rStyle w:val="FootnoteReference"/>
          <w:spacing w:val="-2"/>
          <w:sz w:val="16"/>
          <w:szCs w:val="16"/>
        </w:rPr>
        <w:footnoteRef/>
      </w:r>
      <w:r>
        <w:rPr>
          <w:rFonts w:asciiTheme="majorHAnsi" w:hAnsiTheme="majorHAnsi"/>
          <w:spacing w:val="-2"/>
          <w:sz w:val="16"/>
          <w:szCs w:val="16"/>
        </w:rPr>
        <w:tab/>
        <w:t>Nariadenie Rady (EÚ) 2018/1541 z 2. októbra 2018, ktorým sa menia nariadenia (EÚ) č. 904/2010 a (EÚ) 2017/2454, pokiaľ ide o opatrenia na posilnenie administratívnej spolupráce v oblasti dane z pridanej hodnoty, Ú. v. EÚ L 291, 16.10.2018, s. 1.</w:t>
      </w:r>
    </w:p>
  </w:footnote>
  <w:footnote w:id="36">
    <w:p>
      <w:pPr>
        <w:pStyle w:val="footnotetext1"/>
        <w:rPr>
          <w:rFonts w:ascii="Cambria" w:hAnsi="Cambria"/>
          <w:spacing w:val="-2"/>
          <w:sz w:val="12"/>
        </w:rPr>
      </w:pPr>
      <w:r>
        <w:rPr>
          <w:rStyle w:val="FootnoteReference"/>
          <w:spacing w:val="-2"/>
        </w:rPr>
        <w:footnoteRef/>
      </w:r>
      <w:r>
        <w:rPr>
          <w:spacing w:val="-2"/>
        </w:rPr>
        <w:tab/>
      </w:r>
      <w:r>
        <w:rPr>
          <w:rFonts w:ascii="Cambria" w:hAnsi="Cambria"/>
          <w:spacing w:val="-2"/>
          <w:sz w:val="16"/>
        </w:rPr>
        <w:t>Colný režim 42 je režim, ktorý dovozcom za určitých podmienok umožňuje získať oslobodenie od DPH pri dovoze, ak sa dovážaný tovar následne transportuje z členského štátu dovozu do iného členského štátu EÚ.</w:t>
      </w:r>
    </w:p>
  </w:footnote>
  <w:footnote w:id="37">
    <w:p>
      <w:pPr>
        <w:pStyle w:val="footnotetext1"/>
        <w:tabs>
          <w:tab w:val="clear" w:pos="360"/>
          <w:tab w:val="left" w:pos="284"/>
        </w:tabs>
        <w:ind w:left="284" w:hanging="284"/>
        <w:rPr>
          <w:rFonts w:ascii="Cambria" w:hAnsi="Cambria"/>
          <w:spacing w:val="-2"/>
          <w:sz w:val="16"/>
          <w:szCs w:val="16"/>
        </w:rPr>
      </w:pPr>
      <w:r>
        <w:rPr>
          <w:rStyle w:val="FootnoteReference"/>
          <w:spacing w:val="-2"/>
          <w:sz w:val="16"/>
          <w:szCs w:val="16"/>
        </w:rPr>
        <w:footnoteRef/>
      </w:r>
      <w:r>
        <w:rPr>
          <w:spacing w:val="-2"/>
          <w:sz w:val="16"/>
          <w:szCs w:val="16"/>
        </w:rPr>
        <w:tab/>
      </w:r>
      <w:r>
        <w:rPr>
          <w:rFonts w:ascii="Cambria" w:hAnsi="Cambria"/>
          <w:spacing w:val="-2"/>
          <w:sz w:val="16"/>
          <w:szCs w:val="16"/>
        </w:rPr>
        <w:t>Pozri tiež bod 2.2.1 o spolupráci úradu OLAF a Európskej prokuratúry.</w:t>
      </w:r>
    </w:p>
  </w:footnote>
  <w:footnote w:id="38">
    <w:p>
      <w:pPr>
        <w:pStyle w:val="footnotetext1"/>
        <w:tabs>
          <w:tab w:val="clear" w:pos="360"/>
          <w:tab w:val="left" w:pos="284"/>
        </w:tabs>
        <w:ind w:left="284" w:hanging="284"/>
        <w:rPr>
          <w:rFonts w:ascii="Cambria" w:hAnsi="Cambria"/>
          <w:spacing w:val="-2"/>
          <w:sz w:val="16"/>
        </w:rPr>
      </w:pPr>
      <w:r>
        <w:rPr>
          <w:rStyle w:val="FootnoteReference"/>
          <w:rFonts w:ascii="Cambria" w:hAnsi="Cambria"/>
          <w:spacing w:val="-2"/>
          <w:sz w:val="16"/>
        </w:rPr>
        <w:footnoteRef/>
      </w:r>
      <w:r>
        <w:rPr>
          <w:rFonts w:ascii="Cambria" w:hAnsi="Cambria"/>
          <w:spacing w:val="-2"/>
          <w:sz w:val="16"/>
        </w:rPr>
        <w:tab/>
        <w:t>Spätný dovoz so súčasným prepustením do voľného obehu a daňového voľného obehu tovaru, ktorý podlieha dodaniu s nulovou sadzbou dane.</w:t>
      </w:r>
    </w:p>
  </w:footnote>
  <w:footnote w:id="39">
    <w:p>
      <w:pPr>
        <w:pStyle w:val="footnotetext1"/>
        <w:tabs>
          <w:tab w:val="clear" w:pos="360"/>
          <w:tab w:val="left" w:pos="284"/>
        </w:tabs>
        <w:ind w:left="284" w:hanging="284"/>
        <w:rPr>
          <w:rFonts w:asciiTheme="majorHAnsi" w:hAnsiTheme="majorHAnsi"/>
          <w:spacing w:val="-2"/>
          <w:sz w:val="16"/>
          <w:szCs w:val="16"/>
        </w:rPr>
      </w:pPr>
      <w:r>
        <w:rPr>
          <w:rStyle w:val="FootnoteReference"/>
          <w:rFonts w:asciiTheme="majorHAnsi" w:hAnsiTheme="majorHAnsi"/>
          <w:spacing w:val="-2"/>
          <w:sz w:val="16"/>
          <w:szCs w:val="16"/>
        </w:rPr>
        <w:footnoteRef/>
      </w:r>
      <w:r>
        <w:rPr>
          <w:rFonts w:asciiTheme="majorHAnsi" w:hAnsiTheme="majorHAnsi"/>
          <w:spacing w:val="-2"/>
          <w:sz w:val="16"/>
          <w:szCs w:val="16"/>
        </w:rPr>
        <w:tab/>
        <w:t>Estónsko, Holandsko, Portugalsko, Slovensko a Slovinsko.</w:t>
      </w:r>
    </w:p>
  </w:footnote>
  <w:footnote w:id="40">
    <w:p>
      <w:pPr>
        <w:pStyle w:val="footnotetext1"/>
        <w:tabs>
          <w:tab w:val="clear" w:pos="360"/>
          <w:tab w:val="left" w:pos="284"/>
        </w:tabs>
        <w:ind w:left="284" w:hanging="284"/>
        <w:rPr>
          <w:rFonts w:asciiTheme="majorHAnsi" w:hAnsiTheme="majorHAnsi"/>
          <w:spacing w:val="-2"/>
          <w:sz w:val="16"/>
          <w:szCs w:val="16"/>
        </w:rPr>
      </w:pPr>
      <w:r>
        <w:rPr>
          <w:rStyle w:val="FootnoteReference"/>
          <w:rFonts w:asciiTheme="majorHAnsi" w:hAnsiTheme="majorHAnsi"/>
          <w:spacing w:val="-2"/>
          <w:sz w:val="16"/>
          <w:szCs w:val="16"/>
        </w:rPr>
        <w:footnoteRef/>
      </w:r>
      <w:r>
        <w:rPr>
          <w:rFonts w:asciiTheme="majorHAnsi" w:hAnsiTheme="majorHAnsi"/>
          <w:spacing w:val="-2"/>
          <w:sz w:val="16"/>
          <w:szCs w:val="16"/>
        </w:rPr>
        <w:tab/>
        <w:t>Estónsko a Holandsko.</w:t>
      </w:r>
    </w:p>
  </w:footnote>
  <w:footnote w:id="41">
    <w:p>
      <w:pPr>
        <w:pStyle w:val="footnotetext1"/>
        <w:tabs>
          <w:tab w:val="clear" w:pos="360"/>
          <w:tab w:val="left" w:pos="284"/>
        </w:tabs>
        <w:ind w:left="284" w:hanging="284"/>
        <w:rPr>
          <w:rFonts w:asciiTheme="majorHAnsi" w:hAnsiTheme="majorHAnsi"/>
          <w:spacing w:val="-2"/>
          <w:sz w:val="16"/>
          <w:szCs w:val="16"/>
        </w:rPr>
      </w:pPr>
      <w:r>
        <w:rPr>
          <w:rStyle w:val="FootnoteReference"/>
          <w:rFonts w:asciiTheme="majorHAnsi" w:hAnsiTheme="majorHAnsi"/>
          <w:spacing w:val="-2"/>
          <w:sz w:val="16"/>
          <w:szCs w:val="16"/>
        </w:rPr>
        <w:footnoteRef/>
      </w:r>
      <w:r>
        <w:rPr>
          <w:rFonts w:asciiTheme="majorHAnsi" w:hAnsiTheme="majorHAnsi"/>
          <w:spacing w:val="-2"/>
          <w:sz w:val="16"/>
          <w:szCs w:val="16"/>
        </w:rPr>
        <w:tab/>
        <w:t>Česko, Lotyšsko, Malta a Rakúsko.</w:t>
      </w:r>
    </w:p>
  </w:footnote>
  <w:footnote w:id="42">
    <w:p>
      <w:pPr>
        <w:pStyle w:val="footnotetext1"/>
        <w:tabs>
          <w:tab w:val="clear" w:pos="360"/>
          <w:tab w:val="left" w:pos="284"/>
        </w:tabs>
        <w:ind w:left="284" w:hanging="284"/>
        <w:rPr>
          <w:rFonts w:asciiTheme="majorHAnsi" w:hAnsiTheme="majorHAnsi"/>
          <w:spacing w:val="-2"/>
          <w:sz w:val="16"/>
          <w:szCs w:val="16"/>
        </w:rPr>
      </w:pPr>
      <w:r>
        <w:rPr>
          <w:rStyle w:val="FootnoteReference"/>
          <w:rFonts w:asciiTheme="majorHAnsi" w:hAnsiTheme="majorHAnsi"/>
          <w:spacing w:val="-2"/>
          <w:sz w:val="16"/>
          <w:szCs w:val="16"/>
        </w:rPr>
        <w:footnoteRef/>
      </w:r>
      <w:r>
        <w:rPr>
          <w:rFonts w:asciiTheme="majorHAnsi" w:hAnsiTheme="majorHAnsi"/>
          <w:spacing w:val="-2"/>
          <w:sz w:val="16"/>
          <w:szCs w:val="16"/>
        </w:rPr>
        <w:tab/>
        <w:t>Fínsko.</w:t>
      </w:r>
    </w:p>
  </w:footnote>
  <w:footnote w:id="43">
    <w:p>
      <w:pPr>
        <w:pStyle w:val="footnotetext1"/>
        <w:tabs>
          <w:tab w:val="clear" w:pos="360"/>
          <w:tab w:val="left" w:pos="284"/>
        </w:tabs>
        <w:ind w:left="284" w:hanging="284"/>
        <w:rPr>
          <w:rFonts w:asciiTheme="majorHAnsi" w:hAnsiTheme="majorHAnsi"/>
          <w:spacing w:val="-2"/>
          <w:sz w:val="16"/>
          <w:szCs w:val="16"/>
        </w:rPr>
      </w:pPr>
      <w:r>
        <w:rPr>
          <w:rStyle w:val="FootnoteReference"/>
          <w:rFonts w:asciiTheme="majorHAnsi" w:hAnsiTheme="majorHAnsi"/>
          <w:spacing w:val="-2"/>
          <w:sz w:val="16"/>
          <w:szCs w:val="16"/>
        </w:rPr>
        <w:footnoteRef/>
      </w:r>
      <w:r>
        <w:rPr>
          <w:rFonts w:asciiTheme="majorHAnsi" w:hAnsiTheme="majorHAnsi"/>
          <w:spacing w:val="-2"/>
          <w:sz w:val="16"/>
          <w:szCs w:val="16"/>
        </w:rPr>
        <w:tab/>
        <w:t>Poľsko.</w:t>
      </w:r>
    </w:p>
  </w:footnote>
  <w:footnote w:id="44">
    <w:p>
      <w:pPr>
        <w:pStyle w:val="footnotetext1"/>
        <w:tabs>
          <w:tab w:val="clear" w:pos="360"/>
          <w:tab w:val="left" w:pos="284"/>
        </w:tabs>
        <w:ind w:left="284" w:hanging="284"/>
        <w:rPr>
          <w:rFonts w:asciiTheme="majorHAnsi" w:hAnsiTheme="majorHAnsi"/>
          <w:spacing w:val="-2"/>
          <w:sz w:val="16"/>
          <w:szCs w:val="16"/>
        </w:rPr>
      </w:pPr>
      <w:r>
        <w:rPr>
          <w:rStyle w:val="FootnoteReference"/>
          <w:rFonts w:asciiTheme="majorHAnsi" w:hAnsiTheme="majorHAnsi"/>
          <w:spacing w:val="-2"/>
          <w:sz w:val="16"/>
          <w:szCs w:val="16"/>
        </w:rPr>
        <w:footnoteRef/>
      </w:r>
      <w:r>
        <w:rPr>
          <w:rFonts w:asciiTheme="majorHAnsi" w:hAnsiTheme="majorHAnsi"/>
          <w:spacing w:val="-2"/>
          <w:sz w:val="16"/>
          <w:szCs w:val="16"/>
        </w:rPr>
        <w:tab/>
        <w:t>Informácie o vymáhaní súm TVZ, ktorých sa týkali podvody a nezrovnalosti, sa nachádzajú v pracovnom dokumente útvarov Komisie uvedenom v poznámke pod čiarou č. 1 bode ii).</w:t>
      </w:r>
    </w:p>
  </w:footnote>
  <w:footnote w:id="45">
    <w:p>
      <w:pPr>
        <w:pStyle w:val="footnotetext1"/>
        <w:tabs>
          <w:tab w:val="clear" w:pos="360"/>
          <w:tab w:val="left" w:pos="284"/>
        </w:tabs>
        <w:ind w:left="284" w:hanging="284"/>
        <w:rPr>
          <w:rFonts w:asciiTheme="majorHAnsi" w:hAnsiTheme="majorHAnsi"/>
          <w:spacing w:val="-2"/>
          <w:sz w:val="16"/>
          <w:szCs w:val="16"/>
        </w:rPr>
      </w:pPr>
      <w:r>
        <w:rPr>
          <w:rStyle w:val="FootnoteReference"/>
          <w:rFonts w:asciiTheme="majorHAnsi" w:hAnsiTheme="majorHAnsi"/>
          <w:spacing w:val="-2"/>
          <w:sz w:val="16"/>
          <w:szCs w:val="16"/>
        </w:rPr>
        <w:footnoteRef/>
      </w:r>
      <w:r>
        <w:rPr>
          <w:rFonts w:asciiTheme="majorHAnsi" w:hAnsiTheme="majorHAnsi"/>
          <w:spacing w:val="-2"/>
          <w:sz w:val="16"/>
          <w:szCs w:val="16"/>
        </w:rPr>
        <w:tab/>
        <w:t>EŠIF sa vo všeobecnosti týkajú politiky rozvoja vidieka, rybárskej politiky a politiky súdržnosti.</w:t>
      </w:r>
    </w:p>
  </w:footnote>
  <w:footnote w:id="46">
    <w:p>
      <w:pPr>
        <w:pStyle w:val="footnotetext1"/>
        <w:tabs>
          <w:tab w:val="clear" w:pos="360"/>
          <w:tab w:val="left" w:pos="284"/>
        </w:tabs>
        <w:ind w:left="284" w:hanging="284"/>
        <w:rPr>
          <w:spacing w:val="-2"/>
          <w:sz w:val="16"/>
          <w:szCs w:val="16"/>
        </w:rPr>
      </w:pPr>
      <w:r>
        <w:rPr>
          <w:rStyle w:val="FootnoteReference"/>
          <w:spacing w:val="-2"/>
          <w:sz w:val="16"/>
          <w:szCs w:val="16"/>
        </w:rPr>
        <w:footnoteRef/>
      </w:r>
      <w:r>
        <w:rPr>
          <w:spacing w:val="-2"/>
          <w:sz w:val="16"/>
          <w:szCs w:val="16"/>
        </w:rPr>
        <w:tab/>
        <w:t>Španielsko a Slovensko.</w:t>
      </w:r>
    </w:p>
  </w:footnote>
  <w:footnote w:id="47">
    <w:p>
      <w:pPr>
        <w:pStyle w:val="footnotetext1"/>
        <w:rPr>
          <w:spacing w:val="-2"/>
          <w:sz w:val="16"/>
        </w:rPr>
      </w:pPr>
      <w:r>
        <w:rPr>
          <w:rStyle w:val="FootnoteReference"/>
          <w:spacing w:val="-2"/>
        </w:rPr>
        <w:footnoteRef/>
      </w:r>
      <w:r>
        <w:rPr>
          <w:spacing w:val="-2"/>
        </w:rPr>
        <w:tab/>
      </w:r>
      <w:r>
        <w:rPr>
          <w:spacing w:val="-2"/>
          <w:sz w:val="16"/>
        </w:rPr>
        <w:t>Grécko.</w:t>
      </w:r>
    </w:p>
  </w:footnote>
  <w:footnote w:id="48">
    <w:p>
      <w:pPr>
        <w:pStyle w:val="footnotetext1"/>
        <w:rPr>
          <w:spacing w:val="-2"/>
          <w:sz w:val="16"/>
        </w:rPr>
      </w:pPr>
      <w:r>
        <w:rPr>
          <w:rStyle w:val="FootnoteReference"/>
          <w:spacing w:val="-2"/>
        </w:rPr>
        <w:footnoteRef/>
      </w:r>
      <w:r>
        <w:rPr>
          <w:spacing w:val="-2"/>
        </w:rPr>
        <w:tab/>
      </w:r>
      <w:r>
        <w:rPr>
          <w:spacing w:val="-2"/>
          <w:sz w:val="16"/>
        </w:rPr>
        <w:t>Rumunsko a Španielsko.</w:t>
      </w:r>
    </w:p>
  </w:footnote>
  <w:footnote w:id="49">
    <w:p>
      <w:pPr>
        <w:pStyle w:val="footnotetext1"/>
        <w:rPr>
          <w:spacing w:val="-2"/>
          <w:sz w:val="16"/>
        </w:rPr>
      </w:pPr>
      <w:r>
        <w:rPr>
          <w:rStyle w:val="FootnoteReference"/>
          <w:spacing w:val="-2"/>
        </w:rPr>
        <w:footnoteRef/>
      </w:r>
      <w:r>
        <w:rPr>
          <w:spacing w:val="-2"/>
        </w:rPr>
        <w:t xml:space="preserve"> </w:t>
      </w:r>
      <w:r>
        <w:rPr>
          <w:spacing w:val="-2"/>
        </w:rPr>
        <w:tab/>
      </w:r>
      <w:r>
        <w:rPr>
          <w:spacing w:val="-2"/>
          <w:sz w:val="16"/>
        </w:rPr>
        <w:t>Spojené kráľovstvo.</w:t>
      </w:r>
    </w:p>
  </w:footnote>
  <w:footnote w:id="50">
    <w:p>
      <w:pPr>
        <w:pStyle w:val="footnotetext1"/>
        <w:tabs>
          <w:tab w:val="clear" w:pos="360"/>
          <w:tab w:val="left" w:pos="284"/>
        </w:tabs>
        <w:ind w:left="284" w:hanging="284"/>
        <w:rPr>
          <w:rFonts w:asciiTheme="majorHAnsi" w:hAnsiTheme="majorHAnsi"/>
          <w:spacing w:val="-2"/>
          <w:sz w:val="16"/>
          <w:szCs w:val="16"/>
        </w:rPr>
      </w:pPr>
      <w:r>
        <w:rPr>
          <w:rStyle w:val="FootnoteReference"/>
          <w:rFonts w:asciiTheme="majorHAnsi" w:hAnsiTheme="majorHAnsi"/>
          <w:spacing w:val="-2"/>
          <w:sz w:val="16"/>
          <w:szCs w:val="16"/>
        </w:rPr>
        <w:footnoteRef/>
      </w:r>
      <w:r>
        <w:rPr>
          <w:rFonts w:asciiTheme="majorHAnsi" w:hAnsiTheme="majorHAnsi"/>
          <w:spacing w:val="-2"/>
          <w:sz w:val="16"/>
          <w:szCs w:val="16"/>
        </w:rPr>
        <w:tab/>
        <w:t>Úplný prehľad sa nachádza v odseku 6.1 v pracovnom dokumente útvarov Komisie uvedenom v poznámke pod čiarou č. 1 bode i).</w:t>
      </w:r>
    </w:p>
  </w:footnote>
  <w:footnote w:id="51">
    <w:p>
      <w:pPr>
        <w:pStyle w:val="footnotetext1"/>
        <w:tabs>
          <w:tab w:val="clear" w:pos="360"/>
          <w:tab w:val="left" w:pos="284"/>
        </w:tabs>
        <w:ind w:left="284" w:hanging="284"/>
        <w:rPr>
          <w:rFonts w:asciiTheme="majorHAnsi" w:hAnsiTheme="majorHAnsi"/>
          <w:spacing w:val="-2"/>
          <w:sz w:val="16"/>
          <w:szCs w:val="16"/>
        </w:rPr>
      </w:pPr>
      <w:r>
        <w:rPr>
          <w:rStyle w:val="FootnoteReference"/>
          <w:rFonts w:asciiTheme="majorHAnsi" w:hAnsiTheme="majorHAnsi"/>
          <w:spacing w:val="-2"/>
          <w:sz w:val="16"/>
          <w:szCs w:val="16"/>
        </w:rPr>
        <w:footnoteRef/>
      </w:r>
      <w:r>
        <w:rPr>
          <w:rFonts w:asciiTheme="majorHAnsi" w:hAnsiTheme="majorHAnsi"/>
          <w:spacing w:val="-2"/>
          <w:sz w:val="16"/>
          <w:szCs w:val="16"/>
        </w:rPr>
        <w:tab/>
        <w:t>Rakúsko.</w:t>
      </w:r>
    </w:p>
  </w:footnote>
  <w:footnote w:id="52">
    <w:p>
      <w:pPr>
        <w:pStyle w:val="footnotetext1"/>
        <w:tabs>
          <w:tab w:val="clear" w:pos="360"/>
          <w:tab w:val="left" w:pos="284"/>
        </w:tabs>
        <w:ind w:left="284" w:hanging="284"/>
        <w:rPr>
          <w:rFonts w:asciiTheme="majorHAnsi" w:hAnsiTheme="majorHAnsi"/>
          <w:spacing w:val="-2"/>
          <w:sz w:val="16"/>
          <w:szCs w:val="16"/>
        </w:rPr>
      </w:pPr>
      <w:r>
        <w:rPr>
          <w:rStyle w:val="FootnoteReference"/>
          <w:rFonts w:asciiTheme="majorHAnsi" w:hAnsiTheme="majorHAnsi"/>
          <w:spacing w:val="-2"/>
          <w:sz w:val="16"/>
          <w:szCs w:val="16"/>
        </w:rPr>
        <w:footnoteRef/>
      </w:r>
      <w:r>
        <w:rPr>
          <w:rFonts w:asciiTheme="majorHAnsi" w:hAnsiTheme="majorHAnsi"/>
          <w:spacing w:val="-2"/>
          <w:sz w:val="16"/>
          <w:szCs w:val="16"/>
        </w:rPr>
        <w:tab/>
        <w:t>Taliansko.</w:t>
      </w:r>
    </w:p>
  </w:footnote>
  <w:footnote w:id="53">
    <w:p>
      <w:pPr>
        <w:pStyle w:val="footnotetext1"/>
        <w:tabs>
          <w:tab w:val="clear" w:pos="360"/>
          <w:tab w:val="left" w:pos="284"/>
        </w:tabs>
        <w:ind w:left="284" w:hanging="284"/>
        <w:rPr>
          <w:rFonts w:asciiTheme="majorHAnsi" w:hAnsiTheme="majorHAnsi"/>
          <w:spacing w:val="-2"/>
          <w:sz w:val="16"/>
          <w:szCs w:val="16"/>
        </w:rPr>
      </w:pPr>
      <w:r>
        <w:rPr>
          <w:rStyle w:val="FootnoteReference"/>
          <w:rFonts w:asciiTheme="majorHAnsi" w:hAnsiTheme="majorHAnsi"/>
          <w:spacing w:val="-2"/>
          <w:sz w:val="16"/>
          <w:szCs w:val="16"/>
        </w:rPr>
        <w:footnoteRef/>
      </w:r>
      <w:r>
        <w:rPr>
          <w:rFonts w:asciiTheme="majorHAnsi" w:hAnsiTheme="majorHAnsi"/>
          <w:spacing w:val="-2"/>
          <w:sz w:val="16"/>
          <w:szCs w:val="16"/>
        </w:rPr>
        <w:tab/>
        <w:t>Luxembursko.</w:t>
      </w:r>
    </w:p>
  </w:footnote>
  <w:footnote w:id="54">
    <w:p>
      <w:pPr>
        <w:pStyle w:val="footnotetext1"/>
        <w:tabs>
          <w:tab w:val="clear" w:pos="360"/>
          <w:tab w:val="left" w:pos="284"/>
        </w:tabs>
        <w:ind w:left="284" w:hanging="284"/>
        <w:rPr>
          <w:rFonts w:asciiTheme="majorHAnsi" w:hAnsiTheme="majorHAnsi"/>
          <w:spacing w:val="-2"/>
          <w:sz w:val="16"/>
          <w:szCs w:val="16"/>
        </w:rPr>
      </w:pPr>
      <w:r>
        <w:rPr>
          <w:rStyle w:val="FootnoteReference"/>
          <w:rFonts w:asciiTheme="majorHAnsi" w:hAnsiTheme="majorHAnsi"/>
          <w:spacing w:val="-2"/>
          <w:sz w:val="16"/>
          <w:szCs w:val="16"/>
        </w:rPr>
        <w:footnoteRef/>
      </w:r>
      <w:r>
        <w:rPr>
          <w:rFonts w:asciiTheme="majorHAnsi" w:hAnsiTheme="majorHAnsi"/>
          <w:spacing w:val="-2"/>
          <w:sz w:val="16"/>
          <w:szCs w:val="16"/>
        </w:rPr>
        <w:tab/>
        <w:t>Slovensko.</w:t>
      </w:r>
    </w:p>
  </w:footnote>
  <w:footnote w:id="55">
    <w:p>
      <w:pPr>
        <w:pStyle w:val="footnotetext1"/>
        <w:tabs>
          <w:tab w:val="clear" w:pos="360"/>
          <w:tab w:val="left" w:pos="284"/>
        </w:tabs>
        <w:ind w:left="284" w:hanging="284"/>
        <w:rPr>
          <w:rFonts w:asciiTheme="majorHAnsi" w:hAnsiTheme="majorHAnsi"/>
          <w:spacing w:val="-2"/>
          <w:sz w:val="16"/>
          <w:szCs w:val="16"/>
        </w:rPr>
      </w:pPr>
      <w:r>
        <w:rPr>
          <w:rStyle w:val="FootnoteReference"/>
          <w:rFonts w:asciiTheme="majorHAnsi" w:hAnsiTheme="majorHAnsi"/>
          <w:spacing w:val="-2"/>
          <w:sz w:val="16"/>
          <w:szCs w:val="16"/>
        </w:rPr>
        <w:footnoteRef/>
      </w:r>
      <w:r>
        <w:rPr>
          <w:rFonts w:asciiTheme="majorHAnsi" w:hAnsiTheme="majorHAnsi"/>
          <w:spacing w:val="-2"/>
          <w:sz w:val="16"/>
          <w:szCs w:val="16"/>
        </w:rPr>
        <w:tab/>
        <w:t>Belgicko.</w:t>
      </w:r>
    </w:p>
  </w:footnote>
  <w:footnote w:id="56">
    <w:p>
      <w:pPr>
        <w:pStyle w:val="footnotetext1"/>
        <w:tabs>
          <w:tab w:val="clear" w:pos="360"/>
          <w:tab w:val="left" w:pos="284"/>
        </w:tabs>
        <w:rPr>
          <w:rFonts w:asciiTheme="majorHAnsi" w:hAnsiTheme="majorHAnsi"/>
          <w:spacing w:val="-2"/>
          <w:sz w:val="16"/>
          <w:szCs w:val="16"/>
        </w:rPr>
      </w:pPr>
      <w:r>
        <w:rPr>
          <w:rStyle w:val="FootnoteReference"/>
          <w:spacing w:val="-2"/>
        </w:rPr>
        <w:footnoteRef/>
      </w:r>
      <w:r>
        <w:rPr>
          <w:spacing w:val="-2"/>
        </w:rPr>
        <w:tab/>
      </w:r>
      <w:r>
        <w:rPr>
          <w:rFonts w:asciiTheme="majorHAnsi" w:hAnsiTheme="majorHAnsi"/>
          <w:spacing w:val="-2"/>
          <w:sz w:val="16"/>
          <w:szCs w:val="16"/>
        </w:rPr>
        <w:t>Litva.</w:t>
      </w:r>
    </w:p>
  </w:footnote>
  <w:footnote w:id="57">
    <w:p>
      <w:pPr>
        <w:pStyle w:val="footnotetext1"/>
        <w:tabs>
          <w:tab w:val="clear" w:pos="360"/>
          <w:tab w:val="left" w:pos="284"/>
        </w:tabs>
        <w:ind w:left="284" w:hanging="284"/>
        <w:rPr>
          <w:rFonts w:asciiTheme="majorHAnsi" w:hAnsiTheme="majorHAnsi"/>
          <w:spacing w:val="-2"/>
          <w:sz w:val="16"/>
          <w:szCs w:val="16"/>
        </w:rPr>
      </w:pPr>
      <w:r>
        <w:rPr>
          <w:rStyle w:val="FootnoteReference"/>
          <w:rFonts w:asciiTheme="majorHAnsi" w:hAnsiTheme="majorHAnsi"/>
          <w:spacing w:val="-2"/>
          <w:sz w:val="16"/>
          <w:szCs w:val="16"/>
        </w:rPr>
        <w:footnoteRef/>
      </w:r>
      <w:r>
        <w:rPr>
          <w:rFonts w:asciiTheme="majorHAnsi" w:hAnsiTheme="majorHAnsi"/>
          <w:spacing w:val="-2"/>
          <w:sz w:val="16"/>
          <w:szCs w:val="16"/>
        </w:rPr>
        <w:tab/>
        <w:t>Slovinsko.</w:t>
      </w:r>
    </w:p>
  </w:footnote>
  <w:footnote w:id="58">
    <w:p>
      <w:pPr>
        <w:pStyle w:val="footnotetext1"/>
        <w:tabs>
          <w:tab w:val="clear" w:pos="360"/>
          <w:tab w:val="left" w:pos="284"/>
        </w:tabs>
        <w:ind w:left="284" w:hanging="284"/>
        <w:rPr>
          <w:rFonts w:asciiTheme="majorHAnsi" w:hAnsiTheme="majorHAnsi"/>
          <w:spacing w:val="-2"/>
          <w:sz w:val="16"/>
          <w:szCs w:val="16"/>
        </w:rPr>
      </w:pPr>
      <w:r>
        <w:rPr>
          <w:rStyle w:val="FootnoteReference"/>
          <w:rFonts w:asciiTheme="majorHAnsi" w:hAnsiTheme="majorHAnsi"/>
          <w:spacing w:val="-2"/>
          <w:sz w:val="16"/>
          <w:szCs w:val="16"/>
        </w:rPr>
        <w:footnoteRef/>
      </w:r>
      <w:r>
        <w:rPr>
          <w:rFonts w:asciiTheme="majorHAnsi" w:hAnsiTheme="majorHAnsi"/>
          <w:spacing w:val="-2"/>
          <w:sz w:val="16"/>
          <w:szCs w:val="16"/>
        </w:rPr>
        <w:tab/>
        <w:t>Všetky posúdenia predložené v tomto oddiele vychádzajú zo zistení, ktoré sú podrobne rozpísané v kapitole 3 pracovného dokumentu útvarov Komisie uvedeného v poznámke pod čiarou č. 1 bode ii).</w:t>
      </w:r>
    </w:p>
  </w:footnote>
  <w:footnote w:id="59">
    <w:p>
      <w:pPr>
        <w:pStyle w:val="footnotetext1"/>
        <w:rPr>
          <w:rFonts w:asciiTheme="majorHAnsi" w:hAnsiTheme="majorHAnsi"/>
          <w:spacing w:val="-2"/>
          <w:sz w:val="16"/>
          <w:szCs w:val="16"/>
        </w:rPr>
      </w:pPr>
      <w:r>
        <w:rPr>
          <w:rStyle w:val="FootnoteReference"/>
          <w:spacing w:val="-2"/>
        </w:rPr>
        <w:footnoteRef/>
      </w:r>
      <w:r>
        <w:rPr>
          <w:spacing w:val="-2"/>
        </w:rPr>
        <w:tab/>
      </w:r>
      <w:r>
        <w:rPr>
          <w:rFonts w:asciiTheme="majorHAnsi" w:hAnsiTheme="majorHAnsi"/>
          <w:spacing w:val="-2"/>
          <w:sz w:val="16"/>
          <w:szCs w:val="16"/>
        </w:rPr>
        <w:t>Tamže, bod 3.4.3.</w:t>
      </w:r>
    </w:p>
  </w:footnote>
  <w:footnote w:id="60">
    <w:p>
      <w:pPr>
        <w:pStyle w:val="footnotetext1"/>
        <w:rPr>
          <w:rFonts w:asciiTheme="majorHAnsi" w:hAnsiTheme="majorHAnsi"/>
          <w:spacing w:val="-2"/>
          <w:sz w:val="16"/>
          <w:szCs w:val="16"/>
        </w:rPr>
      </w:pPr>
      <w:r>
        <w:rPr>
          <w:rStyle w:val="FootnoteReference"/>
          <w:spacing w:val="-2"/>
        </w:rPr>
        <w:footnoteRef/>
      </w:r>
      <w:r>
        <w:rPr>
          <w:spacing w:val="-2"/>
        </w:rPr>
        <w:tab/>
      </w:r>
      <w:r>
        <w:rPr>
          <w:rFonts w:asciiTheme="majorHAnsi" w:hAnsiTheme="majorHAnsi"/>
          <w:spacing w:val="-2"/>
          <w:sz w:val="16"/>
          <w:szCs w:val="16"/>
        </w:rPr>
        <w:t>Tamže, bod 3.4.4.</w:t>
      </w:r>
    </w:p>
  </w:footnote>
  <w:footnote w:id="61">
    <w:p>
      <w:pPr>
        <w:pStyle w:val="footnotetext1"/>
        <w:tabs>
          <w:tab w:val="clear" w:pos="360"/>
          <w:tab w:val="left" w:pos="284"/>
        </w:tabs>
        <w:ind w:left="284" w:hanging="284"/>
        <w:rPr>
          <w:rFonts w:asciiTheme="majorHAnsi" w:hAnsiTheme="majorHAnsi"/>
          <w:spacing w:val="-2"/>
          <w:sz w:val="16"/>
          <w:szCs w:val="16"/>
        </w:rPr>
      </w:pPr>
      <w:r>
        <w:rPr>
          <w:rStyle w:val="FootnoteReference"/>
          <w:rFonts w:asciiTheme="majorHAnsi" w:hAnsiTheme="majorHAnsi"/>
          <w:spacing w:val="-2"/>
          <w:sz w:val="16"/>
        </w:rPr>
        <w:footnoteRef/>
      </w:r>
      <w:r>
        <w:rPr>
          <w:spacing w:val="-2"/>
        </w:rPr>
        <w:tab/>
      </w:r>
      <w:r>
        <w:rPr>
          <w:rFonts w:asciiTheme="majorHAnsi" w:hAnsiTheme="majorHAnsi"/>
          <w:spacing w:val="-2"/>
          <w:sz w:val="16"/>
          <w:szCs w:val="16"/>
        </w:rPr>
        <w:t>Komisia znovu zdôrazňuje, aký vplyv môže mať malý počet výnimočných prípadov na trendy spojené s finančnými sumami. Cieľom analýzy priemerných finančných súm v pracovnom dokumente útvarov Komisie uvedenej v poznámke pod čiarou č. </w:t>
      </w:r>
      <w:r>
        <w:rPr>
          <w:rFonts w:asciiTheme="majorHAnsi" w:hAnsiTheme="majorHAnsi"/>
          <w:spacing w:val="-2"/>
          <w:sz w:val="16"/>
          <w:szCs w:val="16"/>
        </w:rPr>
        <w:fldChar w:fldCharType="begin"/>
      </w:r>
      <w:r>
        <w:rPr>
          <w:rFonts w:asciiTheme="majorHAnsi" w:hAnsiTheme="majorHAnsi"/>
          <w:spacing w:val="-2"/>
          <w:sz w:val="16"/>
          <w:szCs w:val="16"/>
        </w:rPr>
        <w:instrText xml:space="preserve"> NOTEREF _Ref12878653 \h  \* MERGEFORMAT </w:instrText>
      </w:r>
      <w:r>
        <w:rPr>
          <w:rFonts w:asciiTheme="majorHAnsi" w:hAnsiTheme="majorHAnsi"/>
          <w:spacing w:val="-2"/>
          <w:sz w:val="16"/>
          <w:szCs w:val="16"/>
        </w:rPr>
      </w:r>
      <w:r>
        <w:rPr>
          <w:rFonts w:asciiTheme="majorHAnsi" w:hAnsiTheme="majorHAnsi"/>
          <w:spacing w:val="-2"/>
          <w:sz w:val="16"/>
          <w:szCs w:val="16"/>
        </w:rPr>
        <w:fldChar w:fldCharType="separate"/>
      </w:r>
      <w:r>
        <w:rPr>
          <w:rFonts w:asciiTheme="majorHAnsi" w:hAnsiTheme="majorHAnsi"/>
          <w:spacing w:val="-2"/>
          <w:sz w:val="16"/>
          <w:szCs w:val="16"/>
        </w:rPr>
        <w:t>1</w:t>
      </w:r>
      <w:r>
        <w:rPr>
          <w:rFonts w:asciiTheme="majorHAnsi" w:hAnsiTheme="majorHAnsi"/>
          <w:spacing w:val="-2"/>
          <w:sz w:val="16"/>
          <w:szCs w:val="16"/>
        </w:rPr>
        <w:fldChar w:fldCharType="end"/>
      </w:r>
      <w:r>
        <w:rPr>
          <w:rFonts w:asciiTheme="majorHAnsi" w:hAnsiTheme="majorHAnsi"/>
          <w:spacing w:val="-2"/>
          <w:sz w:val="16"/>
          <w:szCs w:val="16"/>
        </w:rPr>
        <w:t xml:space="preserve"> bode ii) je práve obmedziť takéto rušivé účinky.</w:t>
      </w:r>
    </w:p>
  </w:footnote>
  <w:footnote w:id="62">
    <w:p>
      <w:pPr>
        <w:pStyle w:val="footnotetext1"/>
        <w:tabs>
          <w:tab w:val="clear" w:pos="360"/>
          <w:tab w:val="left" w:pos="284"/>
        </w:tabs>
        <w:ind w:left="284" w:hanging="284"/>
        <w:rPr>
          <w:rFonts w:asciiTheme="majorHAnsi" w:hAnsiTheme="majorHAnsi"/>
          <w:spacing w:val="-2"/>
          <w:sz w:val="16"/>
          <w:szCs w:val="16"/>
        </w:rPr>
      </w:pPr>
      <w:r>
        <w:rPr>
          <w:rStyle w:val="FootnoteReference"/>
          <w:rFonts w:asciiTheme="majorHAnsi" w:hAnsiTheme="majorHAnsi"/>
          <w:spacing w:val="-2"/>
          <w:sz w:val="16"/>
          <w:szCs w:val="16"/>
        </w:rPr>
        <w:footnoteRef/>
      </w:r>
      <w:r>
        <w:rPr>
          <w:rFonts w:asciiTheme="majorHAnsi" w:hAnsiTheme="majorHAnsi"/>
          <w:spacing w:val="-2"/>
          <w:sz w:val="16"/>
          <w:szCs w:val="16"/>
        </w:rPr>
        <w:tab/>
        <w:t>Všetky posúdenia predložené v tomto oddiele vychádzajú zo zistení, ktoré sú podrobne rozpísané v kapitole 4 pracovného dokumentu útvarov Komisie uvedeného v poznámke pod čiarou č. 1 bode ii).</w:t>
      </w:r>
    </w:p>
  </w:footnote>
  <w:footnote w:id="63">
    <w:p>
      <w:pPr>
        <w:pStyle w:val="footnotetext1"/>
        <w:tabs>
          <w:tab w:val="clear" w:pos="360"/>
          <w:tab w:val="left" w:pos="284"/>
        </w:tabs>
        <w:ind w:left="284" w:hanging="284"/>
        <w:rPr>
          <w:rFonts w:asciiTheme="majorHAnsi" w:hAnsiTheme="majorHAnsi"/>
          <w:spacing w:val="-2"/>
          <w:sz w:val="16"/>
          <w:szCs w:val="16"/>
        </w:rPr>
      </w:pPr>
      <w:r>
        <w:rPr>
          <w:rStyle w:val="FootnoteReference"/>
          <w:rFonts w:asciiTheme="majorHAnsi" w:hAnsiTheme="majorHAnsi"/>
          <w:spacing w:val="-2"/>
          <w:sz w:val="16"/>
          <w:szCs w:val="16"/>
        </w:rPr>
        <w:footnoteRef/>
      </w:r>
      <w:r>
        <w:rPr>
          <w:rFonts w:asciiTheme="majorHAnsi" w:hAnsiTheme="majorHAnsi"/>
          <w:spacing w:val="-2"/>
          <w:sz w:val="16"/>
          <w:szCs w:val="16"/>
        </w:rPr>
        <w:tab/>
        <w:t>Pozri kapitolu 5 pracovného dokumentu útvarov Komisie uvedeného v poznámke pod čiarou č. 1 bode ii).</w:t>
      </w:r>
    </w:p>
  </w:footnote>
  <w:footnote w:id="64">
    <w:p>
      <w:pPr>
        <w:pStyle w:val="footnotetext1"/>
        <w:tabs>
          <w:tab w:val="clear" w:pos="360"/>
          <w:tab w:val="left" w:pos="284"/>
        </w:tabs>
        <w:ind w:left="284" w:hanging="284"/>
        <w:rPr>
          <w:rFonts w:ascii="Cambria" w:hAnsi="Cambria"/>
          <w:spacing w:val="-2"/>
          <w:sz w:val="16"/>
        </w:rPr>
      </w:pPr>
      <w:r>
        <w:rPr>
          <w:rStyle w:val="FootnoteReference"/>
          <w:rFonts w:ascii="Cambria" w:hAnsi="Cambria"/>
          <w:spacing w:val="-2"/>
          <w:sz w:val="16"/>
        </w:rPr>
        <w:footnoteRef/>
      </w:r>
      <w:r>
        <w:rPr>
          <w:rFonts w:ascii="Cambria" w:hAnsi="Cambria"/>
          <w:spacing w:val="-2"/>
          <w:sz w:val="16"/>
        </w:rPr>
        <w:t xml:space="preserve"> </w:t>
      </w:r>
      <w:r>
        <w:rPr>
          <w:spacing w:val="-2"/>
        </w:rPr>
        <w:tab/>
      </w:r>
      <w:r>
        <w:rPr>
          <w:rFonts w:ascii="Cambria" w:hAnsi="Cambria"/>
          <w:spacing w:val="-2"/>
          <w:sz w:val="16"/>
        </w:rPr>
        <w:t>Uvedené v systéme ako prípady „oznámené úradom OLAF“.</w:t>
      </w:r>
    </w:p>
  </w:footnote>
  <w:footnote w:id="65">
    <w:p>
      <w:pPr>
        <w:pStyle w:val="footnotetext1"/>
        <w:tabs>
          <w:tab w:val="clear" w:pos="360"/>
          <w:tab w:val="left" w:pos="284"/>
        </w:tabs>
        <w:ind w:left="284" w:hanging="284"/>
        <w:rPr>
          <w:rFonts w:asciiTheme="majorHAnsi" w:hAnsiTheme="majorHAnsi"/>
          <w:spacing w:val="-2"/>
          <w:sz w:val="16"/>
          <w:szCs w:val="16"/>
        </w:rPr>
      </w:pPr>
      <w:r>
        <w:rPr>
          <w:rStyle w:val="FootnoteReference"/>
          <w:rFonts w:asciiTheme="majorHAnsi" w:hAnsiTheme="majorHAnsi"/>
          <w:spacing w:val="-2"/>
          <w:sz w:val="16"/>
          <w:szCs w:val="16"/>
        </w:rPr>
        <w:footnoteRef/>
      </w:r>
      <w:r>
        <w:rPr>
          <w:rFonts w:asciiTheme="majorHAnsi" w:hAnsiTheme="majorHAnsi"/>
          <w:spacing w:val="-2"/>
          <w:sz w:val="16"/>
          <w:szCs w:val="16"/>
        </w:rPr>
        <w:tab/>
        <w:t>Výročná správa o hospodárení a výkonnosti je súčasťou integrovaného balíka finančných správ o rozpočte EÚ [COM(2019) 299 final/2]. Informácie o vymáhaní na strane príjmov sa nachádzajú aj v pracovnom dokumente útvarov Komisie uvedenom v poznámke pod čiarou č. 1 bode ii).</w:t>
      </w:r>
    </w:p>
  </w:footnote>
  <w:footnote w:id="66">
    <w:p>
      <w:pPr>
        <w:pStyle w:val="footnotetext1"/>
        <w:rPr>
          <w:rFonts w:ascii="Cambria" w:hAnsi="Cambria"/>
          <w:spacing w:val="-2"/>
          <w:sz w:val="16"/>
          <w:szCs w:val="16"/>
        </w:rPr>
      </w:pPr>
      <w:r>
        <w:rPr>
          <w:rStyle w:val="FootnoteReference"/>
          <w:spacing w:val="-2"/>
          <w:sz w:val="16"/>
          <w:szCs w:val="16"/>
        </w:rPr>
        <w:footnoteRef/>
      </w:r>
      <w:r>
        <w:rPr>
          <w:rFonts w:asciiTheme="majorHAnsi" w:hAnsiTheme="majorHAnsi"/>
          <w:spacing w:val="-2"/>
          <w:sz w:val="16"/>
          <w:szCs w:val="16"/>
        </w:rPr>
        <w:tab/>
      </w:r>
      <w:r>
        <w:rPr>
          <w:rFonts w:ascii="Cambria" w:hAnsi="Cambria"/>
          <w:spacing w:val="-2"/>
          <w:sz w:val="16"/>
          <w:szCs w:val="16"/>
        </w:rPr>
        <w:t>Nariadenie Európskeho parlamentu a Rady (EÚ, Euratom) 2018/1046 z 18. júla 2018 o rozpočtových pravidlách, ktoré sa vzťahujú na všeobecný rozpočet Únie, o zmene nariadení (EÚ) č. 1296/2013, (EÚ) č. 1301/2013, (EÚ) č. 1303/2013, (EÚ) č. 1304/2013, (EÚ) č. 1309/2013, (EÚ) č. 1316/2013, (EÚ) č. 223/2014, (EÚ) č. 283/2014 a rozhodnutia č. 541/2014/EÚ a o zrušení nariadenia (EÚ, Euratom) č. 966/2012, Ú. v. EÚ L 193, 30.7.2018, s. 1.</w:t>
      </w:r>
    </w:p>
  </w:footnote>
  <w:footnote w:id="67">
    <w:p>
      <w:pPr>
        <w:pStyle w:val="footnotetext1"/>
        <w:rPr>
          <w:rFonts w:ascii="Cambria" w:hAnsi="Cambria"/>
          <w:spacing w:val="-2"/>
          <w:sz w:val="16"/>
          <w:szCs w:val="16"/>
        </w:rPr>
      </w:pPr>
      <w:r>
        <w:rPr>
          <w:rStyle w:val="FootnoteReference"/>
          <w:rFonts w:ascii="Cambria" w:hAnsi="Cambria"/>
          <w:spacing w:val="-2"/>
          <w:sz w:val="16"/>
          <w:szCs w:val="16"/>
        </w:rPr>
        <w:footnoteRef/>
      </w:r>
      <w:r>
        <w:rPr>
          <w:rFonts w:ascii="Cambria" w:hAnsi="Cambria"/>
          <w:spacing w:val="-2"/>
          <w:sz w:val="16"/>
          <w:szCs w:val="16"/>
        </w:rPr>
        <w:t xml:space="preserve"> </w:t>
      </w:r>
      <w:r>
        <w:rPr>
          <w:rFonts w:asciiTheme="majorHAnsi" w:hAnsiTheme="majorHAnsi"/>
          <w:spacing w:val="-2"/>
          <w:sz w:val="16"/>
          <w:szCs w:val="16"/>
        </w:rPr>
        <w:tab/>
      </w:r>
      <w:hyperlink r:id="rId6" w:history="1">
        <w:r>
          <w:rPr>
            <w:rStyle w:val="Hyperlink"/>
            <w:rFonts w:ascii="Cambria" w:hAnsi="Cambria"/>
            <w:spacing w:val="-2"/>
            <w:sz w:val="16"/>
            <w:szCs w:val="16"/>
          </w:rPr>
          <w:t>http://ec.europa.eu/budget/edes/index_en.cfm</w:t>
        </w:r>
      </w:hyperlink>
      <w:r>
        <w:rPr>
          <w:rFonts w:ascii="Cambria" w:hAnsi="Cambria"/>
          <w:spacing w:val="-2"/>
          <w:sz w:val="16"/>
          <w:szCs w:val="16"/>
        </w:rPr>
        <w:t xml:space="preserve"> </w:t>
      </w:r>
    </w:p>
  </w:footnote>
  <w:footnote w:id="68">
    <w:p>
      <w:pPr>
        <w:pStyle w:val="footnotetext1"/>
        <w:rPr>
          <w:rFonts w:ascii="Cambria" w:hAnsi="Cambria"/>
          <w:spacing w:val="-2"/>
          <w:sz w:val="16"/>
          <w:szCs w:val="16"/>
        </w:rPr>
      </w:pPr>
      <w:r>
        <w:rPr>
          <w:rStyle w:val="FootnoteReference"/>
          <w:spacing w:val="-2"/>
          <w:sz w:val="16"/>
          <w:szCs w:val="16"/>
        </w:rPr>
        <w:footnoteRef/>
      </w:r>
      <w:r>
        <w:rPr>
          <w:spacing w:val="-2"/>
          <w:sz w:val="16"/>
          <w:szCs w:val="16"/>
        </w:rPr>
        <w:tab/>
      </w:r>
      <w:r>
        <w:rPr>
          <w:rFonts w:ascii="Cambria" w:hAnsi="Cambria"/>
          <w:spacing w:val="-2"/>
          <w:sz w:val="16"/>
          <w:szCs w:val="16"/>
        </w:rPr>
        <w:t>Na účely plnenia rozpočtu.</w:t>
      </w:r>
    </w:p>
  </w:footnote>
  <w:footnote w:id="69">
    <w:p>
      <w:pPr>
        <w:pStyle w:val="footnotetext1"/>
        <w:rPr>
          <w:rFonts w:ascii="Cambria" w:hAnsi="Cambria"/>
          <w:spacing w:val="-2"/>
          <w:sz w:val="16"/>
          <w:szCs w:val="16"/>
        </w:rPr>
      </w:pPr>
      <w:r>
        <w:rPr>
          <w:rStyle w:val="FootnoteReference"/>
          <w:rFonts w:ascii="Cambria" w:hAnsi="Cambria"/>
          <w:spacing w:val="-2"/>
          <w:sz w:val="16"/>
          <w:szCs w:val="16"/>
        </w:rPr>
        <w:footnoteRef/>
      </w:r>
      <w:r>
        <w:rPr>
          <w:spacing w:val="-2"/>
          <w:sz w:val="16"/>
          <w:szCs w:val="16"/>
        </w:rPr>
        <w:tab/>
      </w:r>
      <w:r>
        <w:rPr>
          <w:rFonts w:ascii="Cambria" w:hAnsi="Cambria"/>
          <w:spacing w:val="-2"/>
          <w:sz w:val="16"/>
          <w:szCs w:val="16"/>
        </w:rPr>
        <w:t>Znenie použité v článku 136 nariadenia o rozpočtových pravidlách.</w:t>
      </w:r>
    </w:p>
  </w:footnote>
  <w:footnote w:id="70">
    <w:p>
      <w:pPr>
        <w:pStyle w:val="footnotetext1"/>
        <w:rPr>
          <w:rFonts w:ascii="Cambria" w:hAnsi="Cambria"/>
          <w:spacing w:val="-2"/>
          <w:sz w:val="16"/>
          <w:szCs w:val="16"/>
        </w:rPr>
      </w:pPr>
      <w:r>
        <w:rPr>
          <w:rStyle w:val="FootnoteReference"/>
          <w:rFonts w:ascii="Cambria" w:hAnsi="Cambria"/>
          <w:spacing w:val="-2"/>
          <w:sz w:val="16"/>
          <w:szCs w:val="16"/>
        </w:rPr>
        <w:footnoteRef/>
      </w:r>
      <w:r>
        <w:rPr>
          <w:spacing w:val="-2"/>
          <w:sz w:val="16"/>
          <w:szCs w:val="16"/>
        </w:rPr>
        <w:tab/>
      </w:r>
      <w:r>
        <w:rPr>
          <w:rFonts w:ascii="Cambria" w:hAnsi="Cambria"/>
          <w:spacing w:val="-2"/>
          <w:sz w:val="16"/>
          <w:szCs w:val="16"/>
        </w:rPr>
        <w:t xml:space="preserve">Povoľujúcimi útvarmi môžu byť útvary inštitúcií, agentúr, úradov a orgánov EÚ. </w:t>
      </w:r>
    </w:p>
  </w:footnote>
  <w:footnote w:id="71">
    <w:p>
      <w:pPr>
        <w:pStyle w:val="footnotetext1"/>
        <w:rPr>
          <w:rFonts w:ascii="Cambria" w:hAnsi="Cambria"/>
          <w:spacing w:val="-2"/>
          <w:sz w:val="16"/>
          <w:szCs w:val="16"/>
        </w:rPr>
      </w:pPr>
      <w:r>
        <w:rPr>
          <w:rStyle w:val="FootnoteReference"/>
          <w:rFonts w:ascii="Cambria" w:hAnsi="Cambria"/>
          <w:spacing w:val="-2"/>
          <w:sz w:val="16"/>
          <w:szCs w:val="16"/>
        </w:rPr>
        <w:footnoteRef/>
      </w:r>
      <w:r>
        <w:rPr>
          <w:rFonts w:ascii="Cambria" w:hAnsi="Cambria"/>
          <w:spacing w:val="-2"/>
          <w:sz w:val="16"/>
          <w:szCs w:val="16"/>
        </w:rPr>
        <w:tab/>
        <w:t>V situáciách uvedených v článku 136 ods. 1 písm. c) až h) nariadenia o rozpočtových pravidlách (t. j. závažné odborné pochybenie, podvod, závažné porušenia zmluvných povinností, nezrovnalosti, zakladanie schránkových spoločností).</w:t>
      </w:r>
    </w:p>
  </w:footnote>
  <w:footnote w:id="72">
    <w:p>
      <w:pPr>
        <w:pStyle w:val="footnotetext1"/>
        <w:ind w:left="357" w:hanging="357"/>
        <w:rPr>
          <w:rFonts w:asciiTheme="majorHAnsi" w:hAnsiTheme="majorHAnsi"/>
          <w:spacing w:val="-2"/>
          <w:sz w:val="16"/>
          <w:szCs w:val="16"/>
        </w:rPr>
      </w:pPr>
      <w:r>
        <w:rPr>
          <w:rStyle w:val="FootnoteReference"/>
          <w:spacing w:val="-2"/>
          <w:sz w:val="16"/>
          <w:szCs w:val="16"/>
        </w:rPr>
        <w:footnoteRef/>
      </w:r>
      <w:r>
        <w:rPr>
          <w:spacing w:val="-2"/>
          <w:sz w:val="16"/>
          <w:szCs w:val="16"/>
        </w:rPr>
        <w:tab/>
      </w:r>
      <w:r>
        <w:rPr>
          <w:rFonts w:asciiTheme="majorHAnsi" w:hAnsiTheme="majorHAnsi"/>
          <w:spacing w:val="-2"/>
          <w:sz w:val="16"/>
          <w:szCs w:val="16"/>
        </w:rPr>
        <w:t>Výbor uvedený v článku 143 nariadenia o rozpočtových pravidlách.</w:t>
      </w:r>
    </w:p>
  </w:footnote>
  <w:footnote w:id="73">
    <w:p>
      <w:pPr>
        <w:pStyle w:val="footnotetext1"/>
        <w:ind w:left="357" w:hanging="357"/>
        <w:rPr>
          <w:rFonts w:asciiTheme="majorHAnsi" w:hAnsiTheme="majorHAnsi"/>
          <w:spacing w:val="-2"/>
          <w:sz w:val="16"/>
          <w:szCs w:val="16"/>
        </w:rPr>
      </w:pPr>
      <w:r>
        <w:rPr>
          <w:rStyle w:val="FootnoteReference"/>
          <w:spacing w:val="-2"/>
        </w:rPr>
        <w:footnoteRef/>
      </w:r>
      <w:r>
        <w:rPr>
          <w:spacing w:val="-2"/>
        </w:rPr>
        <w:tab/>
      </w:r>
      <w:r>
        <w:rPr>
          <w:rFonts w:asciiTheme="majorHAnsi" w:hAnsiTheme="majorHAnsi"/>
          <w:spacing w:val="-2"/>
          <w:sz w:val="16"/>
          <w:szCs w:val="16"/>
        </w:rPr>
        <w:t>Predseda má stáleho nezávislého zástupcu na vysokej úrovni.</w:t>
      </w:r>
    </w:p>
  </w:footnote>
  <w:footnote w:id="74">
    <w:p>
      <w:pPr>
        <w:pStyle w:val="footnotetext1"/>
        <w:ind w:left="357" w:hanging="357"/>
        <w:rPr>
          <w:rFonts w:asciiTheme="majorHAnsi" w:hAnsiTheme="majorHAnsi"/>
          <w:spacing w:val="-2"/>
          <w:sz w:val="16"/>
          <w:szCs w:val="16"/>
        </w:rPr>
      </w:pPr>
      <w:r>
        <w:rPr>
          <w:rStyle w:val="FootnoteReference"/>
          <w:spacing w:val="-2"/>
        </w:rPr>
        <w:footnoteRef/>
      </w:r>
      <w:r>
        <w:rPr>
          <w:spacing w:val="-2"/>
        </w:rPr>
        <w:tab/>
      </w:r>
      <w:r>
        <w:rPr>
          <w:rFonts w:asciiTheme="majorHAnsi" w:hAnsiTheme="majorHAnsi"/>
          <w:spacing w:val="-2"/>
          <w:sz w:val="16"/>
          <w:szCs w:val="16"/>
        </w:rPr>
        <w:t>Ďalšie informácie o výbore sa nachádzajú v pracovnom dokumente útvarov Komisie v poznámke pod čiarou č. 1 bode v).</w:t>
      </w:r>
    </w:p>
  </w:footnote>
  <w:footnote w:id="75">
    <w:p>
      <w:pPr>
        <w:pStyle w:val="footnotetext1"/>
        <w:ind w:left="357" w:hanging="357"/>
        <w:rPr>
          <w:rFonts w:asciiTheme="majorHAnsi" w:hAnsiTheme="majorHAnsi"/>
          <w:spacing w:val="-2"/>
          <w:sz w:val="16"/>
          <w:szCs w:val="16"/>
        </w:rPr>
      </w:pPr>
      <w:r>
        <w:rPr>
          <w:rStyle w:val="FootnoteReference"/>
          <w:spacing w:val="-2"/>
        </w:rPr>
        <w:footnoteRef/>
      </w:r>
      <w:r>
        <w:rPr>
          <w:spacing w:val="-2"/>
        </w:rPr>
        <w:tab/>
      </w:r>
      <w:r>
        <w:rPr>
          <w:rFonts w:asciiTheme="majorHAnsi" w:hAnsiTheme="majorHAnsi"/>
          <w:spacing w:val="-2"/>
          <w:sz w:val="16"/>
          <w:szCs w:val="16"/>
        </w:rPr>
        <w:t>K dnešnému dňu z 52 prípadov, ktoré mu boli postúpené, výbor vydal 29 odporúčaní. Ďalšie podrobnosti sa nachádzajú v pracovnom dokumente útvarov Komisie uvedenom v poznámke pod čiarou č. 1 bode v) a jeho prílohách.</w:t>
      </w:r>
    </w:p>
  </w:footnote>
  <w:footnote w:id="76">
    <w:p>
      <w:pPr>
        <w:pStyle w:val="footnotetext1"/>
        <w:tabs>
          <w:tab w:val="clear" w:pos="360"/>
          <w:tab w:val="left" w:pos="284"/>
        </w:tabs>
        <w:ind w:left="284" w:hanging="284"/>
        <w:rPr>
          <w:rFonts w:asciiTheme="majorHAnsi" w:hAnsiTheme="majorHAnsi"/>
          <w:spacing w:val="-2"/>
          <w:sz w:val="16"/>
          <w:szCs w:val="16"/>
        </w:rPr>
      </w:pPr>
      <w:r>
        <w:rPr>
          <w:rStyle w:val="FootnoteReference"/>
          <w:rFonts w:asciiTheme="majorHAnsi" w:hAnsiTheme="majorHAnsi"/>
          <w:spacing w:val="-2"/>
          <w:sz w:val="16"/>
          <w:szCs w:val="16"/>
        </w:rPr>
        <w:footnoteRef/>
      </w:r>
      <w:r>
        <w:rPr>
          <w:rFonts w:asciiTheme="majorHAnsi" w:hAnsiTheme="majorHAnsi"/>
          <w:spacing w:val="-2"/>
          <w:sz w:val="16"/>
          <w:szCs w:val="16"/>
        </w:rPr>
        <w:tab/>
        <w:t>Údaje uvedené v pracovnom dokumente útvarov Komisie uvedenom v poznámke pod čiarou č. 1 bode v).</w:t>
      </w:r>
    </w:p>
  </w:footnote>
  <w:footnote w:id="77">
    <w:p>
      <w:pPr>
        <w:pStyle w:val="footnotetext1"/>
        <w:ind w:left="357" w:hanging="357"/>
        <w:rPr>
          <w:rFonts w:asciiTheme="majorHAnsi" w:hAnsiTheme="majorHAnsi"/>
          <w:spacing w:val="-2"/>
          <w:sz w:val="16"/>
          <w:szCs w:val="16"/>
        </w:rPr>
      </w:pPr>
      <w:r>
        <w:rPr>
          <w:rStyle w:val="FootnoteReference"/>
          <w:spacing w:val="-2"/>
        </w:rPr>
        <w:footnoteRef/>
      </w:r>
      <w:r>
        <w:rPr>
          <w:spacing w:val="-2"/>
        </w:rPr>
        <w:tab/>
      </w:r>
      <w:r>
        <w:rPr>
          <w:rFonts w:asciiTheme="majorHAnsi" w:hAnsiTheme="majorHAnsi"/>
          <w:spacing w:val="-2"/>
          <w:sz w:val="16"/>
          <w:szCs w:val="16"/>
        </w:rPr>
        <w:t>Útvary Komisie, inštitúcie a orgány EÚ.</w:t>
      </w:r>
    </w:p>
  </w:footnote>
  <w:footnote w:id="78">
    <w:p>
      <w:pPr>
        <w:pStyle w:val="footnotetext1"/>
        <w:rPr>
          <w:spacing w:val="-2"/>
        </w:rPr>
      </w:pPr>
      <w:r>
        <w:rPr>
          <w:rStyle w:val="FootnoteReference"/>
          <w:spacing w:val="-2"/>
        </w:rPr>
        <w:footnoteRef/>
      </w:r>
      <w:r>
        <w:rPr>
          <w:spacing w:val="-2"/>
        </w:rPr>
        <w:tab/>
      </w:r>
      <w:r>
        <w:rPr>
          <w:rFonts w:asciiTheme="majorHAnsi" w:hAnsiTheme="majorHAnsi"/>
          <w:spacing w:val="-2"/>
          <w:sz w:val="16"/>
          <w:szCs w:val="16"/>
        </w:rPr>
        <w:t>Subjekty zapojené do nepriameho a zdieľaného plnenia rozpočtu.</w:t>
      </w:r>
    </w:p>
  </w:footnote>
  <w:footnote w:id="79">
    <w:p>
      <w:pPr>
        <w:pStyle w:val="footnotetext1"/>
        <w:rPr>
          <w:spacing w:val="-2"/>
        </w:rPr>
      </w:pPr>
      <w:r>
        <w:rPr>
          <w:rStyle w:val="FootnoteReference"/>
          <w:spacing w:val="-2"/>
        </w:rPr>
        <w:footnoteRef/>
      </w:r>
      <w:r>
        <w:rPr>
          <w:spacing w:val="-2"/>
        </w:rPr>
        <w:tab/>
      </w:r>
      <w:r>
        <w:rPr>
          <w:rFonts w:ascii="Cambria" w:hAnsi="Cambria"/>
          <w:spacing w:val="-2"/>
          <w:sz w:val="16"/>
        </w:rPr>
        <w:t>2018/2152(INI).</w:t>
      </w:r>
    </w:p>
  </w:footnote>
  <w:footnote w:id="80">
    <w:p>
      <w:pPr>
        <w:pStyle w:val="footnotetext1"/>
        <w:rPr>
          <w:spacing w:val="-2"/>
        </w:rPr>
      </w:pPr>
      <w:r>
        <w:rPr>
          <w:rStyle w:val="FootnoteReference"/>
          <w:spacing w:val="-2"/>
        </w:rPr>
        <w:footnoteRef/>
      </w:r>
      <w:r>
        <w:rPr>
          <w:spacing w:val="-2"/>
        </w:rPr>
        <w:tab/>
      </w:r>
      <w:r>
        <w:rPr>
          <w:rFonts w:ascii="Cambria" w:hAnsi="Cambria"/>
          <w:spacing w:val="-2"/>
          <w:sz w:val="16"/>
        </w:rPr>
        <w:t>SP(2019)392.</w:t>
      </w:r>
    </w:p>
  </w:footnote>
  <w:footnote w:id="81">
    <w:p>
      <w:pPr>
        <w:pStyle w:val="footnotetext1"/>
        <w:rPr>
          <w:rFonts w:ascii="Cambria" w:hAnsi="Cambria"/>
          <w:spacing w:val="-2"/>
          <w:sz w:val="16"/>
          <w:szCs w:val="16"/>
        </w:rPr>
      </w:pPr>
      <w:r>
        <w:rPr>
          <w:rStyle w:val="FootnoteReference"/>
          <w:spacing w:val="-2"/>
          <w:sz w:val="16"/>
          <w:szCs w:val="16"/>
        </w:rPr>
        <w:footnoteRef/>
      </w:r>
      <w:r>
        <w:rPr>
          <w:spacing w:val="-2"/>
          <w:sz w:val="16"/>
          <w:szCs w:val="16"/>
        </w:rPr>
        <w:t xml:space="preserve"> </w:t>
      </w:r>
      <w:r>
        <w:rPr>
          <w:spacing w:val="-2"/>
          <w:sz w:val="16"/>
          <w:szCs w:val="16"/>
        </w:rPr>
        <w:tab/>
      </w:r>
      <w:r>
        <w:rPr>
          <w:rFonts w:ascii="Cambria" w:hAnsi="Cambria"/>
          <w:spacing w:val="-2"/>
          <w:sz w:val="16"/>
          <w:szCs w:val="16"/>
        </w:rPr>
        <w:t>Osobitná správa č. 01/2019 s názvom Boj proti podvodom v oblasti výdavkov EÚ: potrebné opatrenia; a osobitná správa č. 06/2019 s názvom Boj proti podvodom v rámci výdavkov EÚ v oblasti súdržnosti: riadiace orgány musia posilniť odhaľovanie, reakciu a koordináciu.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rPr>
        <w:i/>
        <w:sz w:val="22"/>
        <w:szCs w:val="22"/>
      </w:rPr>
      <w:tab/>
    </w:r>
    <w:r>
      <w:rPr>
        <w:i/>
        <w:sz w:val="22"/>
        <w:szCs w:val="22"/>
      </w:rPr>
      <w:tab/>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rPr>
        <w:i/>
        <w:sz w:val="22"/>
        <w:szCs w:val="22"/>
      </w:rPr>
      <w:tab/>
    </w:r>
    <w:r>
      <w:rPr>
        <w:i/>
        <w:sz w:val="22"/>
        <w:szCs w:val="22"/>
      </w:rPr>
      <w:tab/>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rPr>
        <w:i/>
        <w:sz w:val="22"/>
        <w:szCs w:val="22"/>
      </w:rPr>
      <w:tab/>
    </w:r>
    <w:r>
      <w:rPr>
        <w:i/>
        <w:sz w:val="22"/>
        <w:szCs w:val="22"/>
      </w:rPr>
      <w:tab/>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rPr>
        <w:i/>
        <w:sz w:val="22"/>
        <w:szCs w:val="22"/>
      </w:rPr>
      <w:tab/>
    </w:r>
    <w:r>
      <w:rPr>
        <w:i/>
        <w:sz w:val="22"/>
        <w:szCs w:val="22"/>
      </w:rPr>
      <w:tab/>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rPr>
        <w:i/>
        <w:sz w:val="22"/>
        <w:szCs w:val="22"/>
      </w:rPr>
      <w:tab/>
    </w:r>
    <w:r>
      <w:rPr>
        <w:i/>
        <w:sz w:val="22"/>
        <w:szCs w:val="22"/>
      </w:rPr>
      <w:tab/>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rPr>
        <w:i/>
        <w:sz w:val="22"/>
        <w:szCs w:val="22"/>
      </w:rPr>
      <w:tab/>
    </w:r>
    <w:r>
      <w:rPr>
        <w:i/>
        <w:sz w:val="22"/>
        <w:szCs w:val="22"/>
      </w:rPr>
      <w:tab/>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rPr>
        <w:i/>
        <w:sz w:val="22"/>
        <w:szCs w:val="22"/>
      </w:rPr>
      <w:tab/>
    </w:r>
    <w:r>
      <w:rPr>
        <w:i/>
        <w:sz w:val="22"/>
        <w:szCs w:val="22"/>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rPr>
        <w:i/>
        <w:sz w:val="22"/>
        <w:szCs w:val="22"/>
      </w:rPr>
      <w:tab/>
    </w:r>
    <w:r>
      <w:rPr>
        <w:i/>
        <w:sz w:val="22"/>
        <w:szCs w:val="22"/>
      </w:rPr>
      <w:tab/>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rPr>
        <w:i/>
        <w:sz w:val="22"/>
        <w:szCs w:val="22"/>
      </w:rPr>
      <w:tab/>
    </w:r>
    <w:r>
      <w:rPr>
        <w:i/>
        <w:sz w:val="22"/>
        <w:szCs w:val="22"/>
      </w:rPr>
      <w:tab/>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rPr>
        <w:i/>
        <w:sz w:val="22"/>
        <w:szCs w:val="22"/>
      </w:rPr>
      <w:tab/>
    </w:r>
    <w:r>
      <w:rPr>
        <w:i/>
        <w:sz w:val="22"/>
        <w:szCs w:val="22"/>
      </w:rPr>
      <w:tab/>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rPr>
        <w:i/>
        <w:sz w:val="22"/>
        <w:szCs w:val="22"/>
      </w:rPr>
      <w:tab/>
    </w:r>
    <w:r>
      <w:rPr>
        <w:i/>
        <w:sz w:val="22"/>
        <w:szCs w:val="22"/>
      </w:rPr>
      <w:tab/>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rPr>
        <w:i/>
        <w:sz w:val="22"/>
        <w:szCs w:val="22"/>
      </w:rPr>
      <w:tab/>
    </w:r>
    <w:r>
      <w:rPr>
        <w:i/>
        <w:sz w:val="22"/>
        <w:szCs w:val="22"/>
      </w:rPr>
      <w:tab/>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rPr>
        <w:i/>
        <w:sz w:val="22"/>
        <w:szCs w:val="22"/>
      </w:rPr>
      <w:tab/>
    </w:r>
    <w:r>
      <w:rPr>
        <w:i/>
        <w:sz w:val="22"/>
        <w:szCs w:val="22"/>
      </w:rPr>
      <w:tab/>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rPr>
        <w:i/>
        <w:sz w:val="22"/>
        <w:szCs w:val="22"/>
      </w:rPr>
      <w:tab/>
    </w:r>
    <w:r>
      <w:rPr>
        <w:i/>
        <w:sz w:val="22"/>
        <w:szCs w:val="22"/>
      </w:rPr>
      <w:tab/>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rPr>
        <w:i/>
        <w:sz w:val="22"/>
        <w:szCs w:val="22"/>
      </w:rPr>
      <w:tab/>
    </w:r>
    <w:r>
      <w:rPr>
        <w:i/>
        <w:sz w:val="22"/>
        <w:szCs w:val="22"/>
      </w:rPr>
      <w:tab/>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rPr>
        <w:i/>
        <w:sz w:val="22"/>
        <w:szCs w:val="22"/>
      </w:rPr>
      <w:tab/>
    </w:r>
    <w:r>
      <w:rPr>
        <w:i/>
        <w:sz w:val="22"/>
        <w:szCs w:val="22"/>
      </w:rPr>
      <w:tab/>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rPr>
        <w:i/>
        <w:sz w:val="22"/>
        <w:szCs w:val="22"/>
      </w:rPr>
      <w:tab/>
    </w:r>
    <w:r>
      <w:rPr>
        <w:i/>
        <w:sz w:val="22"/>
        <w:szCs w:val="22"/>
      </w:rPr>
      <w:tab/>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rPr>
        <w:i/>
        <w:sz w:val="22"/>
        <w:szCs w:val="22"/>
      </w:rPr>
      <w:tab/>
    </w:r>
    <w:r>
      <w:rPr>
        <w:i/>
        <w:sz w:val="22"/>
        <w:szCs w:val="22"/>
      </w:rPr>
      <w:tab/>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442A3"/>
    <w:multiLevelType w:val="hybridMultilevel"/>
    <w:tmpl w:val="2EA284BE"/>
    <w:lvl w:ilvl="0" w:tplc="F4DAD818">
      <w:start w:val="1"/>
      <w:numFmt w:val="bullet"/>
      <w:lvlText w:val="•"/>
      <w:lvlJc w:val="left"/>
      <w:pPr>
        <w:tabs>
          <w:tab w:val="num" w:pos="720"/>
        </w:tabs>
        <w:ind w:left="720" w:hanging="360"/>
      </w:pPr>
      <w:rPr>
        <w:rFonts w:ascii="Times New Roman" w:hAnsi="Times New Roman" w:hint="default"/>
      </w:rPr>
    </w:lvl>
    <w:lvl w:ilvl="1" w:tplc="B8FC409E" w:tentative="1">
      <w:start w:val="1"/>
      <w:numFmt w:val="bullet"/>
      <w:lvlText w:val="•"/>
      <w:lvlJc w:val="left"/>
      <w:pPr>
        <w:tabs>
          <w:tab w:val="num" w:pos="1440"/>
        </w:tabs>
        <w:ind w:left="1440" w:hanging="360"/>
      </w:pPr>
      <w:rPr>
        <w:rFonts w:ascii="Times New Roman" w:hAnsi="Times New Roman" w:hint="default"/>
      </w:rPr>
    </w:lvl>
    <w:lvl w:ilvl="2" w:tplc="7B82B45E" w:tentative="1">
      <w:start w:val="1"/>
      <w:numFmt w:val="bullet"/>
      <w:lvlText w:val="•"/>
      <w:lvlJc w:val="left"/>
      <w:pPr>
        <w:tabs>
          <w:tab w:val="num" w:pos="2160"/>
        </w:tabs>
        <w:ind w:left="2160" w:hanging="360"/>
      </w:pPr>
      <w:rPr>
        <w:rFonts w:ascii="Times New Roman" w:hAnsi="Times New Roman" w:hint="default"/>
      </w:rPr>
    </w:lvl>
    <w:lvl w:ilvl="3" w:tplc="24181A76" w:tentative="1">
      <w:start w:val="1"/>
      <w:numFmt w:val="bullet"/>
      <w:lvlText w:val="•"/>
      <w:lvlJc w:val="left"/>
      <w:pPr>
        <w:tabs>
          <w:tab w:val="num" w:pos="2880"/>
        </w:tabs>
        <w:ind w:left="2880" w:hanging="360"/>
      </w:pPr>
      <w:rPr>
        <w:rFonts w:ascii="Times New Roman" w:hAnsi="Times New Roman" w:hint="default"/>
      </w:rPr>
    </w:lvl>
    <w:lvl w:ilvl="4" w:tplc="64988C36" w:tentative="1">
      <w:start w:val="1"/>
      <w:numFmt w:val="bullet"/>
      <w:lvlText w:val="•"/>
      <w:lvlJc w:val="left"/>
      <w:pPr>
        <w:tabs>
          <w:tab w:val="num" w:pos="3600"/>
        </w:tabs>
        <w:ind w:left="3600" w:hanging="360"/>
      </w:pPr>
      <w:rPr>
        <w:rFonts w:ascii="Times New Roman" w:hAnsi="Times New Roman" w:hint="default"/>
      </w:rPr>
    </w:lvl>
    <w:lvl w:ilvl="5" w:tplc="65583B0A" w:tentative="1">
      <w:start w:val="1"/>
      <w:numFmt w:val="bullet"/>
      <w:lvlText w:val="•"/>
      <w:lvlJc w:val="left"/>
      <w:pPr>
        <w:tabs>
          <w:tab w:val="num" w:pos="4320"/>
        </w:tabs>
        <w:ind w:left="4320" w:hanging="360"/>
      </w:pPr>
      <w:rPr>
        <w:rFonts w:ascii="Times New Roman" w:hAnsi="Times New Roman" w:hint="default"/>
      </w:rPr>
    </w:lvl>
    <w:lvl w:ilvl="6" w:tplc="42122D16" w:tentative="1">
      <w:start w:val="1"/>
      <w:numFmt w:val="bullet"/>
      <w:lvlText w:val="•"/>
      <w:lvlJc w:val="left"/>
      <w:pPr>
        <w:tabs>
          <w:tab w:val="num" w:pos="5040"/>
        </w:tabs>
        <w:ind w:left="5040" w:hanging="360"/>
      </w:pPr>
      <w:rPr>
        <w:rFonts w:ascii="Times New Roman" w:hAnsi="Times New Roman" w:hint="default"/>
      </w:rPr>
    </w:lvl>
    <w:lvl w:ilvl="7" w:tplc="24088D52" w:tentative="1">
      <w:start w:val="1"/>
      <w:numFmt w:val="bullet"/>
      <w:lvlText w:val="•"/>
      <w:lvlJc w:val="left"/>
      <w:pPr>
        <w:tabs>
          <w:tab w:val="num" w:pos="5760"/>
        </w:tabs>
        <w:ind w:left="5760" w:hanging="360"/>
      </w:pPr>
      <w:rPr>
        <w:rFonts w:ascii="Times New Roman" w:hAnsi="Times New Roman" w:hint="default"/>
      </w:rPr>
    </w:lvl>
    <w:lvl w:ilvl="8" w:tplc="17242550" w:tentative="1">
      <w:start w:val="1"/>
      <w:numFmt w:val="bullet"/>
      <w:lvlText w:val="•"/>
      <w:lvlJc w:val="left"/>
      <w:pPr>
        <w:tabs>
          <w:tab w:val="num" w:pos="6480"/>
        </w:tabs>
        <w:ind w:left="6480" w:hanging="360"/>
      </w:pPr>
      <w:rPr>
        <w:rFonts w:ascii="Times New Roman" w:hAnsi="Times New Roman" w:hint="default"/>
      </w:rPr>
    </w:lvl>
  </w:abstractNum>
  <w:abstractNum w:abstractNumId="1">
    <w:nsid w:val="03452F12"/>
    <w:multiLevelType w:val="hybridMultilevel"/>
    <w:tmpl w:val="EE98CF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4A25806"/>
    <w:multiLevelType w:val="hybridMultilevel"/>
    <w:tmpl w:val="483C8960"/>
    <w:lvl w:ilvl="0" w:tplc="B536824E">
      <w:start w:val="1"/>
      <w:numFmt w:val="bullet"/>
      <w:lvlText w:val="•"/>
      <w:lvlJc w:val="left"/>
      <w:pPr>
        <w:tabs>
          <w:tab w:val="num" w:pos="720"/>
        </w:tabs>
        <w:ind w:left="720" w:hanging="360"/>
      </w:pPr>
      <w:rPr>
        <w:rFonts w:ascii="Times New Roman" w:hAnsi="Times New Roman" w:hint="default"/>
      </w:rPr>
    </w:lvl>
    <w:lvl w:ilvl="1" w:tplc="4A8C6E3C" w:tentative="1">
      <w:start w:val="1"/>
      <w:numFmt w:val="bullet"/>
      <w:lvlText w:val="•"/>
      <w:lvlJc w:val="left"/>
      <w:pPr>
        <w:tabs>
          <w:tab w:val="num" w:pos="1440"/>
        </w:tabs>
        <w:ind w:left="1440" w:hanging="360"/>
      </w:pPr>
      <w:rPr>
        <w:rFonts w:ascii="Times New Roman" w:hAnsi="Times New Roman" w:hint="default"/>
      </w:rPr>
    </w:lvl>
    <w:lvl w:ilvl="2" w:tplc="858E24D0" w:tentative="1">
      <w:start w:val="1"/>
      <w:numFmt w:val="bullet"/>
      <w:lvlText w:val="•"/>
      <w:lvlJc w:val="left"/>
      <w:pPr>
        <w:tabs>
          <w:tab w:val="num" w:pos="2160"/>
        </w:tabs>
        <w:ind w:left="2160" w:hanging="360"/>
      </w:pPr>
      <w:rPr>
        <w:rFonts w:ascii="Times New Roman" w:hAnsi="Times New Roman" w:hint="default"/>
      </w:rPr>
    </w:lvl>
    <w:lvl w:ilvl="3" w:tplc="B2E8F028" w:tentative="1">
      <w:start w:val="1"/>
      <w:numFmt w:val="bullet"/>
      <w:lvlText w:val="•"/>
      <w:lvlJc w:val="left"/>
      <w:pPr>
        <w:tabs>
          <w:tab w:val="num" w:pos="2880"/>
        </w:tabs>
        <w:ind w:left="2880" w:hanging="360"/>
      </w:pPr>
      <w:rPr>
        <w:rFonts w:ascii="Times New Roman" w:hAnsi="Times New Roman" w:hint="default"/>
      </w:rPr>
    </w:lvl>
    <w:lvl w:ilvl="4" w:tplc="B78E5446" w:tentative="1">
      <w:start w:val="1"/>
      <w:numFmt w:val="bullet"/>
      <w:lvlText w:val="•"/>
      <w:lvlJc w:val="left"/>
      <w:pPr>
        <w:tabs>
          <w:tab w:val="num" w:pos="3600"/>
        </w:tabs>
        <w:ind w:left="3600" w:hanging="360"/>
      </w:pPr>
      <w:rPr>
        <w:rFonts w:ascii="Times New Roman" w:hAnsi="Times New Roman" w:hint="default"/>
      </w:rPr>
    </w:lvl>
    <w:lvl w:ilvl="5" w:tplc="77DCA820" w:tentative="1">
      <w:start w:val="1"/>
      <w:numFmt w:val="bullet"/>
      <w:lvlText w:val="•"/>
      <w:lvlJc w:val="left"/>
      <w:pPr>
        <w:tabs>
          <w:tab w:val="num" w:pos="4320"/>
        </w:tabs>
        <w:ind w:left="4320" w:hanging="360"/>
      </w:pPr>
      <w:rPr>
        <w:rFonts w:ascii="Times New Roman" w:hAnsi="Times New Roman" w:hint="default"/>
      </w:rPr>
    </w:lvl>
    <w:lvl w:ilvl="6" w:tplc="7AB63DFE" w:tentative="1">
      <w:start w:val="1"/>
      <w:numFmt w:val="bullet"/>
      <w:lvlText w:val="•"/>
      <w:lvlJc w:val="left"/>
      <w:pPr>
        <w:tabs>
          <w:tab w:val="num" w:pos="5040"/>
        </w:tabs>
        <w:ind w:left="5040" w:hanging="360"/>
      </w:pPr>
      <w:rPr>
        <w:rFonts w:ascii="Times New Roman" w:hAnsi="Times New Roman" w:hint="default"/>
      </w:rPr>
    </w:lvl>
    <w:lvl w:ilvl="7" w:tplc="9FA4C34E" w:tentative="1">
      <w:start w:val="1"/>
      <w:numFmt w:val="bullet"/>
      <w:lvlText w:val="•"/>
      <w:lvlJc w:val="left"/>
      <w:pPr>
        <w:tabs>
          <w:tab w:val="num" w:pos="5760"/>
        </w:tabs>
        <w:ind w:left="5760" w:hanging="360"/>
      </w:pPr>
      <w:rPr>
        <w:rFonts w:ascii="Times New Roman" w:hAnsi="Times New Roman" w:hint="default"/>
      </w:rPr>
    </w:lvl>
    <w:lvl w:ilvl="8" w:tplc="FB9083F6" w:tentative="1">
      <w:start w:val="1"/>
      <w:numFmt w:val="bullet"/>
      <w:lvlText w:val="•"/>
      <w:lvlJc w:val="left"/>
      <w:pPr>
        <w:tabs>
          <w:tab w:val="num" w:pos="6480"/>
        </w:tabs>
        <w:ind w:left="6480" w:hanging="360"/>
      </w:pPr>
      <w:rPr>
        <w:rFonts w:ascii="Times New Roman" w:hAnsi="Times New Roman" w:hint="default"/>
      </w:rPr>
    </w:lvl>
  </w:abstractNum>
  <w:abstractNum w:abstractNumId="3">
    <w:nsid w:val="081D6101"/>
    <w:multiLevelType w:val="hybridMultilevel"/>
    <w:tmpl w:val="4FC21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F1E2E04"/>
    <w:multiLevelType w:val="multilevel"/>
    <w:tmpl w:val="D60ABDD2"/>
    <w:lvl w:ilvl="0">
      <w:start w:val="1"/>
      <w:numFmt w:val="decimal"/>
      <w:lvlRestart w:val="0"/>
      <w:pStyle w:val="Heading1"/>
      <w:lvlText w:val="%1."/>
      <w:lvlJc w:val="left"/>
      <w:pPr>
        <w:tabs>
          <w:tab w:val="num" w:pos="1570"/>
        </w:tabs>
        <w:ind w:left="1570" w:hanging="850"/>
      </w:pPr>
      <w:rPr>
        <w:rFonts w:hint="default"/>
      </w:rPr>
    </w:lvl>
    <w:lvl w:ilvl="1">
      <w:start w:val="1"/>
      <w:numFmt w:val="decimal"/>
      <w:pStyle w:val="Heading2"/>
      <w:lvlText w:val="%1.%2."/>
      <w:lvlJc w:val="left"/>
      <w:pPr>
        <w:tabs>
          <w:tab w:val="num" w:pos="850"/>
        </w:tabs>
        <w:ind w:left="850" w:hanging="850"/>
      </w:pPr>
      <w:rPr>
        <w:rFonts w:hint="default"/>
      </w:rPr>
    </w:lvl>
    <w:lvl w:ilvl="2">
      <w:start w:val="1"/>
      <w:numFmt w:val="decimal"/>
      <w:pStyle w:val="Heading3"/>
      <w:lvlText w:val="%1.%2.%3."/>
      <w:lvlJc w:val="left"/>
      <w:pPr>
        <w:tabs>
          <w:tab w:val="num" w:pos="991"/>
        </w:tabs>
        <w:ind w:left="991" w:hanging="850"/>
      </w:pPr>
      <w:rPr>
        <w:rFonts w:hint="default"/>
        <w:b w:val="0"/>
      </w:rPr>
    </w:lvl>
    <w:lvl w:ilvl="3">
      <w:start w:val="1"/>
      <w:numFmt w:val="decimal"/>
      <w:lvlText w:val="%1.%2.%3.%4."/>
      <w:lvlJc w:val="left"/>
      <w:pPr>
        <w:tabs>
          <w:tab w:val="num" w:pos="1810"/>
        </w:tabs>
        <w:ind w:left="181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nsid w:val="14B50DC8"/>
    <w:multiLevelType w:val="hybridMultilevel"/>
    <w:tmpl w:val="833C25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81104E5"/>
    <w:multiLevelType w:val="hybridMultilevel"/>
    <w:tmpl w:val="FE7CA660"/>
    <w:lvl w:ilvl="0" w:tplc="08090001">
      <w:start w:val="1"/>
      <w:numFmt w:val="bullet"/>
      <w:lvlText w:val=""/>
      <w:lvlJc w:val="left"/>
      <w:pPr>
        <w:ind w:left="764" w:hanging="360"/>
      </w:pPr>
      <w:rPr>
        <w:rFonts w:ascii="Symbol" w:hAnsi="Symbol" w:hint="default"/>
      </w:rPr>
    </w:lvl>
    <w:lvl w:ilvl="1" w:tplc="08090003" w:tentative="1">
      <w:start w:val="1"/>
      <w:numFmt w:val="bullet"/>
      <w:lvlText w:val="o"/>
      <w:lvlJc w:val="left"/>
      <w:pPr>
        <w:ind w:left="1484" w:hanging="360"/>
      </w:pPr>
      <w:rPr>
        <w:rFonts w:ascii="Courier New" w:hAnsi="Courier New" w:cs="Courier New" w:hint="default"/>
      </w:rPr>
    </w:lvl>
    <w:lvl w:ilvl="2" w:tplc="08090005" w:tentative="1">
      <w:start w:val="1"/>
      <w:numFmt w:val="bullet"/>
      <w:lvlText w:val=""/>
      <w:lvlJc w:val="left"/>
      <w:pPr>
        <w:ind w:left="2204" w:hanging="360"/>
      </w:pPr>
      <w:rPr>
        <w:rFonts w:ascii="Wingdings" w:hAnsi="Wingdings" w:hint="default"/>
      </w:rPr>
    </w:lvl>
    <w:lvl w:ilvl="3" w:tplc="08090001" w:tentative="1">
      <w:start w:val="1"/>
      <w:numFmt w:val="bullet"/>
      <w:lvlText w:val=""/>
      <w:lvlJc w:val="left"/>
      <w:pPr>
        <w:ind w:left="2924" w:hanging="360"/>
      </w:pPr>
      <w:rPr>
        <w:rFonts w:ascii="Symbol" w:hAnsi="Symbol" w:hint="default"/>
      </w:rPr>
    </w:lvl>
    <w:lvl w:ilvl="4" w:tplc="08090003" w:tentative="1">
      <w:start w:val="1"/>
      <w:numFmt w:val="bullet"/>
      <w:lvlText w:val="o"/>
      <w:lvlJc w:val="left"/>
      <w:pPr>
        <w:ind w:left="3644" w:hanging="360"/>
      </w:pPr>
      <w:rPr>
        <w:rFonts w:ascii="Courier New" w:hAnsi="Courier New" w:cs="Courier New" w:hint="default"/>
      </w:rPr>
    </w:lvl>
    <w:lvl w:ilvl="5" w:tplc="08090005" w:tentative="1">
      <w:start w:val="1"/>
      <w:numFmt w:val="bullet"/>
      <w:lvlText w:val=""/>
      <w:lvlJc w:val="left"/>
      <w:pPr>
        <w:ind w:left="4364" w:hanging="360"/>
      </w:pPr>
      <w:rPr>
        <w:rFonts w:ascii="Wingdings" w:hAnsi="Wingdings" w:hint="default"/>
      </w:rPr>
    </w:lvl>
    <w:lvl w:ilvl="6" w:tplc="08090001" w:tentative="1">
      <w:start w:val="1"/>
      <w:numFmt w:val="bullet"/>
      <w:lvlText w:val=""/>
      <w:lvlJc w:val="left"/>
      <w:pPr>
        <w:ind w:left="5084" w:hanging="360"/>
      </w:pPr>
      <w:rPr>
        <w:rFonts w:ascii="Symbol" w:hAnsi="Symbol" w:hint="default"/>
      </w:rPr>
    </w:lvl>
    <w:lvl w:ilvl="7" w:tplc="08090003" w:tentative="1">
      <w:start w:val="1"/>
      <w:numFmt w:val="bullet"/>
      <w:lvlText w:val="o"/>
      <w:lvlJc w:val="left"/>
      <w:pPr>
        <w:ind w:left="5804" w:hanging="360"/>
      </w:pPr>
      <w:rPr>
        <w:rFonts w:ascii="Courier New" w:hAnsi="Courier New" w:cs="Courier New" w:hint="default"/>
      </w:rPr>
    </w:lvl>
    <w:lvl w:ilvl="8" w:tplc="08090005" w:tentative="1">
      <w:start w:val="1"/>
      <w:numFmt w:val="bullet"/>
      <w:lvlText w:val=""/>
      <w:lvlJc w:val="left"/>
      <w:pPr>
        <w:ind w:left="6524" w:hanging="360"/>
      </w:pPr>
      <w:rPr>
        <w:rFonts w:ascii="Wingdings" w:hAnsi="Wingdings" w:hint="default"/>
      </w:rPr>
    </w:lvl>
  </w:abstractNum>
  <w:abstractNum w:abstractNumId="7">
    <w:nsid w:val="18687FF3"/>
    <w:multiLevelType w:val="hybridMultilevel"/>
    <w:tmpl w:val="AAF64C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1B3C78B8"/>
    <w:multiLevelType w:val="multilevel"/>
    <w:tmpl w:val="2ED4F4D0"/>
    <w:name w:val="Point"/>
    <w:lvl w:ilvl="0">
      <w:start w:val="1"/>
      <w:numFmt w:val="decimal"/>
      <w:lvlRestart w:val="0"/>
      <w:lvlText w:val="(%1)"/>
      <w:lvlJc w:val="left"/>
      <w:pPr>
        <w:tabs>
          <w:tab w:val="num" w:pos="850"/>
        </w:tabs>
        <w:ind w:left="850" w:hanging="850"/>
      </w:pPr>
    </w:lvl>
    <w:lvl w:ilvl="1">
      <w:start w:val="1"/>
      <w:numFmt w:val="lowerLetter"/>
      <w:lvlText w:val="(%2)"/>
      <w:lvlJc w:val="left"/>
      <w:pPr>
        <w:tabs>
          <w:tab w:val="num" w:pos="850"/>
        </w:tabs>
        <w:ind w:left="850" w:hanging="850"/>
      </w:pPr>
    </w:lvl>
    <w:lvl w:ilvl="2">
      <w:start w:val="1"/>
      <w:numFmt w:val="decimal"/>
      <w:lvlText w:val="(%3)"/>
      <w:lvlJc w:val="left"/>
      <w:pPr>
        <w:tabs>
          <w:tab w:val="num" w:pos="1417"/>
        </w:tabs>
        <w:ind w:left="1417" w:hanging="567"/>
      </w:pPr>
    </w:lvl>
    <w:lvl w:ilvl="3">
      <w:start w:val="1"/>
      <w:numFmt w:val="lowerLetter"/>
      <w:lvlText w:val="(%4)"/>
      <w:lvlJc w:val="left"/>
      <w:pPr>
        <w:tabs>
          <w:tab w:val="num" w:pos="1417"/>
        </w:tabs>
        <w:ind w:left="1417" w:hanging="567"/>
      </w:pPr>
    </w:lvl>
    <w:lvl w:ilvl="4">
      <w:start w:val="1"/>
      <w:numFmt w:val="decimal"/>
      <w:lvlText w:val="(%5)"/>
      <w:lvlJc w:val="left"/>
      <w:pPr>
        <w:tabs>
          <w:tab w:val="num" w:pos="1984"/>
        </w:tabs>
        <w:ind w:left="1984" w:hanging="567"/>
      </w:pPr>
    </w:lvl>
    <w:lvl w:ilvl="5">
      <w:start w:val="1"/>
      <w:numFmt w:val="lowerLetter"/>
      <w:lvlText w:val="(%6)"/>
      <w:lvlJc w:val="left"/>
      <w:pPr>
        <w:tabs>
          <w:tab w:val="num" w:pos="1984"/>
        </w:tabs>
        <w:ind w:left="1984" w:hanging="567"/>
      </w:pPr>
    </w:lvl>
    <w:lvl w:ilvl="6">
      <w:start w:val="1"/>
      <w:numFmt w:val="decimal"/>
      <w:lvlText w:val="(%7)"/>
      <w:lvlJc w:val="left"/>
      <w:pPr>
        <w:tabs>
          <w:tab w:val="num" w:pos="2551"/>
        </w:tabs>
        <w:ind w:left="2551" w:hanging="567"/>
      </w:pPr>
    </w:lvl>
    <w:lvl w:ilvl="7">
      <w:start w:val="1"/>
      <w:numFmt w:val="lowerLetter"/>
      <w:lvlText w:val="(%8)"/>
      <w:lvlJc w:val="left"/>
      <w:pPr>
        <w:tabs>
          <w:tab w:val="num" w:pos="2551"/>
        </w:tabs>
        <w:ind w:left="2551" w:hanging="567"/>
      </w:pPr>
    </w:lvl>
    <w:lvl w:ilvl="8">
      <w:start w:val="1"/>
      <w:numFmt w:val="lowerLetter"/>
      <w:lvlText w:val="(%9)"/>
      <w:lvlJc w:val="left"/>
      <w:pPr>
        <w:tabs>
          <w:tab w:val="num" w:pos="3118"/>
        </w:tabs>
        <w:ind w:left="3118" w:hanging="567"/>
      </w:pPr>
    </w:lvl>
  </w:abstractNum>
  <w:abstractNum w:abstractNumId="9">
    <w:nsid w:val="1B6235AB"/>
    <w:multiLevelType w:val="hybridMultilevel"/>
    <w:tmpl w:val="5D8C59AE"/>
    <w:lvl w:ilvl="0" w:tplc="08090001">
      <w:start w:val="1"/>
      <w:numFmt w:val="bullet"/>
      <w:lvlText w:val=""/>
      <w:lvlJc w:val="left"/>
      <w:pPr>
        <w:ind w:left="764" w:hanging="360"/>
      </w:pPr>
      <w:rPr>
        <w:rFonts w:ascii="Symbol" w:hAnsi="Symbol" w:hint="default"/>
      </w:rPr>
    </w:lvl>
    <w:lvl w:ilvl="1" w:tplc="08090003" w:tentative="1">
      <w:start w:val="1"/>
      <w:numFmt w:val="bullet"/>
      <w:lvlText w:val="o"/>
      <w:lvlJc w:val="left"/>
      <w:pPr>
        <w:ind w:left="1484" w:hanging="360"/>
      </w:pPr>
      <w:rPr>
        <w:rFonts w:ascii="Courier New" w:hAnsi="Courier New" w:cs="Courier New" w:hint="default"/>
      </w:rPr>
    </w:lvl>
    <w:lvl w:ilvl="2" w:tplc="08090005" w:tentative="1">
      <w:start w:val="1"/>
      <w:numFmt w:val="bullet"/>
      <w:lvlText w:val=""/>
      <w:lvlJc w:val="left"/>
      <w:pPr>
        <w:ind w:left="2204" w:hanging="360"/>
      </w:pPr>
      <w:rPr>
        <w:rFonts w:ascii="Wingdings" w:hAnsi="Wingdings" w:hint="default"/>
      </w:rPr>
    </w:lvl>
    <w:lvl w:ilvl="3" w:tplc="08090001" w:tentative="1">
      <w:start w:val="1"/>
      <w:numFmt w:val="bullet"/>
      <w:lvlText w:val=""/>
      <w:lvlJc w:val="left"/>
      <w:pPr>
        <w:ind w:left="2924" w:hanging="360"/>
      </w:pPr>
      <w:rPr>
        <w:rFonts w:ascii="Symbol" w:hAnsi="Symbol" w:hint="default"/>
      </w:rPr>
    </w:lvl>
    <w:lvl w:ilvl="4" w:tplc="08090003" w:tentative="1">
      <w:start w:val="1"/>
      <w:numFmt w:val="bullet"/>
      <w:lvlText w:val="o"/>
      <w:lvlJc w:val="left"/>
      <w:pPr>
        <w:ind w:left="3644" w:hanging="360"/>
      </w:pPr>
      <w:rPr>
        <w:rFonts w:ascii="Courier New" w:hAnsi="Courier New" w:cs="Courier New" w:hint="default"/>
      </w:rPr>
    </w:lvl>
    <w:lvl w:ilvl="5" w:tplc="08090005" w:tentative="1">
      <w:start w:val="1"/>
      <w:numFmt w:val="bullet"/>
      <w:lvlText w:val=""/>
      <w:lvlJc w:val="left"/>
      <w:pPr>
        <w:ind w:left="4364" w:hanging="360"/>
      </w:pPr>
      <w:rPr>
        <w:rFonts w:ascii="Wingdings" w:hAnsi="Wingdings" w:hint="default"/>
      </w:rPr>
    </w:lvl>
    <w:lvl w:ilvl="6" w:tplc="08090001" w:tentative="1">
      <w:start w:val="1"/>
      <w:numFmt w:val="bullet"/>
      <w:lvlText w:val=""/>
      <w:lvlJc w:val="left"/>
      <w:pPr>
        <w:ind w:left="5084" w:hanging="360"/>
      </w:pPr>
      <w:rPr>
        <w:rFonts w:ascii="Symbol" w:hAnsi="Symbol" w:hint="default"/>
      </w:rPr>
    </w:lvl>
    <w:lvl w:ilvl="7" w:tplc="08090003" w:tentative="1">
      <w:start w:val="1"/>
      <w:numFmt w:val="bullet"/>
      <w:lvlText w:val="o"/>
      <w:lvlJc w:val="left"/>
      <w:pPr>
        <w:ind w:left="5804" w:hanging="360"/>
      </w:pPr>
      <w:rPr>
        <w:rFonts w:ascii="Courier New" w:hAnsi="Courier New" w:cs="Courier New" w:hint="default"/>
      </w:rPr>
    </w:lvl>
    <w:lvl w:ilvl="8" w:tplc="08090005" w:tentative="1">
      <w:start w:val="1"/>
      <w:numFmt w:val="bullet"/>
      <w:lvlText w:val=""/>
      <w:lvlJc w:val="left"/>
      <w:pPr>
        <w:ind w:left="6524" w:hanging="360"/>
      </w:pPr>
      <w:rPr>
        <w:rFonts w:ascii="Wingdings" w:hAnsi="Wingdings" w:hint="default"/>
      </w:rPr>
    </w:lvl>
  </w:abstractNum>
  <w:abstractNum w:abstractNumId="10">
    <w:nsid w:val="1F066217"/>
    <w:multiLevelType w:val="hybridMultilevel"/>
    <w:tmpl w:val="C3D6A2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2100303F"/>
    <w:multiLevelType w:val="hybridMultilevel"/>
    <w:tmpl w:val="28E64E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21D23ED5"/>
    <w:multiLevelType w:val="hybridMultilevel"/>
    <w:tmpl w:val="85B26D68"/>
    <w:lvl w:ilvl="0" w:tplc="57BC257C">
      <w:start w:val="3"/>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nsid w:val="22E44180"/>
    <w:multiLevelType w:val="multilevel"/>
    <w:tmpl w:val="DFC88CEC"/>
    <w:name w:val="NumPar"/>
    <w:lvl w:ilvl="0">
      <w:start w:val="1"/>
      <w:numFmt w:val="decimal"/>
      <w:lvlRestart w:val="0"/>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244535CF"/>
    <w:multiLevelType w:val="hybridMultilevel"/>
    <w:tmpl w:val="E52A1BA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A1F10EC"/>
    <w:multiLevelType w:val="hybridMultilevel"/>
    <w:tmpl w:val="C0DC708E"/>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AF76E7A"/>
    <w:multiLevelType w:val="singleLevel"/>
    <w:tmpl w:val="C74C5A32"/>
    <w:name w:val="Bullet 1"/>
    <w:lvl w:ilvl="0">
      <w:start w:val="1"/>
      <w:numFmt w:val="bullet"/>
      <w:lvlRestart w:val="0"/>
      <w:lvlText w:val=""/>
      <w:lvlJc w:val="left"/>
      <w:pPr>
        <w:tabs>
          <w:tab w:val="num" w:pos="1417"/>
        </w:tabs>
        <w:ind w:left="1417" w:hanging="567"/>
      </w:pPr>
      <w:rPr>
        <w:rFonts w:ascii="Symbol" w:hAnsi="Symbol" w:hint="default"/>
      </w:rPr>
    </w:lvl>
  </w:abstractNum>
  <w:abstractNum w:abstractNumId="17">
    <w:nsid w:val="3A5459E8"/>
    <w:multiLevelType w:val="singleLevel"/>
    <w:tmpl w:val="2188C922"/>
    <w:name w:val="Tiret 1"/>
    <w:lvl w:ilvl="0">
      <w:start w:val="1"/>
      <w:numFmt w:val="bullet"/>
      <w:lvlRestart w:val="0"/>
      <w:lvlText w:val="–"/>
      <w:lvlJc w:val="left"/>
      <w:pPr>
        <w:tabs>
          <w:tab w:val="num" w:pos="1417"/>
        </w:tabs>
        <w:ind w:left="1417" w:hanging="567"/>
      </w:pPr>
    </w:lvl>
  </w:abstractNum>
  <w:abstractNum w:abstractNumId="18">
    <w:nsid w:val="3BA736C9"/>
    <w:multiLevelType w:val="singleLevel"/>
    <w:tmpl w:val="F00A6C0C"/>
    <w:name w:val="Tiret 0"/>
    <w:lvl w:ilvl="0">
      <w:start w:val="1"/>
      <w:numFmt w:val="bullet"/>
      <w:lvlRestart w:val="0"/>
      <w:lvlText w:val="–"/>
      <w:lvlJc w:val="left"/>
      <w:pPr>
        <w:tabs>
          <w:tab w:val="num" w:pos="850"/>
        </w:tabs>
        <w:ind w:left="850" w:hanging="850"/>
      </w:pPr>
    </w:lvl>
  </w:abstractNum>
  <w:abstractNum w:abstractNumId="19">
    <w:nsid w:val="3C90278F"/>
    <w:multiLevelType w:val="singleLevel"/>
    <w:tmpl w:val="0FE08974"/>
    <w:name w:val="Tiret 3"/>
    <w:lvl w:ilvl="0">
      <w:start w:val="1"/>
      <w:numFmt w:val="bullet"/>
      <w:lvlRestart w:val="0"/>
      <w:lvlText w:val="–"/>
      <w:lvlJc w:val="left"/>
      <w:pPr>
        <w:tabs>
          <w:tab w:val="num" w:pos="2551"/>
        </w:tabs>
        <w:ind w:left="2551" w:hanging="567"/>
      </w:pPr>
    </w:lvl>
  </w:abstractNum>
  <w:abstractNum w:abstractNumId="20">
    <w:nsid w:val="3EA160E2"/>
    <w:multiLevelType w:val="hybridMultilevel"/>
    <w:tmpl w:val="3530EE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3ED41371"/>
    <w:multiLevelType w:val="hybridMultilevel"/>
    <w:tmpl w:val="17FEDB6C"/>
    <w:lvl w:ilvl="0" w:tplc="0809000F">
      <w:start w:val="1"/>
      <w:numFmt w:val="decimal"/>
      <w:lvlText w:val="%1."/>
      <w:lvlJc w:val="left"/>
      <w:pPr>
        <w:ind w:left="360" w:hanging="360"/>
      </w:pPr>
    </w:lvl>
    <w:lvl w:ilvl="1" w:tplc="0409000F">
      <w:start w:val="1"/>
      <w:numFmt w:val="decimal"/>
      <w:lvlText w:val="%2."/>
      <w:lvlJc w:val="left"/>
      <w:pPr>
        <w:ind w:left="502"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nsid w:val="3F903441"/>
    <w:multiLevelType w:val="multilevel"/>
    <w:tmpl w:val="E2321C64"/>
    <w:lvl w:ilvl="0">
      <w:start w:val="1"/>
      <w:numFmt w:val="decimal"/>
      <w:lvlRestart w:val="0"/>
      <w:lvlText w:val="%1."/>
      <w:lvlJc w:val="left"/>
      <w:pPr>
        <w:tabs>
          <w:tab w:val="num" w:pos="1570"/>
        </w:tabs>
        <w:ind w:left="1570" w:hanging="850"/>
      </w:pPr>
      <w:rPr>
        <w:rFonts w:hint="default"/>
      </w:rPr>
    </w:lvl>
    <w:lvl w:ilvl="1">
      <w:start w:val="1"/>
      <w:numFmt w:val="decimal"/>
      <w:lvlText w:val="%1.%2."/>
      <w:lvlJc w:val="left"/>
      <w:pPr>
        <w:tabs>
          <w:tab w:val="num" w:pos="850"/>
        </w:tabs>
        <w:ind w:left="850" w:hanging="850"/>
      </w:pPr>
      <w:rPr>
        <w:rFonts w:hint="default"/>
      </w:rPr>
    </w:lvl>
    <w:lvl w:ilvl="2">
      <w:start w:val="1"/>
      <w:numFmt w:val="decimal"/>
      <w:lvlText w:val="%1.%2.%3."/>
      <w:lvlJc w:val="left"/>
      <w:pPr>
        <w:tabs>
          <w:tab w:val="num" w:pos="850"/>
        </w:tabs>
        <w:ind w:left="850" w:hanging="850"/>
      </w:pPr>
      <w:rPr>
        <w:rFonts w:hint="default"/>
        <w:b w:val="0"/>
      </w:rPr>
    </w:lvl>
    <w:lvl w:ilvl="3">
      <w:start w:val="1"/>
      <w:numFmt w:val="decimal"/>
      <w:lvlText w:val="%1.%2.%3.%4."/>
      <w:lvlJc w:val="left"/>
      <w:pPr>
        <w:tabs>
          <w:tab w:val="num" w:pos="1810"/>
        </w:tabs>
        <w:ind w:left="1810" w:hanging="850"/>
      </w:pPr>
      <w:rPr>
        <w:rFonts w:hint="default"/>
      </w:rPr>
    </w:lvl>
    <w:lvl w:ilvl="4">
      <w:start w:val="1"/>
      <w:numFmt w:val="lowerLetter"/>
      <w:lvlText w:val="(%5)"/>
      <w:lvlJc w:val="left"/>
      <w:pPr>
        <w:tabs>
          <w:tab w:val="num" w:pos="1800"/>
        </w:tabs>
        <w:ind w:left="1800" w:hanging="360"/>
      </w:pPr>
      <w:rPr>
        <w:rFonts w:hint="default"/>
      </w:rPr>
    </w:lvl>
    <w:lvl w:ilvl="5">
      <w:start w:val="1"/>
      <w:numFmt w:val="decimal"/>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nsid w:val="40315490"/>
    <w:multiLevelType w:val="singleLevel"/>
    <w:tmpl w:val="1F86C700"/>
    <w:name w:val="6.208003E-02"/>
    <w:lvl w:ilvl="0">
      <w:start w:val="1"/>
      <w:numFmt w:val="bullet"/>
      <w:lvlRestart w:val="0"/>
      <w:lvlText w:val="–"/>
      <w:lvlJc w:val="left"/>
      <w:pPr>
        <w:tabs>
          <w:tab w:val="num" w:pos="283"/>
        </w:tabs>
        <w:ind w:left="283" w:hanging="283"/>
      </w:pPr>
      <w:rPr>
        <w:rFonts w:ascii="Times New Roman" w:hAnsi="Times New Roman"/>
      </w:rPr>
    </w:lvl>
  </w:abstractNum>
  <w:abstractNum w:abstractNumId="24">
    <w:nsid w:val="45546FE3"/>
    <w:multiLevelType w:val="hybridMultilevel"/>
    <w:tmpl w:val="410AA2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48842C30"/>
    <w:multiLevelType w:val="singleLevel"/>
    <w:tmpl w:val="4FA60B90"/>
    <w:name w:val="Bullet 4"/>
    <w:lvl w:ilvl="0">
      <w:start w:val="1"/>
      <w:numFmt w:val="bullet"/>
      <w:lvlRestart w:val="0"/>
      <w:lvlText w:val=""/>
      <w:lvlJc w:val="left"/>
      <w:pPr>
        <w:tabs>
          <w:tab w:val="num" w:pos="3118"/>
        </w:tabs>
        <w:ind w:left="3118" w:hanging="567"/>
      </w:pPr>
      <w:rPr>
        <w:rFonts w:ascii="Symbol" w:hAnsi="Symbol" w:hint="default"/>
      </w:rPr>
    </w:lvl>
  </w:abstractNum>
  <w:abstractNum w:abstractNumId="26">
    <w:nsid w:val="4B472A41"/>
    <w:multiLevelType w:val="hybridMultilevel"/>
    <w:tmpl w:val="5FF47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B954A1C"/>
    <w:multiLevelType w:val="hybridMultilevel"/>
    <w:tmpl w:val="C98C9CEA"/>
    <w:lvl w:ilvl="0" w:tplc="938E1450">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8">
    <w:nsid w:val="54593082"/>
    <w:multiLevelType w:val="singleLevel"/>
    <w:tmpl w:val="EDE069AC"/>
    <w:name w:val="Bullet 0"/>
    <w:lvl w:ilvl="0">
      <w:start w:val="1"/>
      <w:numFmt w:val="bullet"/>
      <w:lvlRestart w:val="0"/>
      <w:lvlText w:val=""/>
      <w:lvlJc w:val="left"/>
      <w:pPr>
        <w:tabs>
          <w:tab w:val="num" w:pos="850"/>
        </w:tabs>
        <w:ind w:left="850" w:hanging="850"/>
      </w:pPr>
      <w:rPr>
        <w:rFonts w:ascii="Symbol" w:hAnsi="Symbol" w:hint="default"/>
      </w:rPr>
    </w:lvl>
  </w:abstractNum>
  <w:abstractNum w:abstractNumId="29">
    <w:nsid w:val="568864DC"/>
    <w:multiLevelType w:val="singleLevel"/>
    <w:tmpl w:val="485EBDAC"/>
    <w:name w:val="Tiret 4"/>
    <w:lvl w:ilvl="0">
      <w:start w:val="1"/>
      <w:numFmt w:val="bullet"/>
      <w:lvlRestart w:val="0"/>
      <w:lvlText w:val="–"/>
      <w:lvlJc w:val="left"/>
      <w:pPr>
        <w:tabs>
          <w:tab w:val="num" w:pos="3118"/>
        </w:tabs>
        <w:ind w:left="3118" w:hanging="567"/>
      </w:pPr>
    </w:lvl>
  </w:abstractNum>
  <w:abstractNum w:abstractNumId="30">
    <w:nsid w:val="5B935A17"/>
    <w:multiLevelType w:val="hybridMultilevel"/>
    <w:tmpl w:val="D32E1CC6"/>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D0852B5"/>
    <w:multiLevelType w:val="hybridMultilevel"/>
    <w:tmpl w:val="61F8BD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5EB50A10"/>
    <w:multiLevelType w:val="hybridMultilevel"/>
    <w:tmpl w:val="8C5E53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5F342530"/>
    <w:multiLevelType w:val="singleLevel"/>
    <w:tmpl w:val="D5444702"/>
    <w:name w:val="Bullet 3"/>
    <w:lvl w:ilvl="0">
      <w:start w:val="1"/>
      <w:numFmt w:val="bullet"/>
      <w:lvlRestart w:val="0"/>
      <w:lvlText w:val=""/>
      <w:lvlJc w:val="left"/>
      <w:pPr>
        <w:tabs>
          <w:tab w:val="num" w:pos="2551"/>
        </w:tabs>
        <w:ind w:left="2551" w:hanging="567"/>
      </w:pPr>
      <w:rPr>
        <w:rFonts w:ascii="Symbol" w:hAnsi="Symbol" w:hint="default"/>
      </w:rPr>
    </w:lvl>
  </w:abstractNum>
  <w:abstractNum w:abstractNumId="34">
    <w:nsid w:val="5F9C40AA"/>
    <w:multiLevelType w:val="singleLevel"/>
    <w:tmpl w:val="B89CB5A2"/>
    <w:name w:val="Bullet 2"/>
    <w:lvl w:ilvl="0">
      <w:start w:val="1"/>
      <w:numFmt w:val="bullet"/>
      <w:lvlRestart w:val="0"/>
      <w:lvlText w:val=""/>
      <w:lvlJc w:val="left"/>
      <w:pPr>
        <w:tabs>
          <w:tab w:val="num" w:pos="1984"/>
        </w:tabs>
        <w:ind w:left="1984" w:hanging="567"/>
      </w:pPr>
      <w:rPr>
        <w:rFonts w:ascii="Symbol" w:hAnsi="Symbol" w:hint="default"/>
      </w:rPr>
    </w:lvl>
  </w:abstractNum>
  <w:abstractNum w:abstractNumId="35">
    <w:nsid w:val="61D166DA"/>
    <w:multiLevelType w:val="hybridMultilevel"/>
    <w:tmpl w:val="28AC936A"/>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62970F71"/>
    <w:multiLevelType w:val="singleLevel"/>
    <w:tmpl w:val="5AFA8C72"/>
    <w:name w:val="Tiret 2"/>
    <w:lvl w:ilvl="0">
      <w:start w:val="1"/>
      <w:numFmt w:val="bullet"/>
      <w:lvlRestart w:val="0"/>
      <w:lvlText w:val="–"/>
      <w:lvlJc w:val="left"/>
      <w:pPr>
        <w:tabs>
          <w:tab w:val="num" w:pos="1984"/>
        </w:tabs>
        <w:ind w:left="1984" w:hanging="567"/>
      </w:pPr>
    </w:lvl>
  </w:abstractNum>
  <w:abstractNum w:abstractNumId="37">
    <w:nsid w:val="6356329D"/>
    <w:multiLevelType w:val="hybridMultilevel"/>
    <w:tmpl w:val="FDCAC67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9995580"/>
    <w:multiLevelType w:val="singleLevel"/>
    <w:tmpl w:val="75CC7CBA"/>
    <w:name w:val="Considérant"/>
    <w:lvl w:ilvl="0">
      <w:start w:val="1"/>
      <w:numFmt w:val="decimal"/>
      <w:lvlRestart w:val="0"/>
      <w:lvlText w:val="(%1)"/>
      <w:lvlJc w:val="left"/>
      <w:pPr>
        <w:tabs>
          <w:tab w:val="num" w:pos="709"/>
        </w:tabs>
        <w:ind w:left="709" w:hanging="709"/>
      </w:pPr>
    </w:lvl>
  </w:abstractNum>
  <w:abstractNum w:abstractNumId="39">
    <w:nsid w:val="7D8820A0"/>
    <w:multiLevelType w:val="singleLevel"/>
    <w:tmpl w:val="54F6C7B4"/>
    <w:name w:val="Point__6"/>
    <w:lvl w:ilvl="0">
      <w:start w:val="1"/>
      <w:numFmt w:val="bullet"/>
      <w:lvlRestart w:val="0"/>
      <w:lvlText w:val="–"/>
      <w:lvlJc w:val="left"/>
      <w:pPr>
        <w:tabs>
          <w:tab w:val="num" w:pos="1134"/>
        </w:tabs>
        <w:ind w:left="1134" w:hanging="283"/>
      </w:pPr>
      <w:rPr>
        <w:rFonts w:ascii="Times New Roman" w:hAnsi="Times New Roman"/>
      </w:rPr>
    </w:lvl>
  </w:abstractNum>
  <w:num w:numId="1">
    <w:abstractNumId w:val="4"/>
  </w:num>
  <w:num w:numId="2">
    <w:abstractNumId w:val="5"/>
  </w:num>
  <w:num w:numId="3">
    <w:abstractNumId w:val="7"/>
  </w:num>
  <w:num w:numId="4">
    <w:abstractNumId w:val="11"/>
  </w:num>
  <w:num w:numId="5">
    <w:abstractNumId w:val="31"/>
  </w:num>
  <w:num w:numId="6">
    <w:abstractNumId w:val="10"/>
  </w:num>
  <w:num w:numId="7">
    <w:abstractNumId w:val="1"/>
  </w:num>
  <w:num w:numId="8">
    <w:abstractNumId w:val="21"/>
  </w:num>
  <w:num w:numId="9">
    <w:abstractNumId w:val="20"/>
  </w:num>
  <w:num w:numId="10">
    <w:abstractNumId w:val="9"/>
  </w:num>
  <w:num w:numId="11">
    <w:abstractNumId w:val="6"/>
  </w:num>
  <w:num w:numId="12">
    <w:abstractNumId w:val="22"/>
  </w:num>
  <w:num w:numId="13">
    <w:abstractNumId w:val="32"/>
  </w:num>
  <w:num w:numId="14">
    <w:abstractNumId w:val="26"/>
  </w:num>
  <w:num w:numId="15">
    <w:abstractNumId w:val="4"/>
  </w:num>
  <w:num w:numId="16">
    <w:abstractNumId w:val="30"/>
  </w:num>
  <w:num w:numId="17">
    <w:abstractNumId w:val="35"/>
  </w:num>
  <w:num w:numId="18">
    <w:abstractNumId w:val="15"/>
  </w:num>
  <w:num w:numId="19">
    <w:abstractNumId w:val="4"/>
  </w:num>
  <w:num w:numId="20">
    <w:abstractNumId w:val="24"/>
  </w:num>
  <w:num w:numId="21">
    <w:abstractNumId w:val="2"/>
  </w:num>
  <w:num w:numId="22">
    <w:abstractNumId w:val="0"/>
  </w:num>
  <w:num w:numId="23">
    <w:abstractNumId w:val="3"/>
  </w:num>
  <w:num w:numId="24">
    <w:abstractNumId w:val="12"/>
  </w:num>
  <w:num w:numId="25">
    <w:abstractNumId w:val="27"/>
  </w:num>
  <w:num w:numId="26">
    <w:abstractNumId w:val="4"/>
  </w:num>
  <w:num w:numId="27">
    <w:abstractNumId w:val="4"/>
  </w:num>
  <w:num w:numId="28">
    <w:abstractNumId w:val="4"/>
  </w:num>
  <w:num w:numId="29">
    <w:abstractNumId w:val="14"/>
  </w:num>
  <w:num w:numId="30">
    <w:abstractNumId w:val="37"/>
  </w:num>
  <w:num w:numId="31">
    <w:abstractNumId w:val="4"/>
  </w:num>
  <w:num w:numId="32">
    <w:abstractNumId w:val="4"/>
  </w:num>
  <w:num w:numId="33">
    <w:abstractNumId w:val="4"/>
  </w:num>
  <w:num w:numId="34">
    <w:abstractNumId w:val="4"/>
  </w:num>
  <w:num w:numId="35">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hideGrammaticalErrors/>
  <w:activeWritingStyle w:appName="MSWord" w:lang="da-DK" w:vendorID="64" w:dllVersion="131078" w:nlCheck="1" w:checkStyle="0"/>
  <w:activeWritingStyle w:appName="MSWord" w:lang="en-GB" w:vendorID="64" w:dllVersion="131078" w:nlCheck="1" w:checkStyle="1"/>
  <w:activeWritingStyle w:appName="MSWord" w:lang="fr-BE" w:vendorID="64" w:dllVersion="131078" w:nlCheck="1" w:checkStyle="0"/>
  <w:activeWritingStyle w:appName="MSWord" w:lang="de-DE" w:vendorID="64" w:dllVersion="131078" w:nlCheck="1" w:checkStyle="0"/>
  <w:activeWritingStyle w:appName="MSWord" w:lang="it-IT" w:vendorID="64" w:dllVersion="131078" w:nlCheck="1" w:checkStyle="0"/>
  <w:activeWritingStyle w:appName="MSWord" w:lang="en-US" w:vendorID="64" w:dllVersion="131078" w:nlCheck="1" w:checkStyle="1"/>
  <w:activeWritingStyle w:appName="MSWord" w:lang="en-IE"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2BD985EA-5000-4F5F-9527-C2AAACF89C95"/>
    <w:docVar w:name="LW_COVERPAGE_TYPE" w:val="1"/>
    <w:docVar w:name="LW_CROSSREFERENCE" w:val="{SWD(2019) 361 final} - {SWD(2019) 362 final} - {SWD(2019) 363 final} - {SWD(2019) 364 final} - {SWD(2019) 365 final}"/>
    <w:docVar w:name="LW_DocType" w:val="NORMAL"/>
    <w:docVar w:name="LW_EMISSION" w:val="11. 10. 2019"/>
    <w:docVar w:name="LW_EMISSION_ISODATE" w:val="2019-10-11"/>
    <w:docVar w:name="LW_EMISSION_LOCATION" w:val="BRX"/>
    <w:docVar w:name="LW_EMISSION_PREFIX" w:val="V Bruseli"/>
    <w:docVar w:name="LW_EMISSION_SUFFIX" w:val=" "/>
    <w:docVar w:name="LW_ID_DOCTYPE_NONLW" w:val="CP-006"/>
    <w:docVar w:name="LW_LANGUE" w:val="SK"/>
    <w:docVar w:name="LW_LEVEL_OF_SENSITIVITY" w:val="Standard treatment"/>
    <w:docVar w:name="LW_NOM.INST" w:val="EURÓPSKA KOMISIA"/>
    <w:docVar w:name="LW_NOM.INST_JOINTDOC" w:val="&lt;EMPTY&gt;"/>
    <w:docVar w:name="LW_PART_NBR" w:val="1"/>
    <w:docVar w:name="LW_PART_NBR_TOTAL" w:val="1"/>
    <w:docVar w:name="LW_REF.INST.NEW" w:val="COM"/>
    <w:docVar w:name="LW_REF.INST.NEW_ADOPTED" w:val="final"/>
    <w:docVar w:name="LW_REF.INST.NEW_TEXT" w:val="(2019) 444"/>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OUS.TITRE.OBJ.CP" w:val="&lt;UNUSED&gt;"/>
    <w:docVar w:name="LW_SUPERTITRE" w:val="&lt;UNUSED&gt;"/>
    <w:docVar w:name="LW_TITRE.OBJ.CP" w:val="&lt;FMT:Font=Cambria CE,Bold&gt;30. výro\u269?ná správa o ochrane finan\u269?ných záujmov Európskej únie \u8211? boj proti podvodom &lt;/FMT&gt;&lt;FMT:Font=Cambria CE&gt;\u8211?&lt;/FMT&gt; 2018_x000d__x000d__x000d__x000d__x000d__x000d__x000d__x000d__x000b__x000d__x000d__x000d__x000d__x000d__x000d__x000d__x000d__x000b__x000d__x000d__x000d__x000d__x000d__x000d__x000d__x000d__x000b_"/>
    <w:docVar w:name="LW_TYPE.DOC.CP" w:val="SPRÁVA KOMISIE EURÓPSKEMU PARLAMENTU A RADE"/>
    <w:docVar w:name="Stamp" w:val="\\dossiers.dgt.cec.eu.int\dossiers\OLAF\OLAF-2016-00292\OLAF-2016-00292-01-00-EN-REV-00.DOCX"/>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k-SK"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qFormat="1"/>
    <w:lsdException w:name="table of figures" w:uiPriority="99"/>
    <w:lsdException w:name="footnote reference"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120" w:after="120"/>
      <w:jc w:val="both"/>
    </w:pPr>
    <w:rPr>
      <w:sz w:val="24"/>
      <w:szCs w:val="24"/>
      <w:lang w:eastAsia="en-US"/>
    </w:rPr>
  </w:style>
  <w:style w:type="paragraph" w:styleId="Heading1">
    <w:name w:val="heading 1"/>
    <w:basedOn w:val="Normal"/>
    <w:next w:val="Normal"/>
    <w:link w:val="Heading1Char"/>
    <w:qFormat/>
    <w:pPr>
      <w:keepNext/>
      <w:numPr>
        <w:numId w:val="1"/>
      </w:numPr>
      <w:spacing w:before="360"/>
      <w:outlineLvl w:val="0"/>
    </w:pPr>
    <w:rPr>
      <w:b/>
      <w:bCs/>
      <w:smallCaps/>
      <w:szCs w:val="32"/>
    </w:rPr>
  </w:style>
  <w:style w:type="paragraph" w:styleId="Heading2">
    <w:name w:val="heading 2"/>
    <w:basedOn w:val="Normal"/>
    <w:next w:val="Normal"/>
    <w:link w:val="Heading2Char"/>
    <w:qFormat/>
    <w:pPr>
      <w:keepNext/>
      <w:numPr>
        <w:ilvl w:val="1"/>
        <w:numId w:val="1"/>
      </w:numPr>
      <w:outlineLvl w:val="1"/>
    </w:pPr>
    <w:rPr>
      <w:rFonts w:eastAsia="Calibri"/>
      <w:b/>
      <w:bCs/>
      <w:iCs/>
      <w:szCs w:val="28"/>
    </w:rPr>
  </w:style>
  <w:style w:type="paragraph" w:styleId="Heading3">
    <w:name w:val="heading 3"/>
    <w:basedOn w:val="Normal"/>
    <w:next w:val="Normal"/>
    <w:link w:val="Heading3Char"/>
    <w:qFormat/>
    <w:pPr>
      <w:keepNext/>
      <w:numPr>
        <w:ilvl w:val="2"/>
        <w:numId w:val="1"/>
      </w:numPr>
      <w:outlineLvl w:val="2"/>
    </w:pPr>
    <w:rPr>
      <w:bCs/>
      <w:i/>
      <w:szCs w:val="26"/>
    </w:rPr>
  </w:style>
  <w:style w:type="paragraph" w:styleId="Heading4">
    <w:name w:val="heading 4"/>
    <w:basedOn w:val="Normal"/>
    <w:next w:val="Normal"/>
    <w:link w:val="Heading4Char"/>
    <w:autoRedefine/>
    <w:qFormat/>
    <w:pPr>
      <w:keepNext/>
      <w:ind w:left="720" w:firstLine="130"/>
      <w:outlineLvl w:val="3"/>
    </w:pPr>
    <w:rPr>
      <w:bCs/>
      <w:noProof/>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b/>
      <w:bCs/>
      <w:smallCaps/>
      <w:sz w:val="24"/>
      <w:szCs w:val="32"/>
      <w:lang w:eastAsia="en-US"/>
    </w:rPr>
  </w:style>
  <w:style w:type="character" w:customStyle="1" w:styleId="Heading2Char">
    <w:name w:val="Heading 2 Char"/>
    <w:link w:val="Heading2"/>
    <w:rPr>
      <w:rFonts w:eastAsia="Calibri"/>
      <w:b/>
      <w:bCs/>
      <w:iCs/>
      <w:sz w:val="24"/>
      <w:szCs w:val="28"/>
      <w:lang w:eastAsia="en-US"/>
    </w:rPr>
  </w:style>
  <w:style w:type="character" w:customStyle="1" w:styleId="Heading3Char">
    <w:name w:val="Heading 3 Char"/>
    <w:link w:val="Heading3"/>
    <w:rPr>
      <w:bCs/>
      <w:i/>
      <w:sz w:val="24"/>
      <w:szCs w:val="26"/>
      <w:lang w:eastAsia="en-US"/>
    </w:rPr>
  </w:style>
  <w:style w:type="character" w:customStyle="1" w:styleId="Heading4Char">
    <w:name w:val="Heading 4 Char"/>
    <w:link w:val="Heading4"/>
    <w:rPr>
      <w:bCs/>
      <w:noProof/>
      <w:sz w:val="24"/>
      <w:szCs w:val="28"/>
      <w:lang w:eastAsia="en-US"/>
    </w:rPr>
  </w:style>
  <w:style w:type="paragraph" w:styleId="Header">
    <w:name w:val="header"/>
    <w:basedOn w:val="Normal"/>
    <w:link w:val="HeaderChar"/>
    <w:uiPriority w:val="99"/>
    <w:unhideWhenUsed/>
    <w:pPr>
      <w:tabs>
        <w:tab w:val="center" w:pos="4535"/>
        <w:tab w:val="right" w:pos="9071"/>
      </w:tabs>
      <w:spacing w:before="0"/>
    </w:pPr>
    <w:rPr>
      <w:rFonts w:eastAsiaTheme="minorHAnsi"/>
      <w:szCs w:val="22"/>
    </w:rPr>
  </w:style>
  <w:style w:type="character" w:customStyle="1" w:styleId="HeaderChar">
    <w:name w:val="Header Char"/>
    <w:basedOn w:val="DefaultParagraphFont"/>
    <w:link w:val="Header"/>
    <w:uiPriority w:val="99"/>
    <w:rPr>
      <w:rFonts w:eastAsiaTheme="minorHAnsi"/>
      <w:sz w:val="24"/>
      <w:szCs w:val="22"/>
      <w:lang w:eastAsia="en-US"/>
    </w:rPr>
  </w:style>
  <w:style w:type="character" w:styleId="FootnoteReference">
    <w:name w:val="footnote reference"/>
    <w:aliases w:val="Voetnoot verwijzing,number,Footnote reference number,Footnote symbol,note TESI,-E Fußnotenzeichen,SUPERS,stylish,Footnote Reference_EP-LCA,BVI fnr,Odwołanie przypisu,Footnote Reference2,Footnote Reference Number,E FNZ,Footnote#,FR,F"/>
    <w:uiPriority w:val="99"/>
    <w:qFormat/>
    <w:rPr>
      <w:shd w:val="clear" w:color="auto" w:fill="auto"/>
      <w:vertAlign w:val="superscript"/>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jc w:val="left"/>
    </w:pPr>
    <w:rPr>
      <w:rFonts w:eastAsiaTheme="minorHAnsi"/>
      <w:szCs w:val="22"/>
    </w:rPr>
  </w:style>
  <w:style w:type="character" w:customStyle="1" w:styleId="FooterChar">
    <w:name w:val="Footer Char"/>
    <w:basedOn w:val="DefaultParagraphFont"/>
    <w:link w:val="Footer"/>
    <w:uiPriority w:val="99"/>
    <w:rPr>
      <w:rFonts w:eastAsiaTheme="minorHAnsi"/>
      <w:sz w:val="24"/>
      <w:szCs w:val="22"/>
      <w:lang w:eastAsia="en-US"/>
    </w:rPr>
  </w:style>
  <w:style w:type="paragraph" w:customStyle="1" w:styleId="Pagedecouverture">
    <w:name w:val="Page de couverture"/>
    <w:basedOn w:val="Normal"/>
    <w:next w:val="Normal"/>
  </w:style>
  <w:style w:type="paragraph" w:styleId="TOC1">
    <w:name w:val="toc 1"/>
    <w:basedOn w:val="Normal"/>
    <w:next w:val="Normal"/>
    <w:uiPriority w:val="39"/>
    <w:pPr>
      <w:spacing w:before="360" w:after="0"/>
      <w:jc w:val="left"/>
    </w:pPr>
    <w:rPr>
      <w:rFonts w:asciiTheme="majorHAnsi" w:hAnsiTheme="majorHAnsi"/>
      <w:b/>
      <w:bCs/>
      <w:caps/>
    </w:rPr>
  </w:style>
  <w:style w:type="paragraph" w:styleId="TOC2">
    <w:name w:val="toc 2"/>
    <w:basedOn w:val="Normal"/>
    <w:next w:val="Normal"/>
    <w:uiPriority w:val="39"/>
    <w:pPr>
      <w:spacing w:before="240" w:after="0"/>
      <w:jc w:val="left"/>
    </w:pPr>
    <w:rPr>
      <w:rFonts w:asciiTheme="minorHAnsi" w:hAnsiTheme="minorHAnsi"/>
      <w:b/>
      <w:bCs/>
      <w:sz w:val="20"/>
      <w:szCs w:val="20"/>
    </w:rPr>
  </w:style>
  <w:style w:type="paragraph" w:styleId="TOC3">
    <w:name w:val="toc 3"/>
    <w:basedOn w:val="Normal"/>
    <w:next w:val="Normal"/>
    <w:uiPriority w:val="39"/>
    <w:pPr>
      <w:spacing w:before="0" w:after="0"/>
      <w:ind w:left="240"/>
      <w:jc w:val="left"/>
    </w:pPr>
    <w:rPr>
      <w:rFonts w:asciiTheme="minorHAnsi" w:hAnsiTheme="minorHAnsi"/>
      <w:sz w:val="20"/>
      <w:szCs w:val="20"/>
    </w:rPr>
  </w:style>
  <w:style w:type="paragraph" w:styleId="TOC5">
    <w:name w:val="toc 5"/>
    <w:basedOn w:val="Normal"/>
    <w:next w:val="Normal"/>
    <w:uiPriority w:val="39"/>
    <w:pPr>
      <w:spacing w:before="0" w:after="0"/>
      <w:ind w:left="720"/>
      <w:jc w:val="left"/>
    </w:pPr>
    <w:rPr>
      <w:rFonts w:asciiTheme="minorHAnsi" w:hAnsiTheme="minorHAnsi"/>
      <w:sz w:val="20"/>
      <w:szCs w:val="20"/>
    </w:rPr>
  </w:style>
  <w:style w:type="paragraph" w:styleId="TOCHeading">
    <w:name w:val="TOC Heading"/>
    <w:basedOn w:val="Normal"/>
    <w:next w:val="Normal"/>
    <w:link w:val="TOCHeadingChar"/>
    <w:uiPriority w:val="39"/>
    <w:qFormat/>
    <w:pPr>
      <w:spacing w:after="240"/>
      <w:jc w:val="center"/>
    </w:pPr>
    <w:rPr>
      <w:b/>
      <w:sz w:val="28"/>
    </w:rPr>
  </w:style>
  <w:style w:type="character" w:customStyle="1" w:styleId="TOCHeadingChar">
    <w:name w:val="TOC Heading Char"/>
    <w:link w:val="TOCHeading"/>
    <w:uiPriority w:val="39"/>
    <w:rPr>
      <w:b/>
      <w:sz w:val="28"/>
      <w:szCs w:val="24"/>
      <w:shd w:val="clear" w:color="auto" w:fill="auto"/>
      <w:lang w:eastAsia="en-US"/>
    </w:rPr>
  </w:style>
  <w:style w:type="character" w:styleId="Hyperlink">
    <w:name w:val="Hyperlink"/>
    <w:uiPriority w:val="99"/>
    <w:rPr>
      <w:rFonts w:cs="Times New Roman"/>
      <w:color w:val="0000FF"/>
      <w:u w:val="single"/>
      <w:shd w:val="clear" w:color="auto" w:fill="auto"/>
    </w:rPr>
  </w:style>
  <w:style w:type="paragraph" w:styleId="ListParagraph">
    <w:name w:val="List Paragraph"/>
    <w:basedOn w:val="Normal"/>
    <w:uiPriority w:val="34"/>
    <w:qFormat/>
    <w:pPr>
      <w:ind w:left="720"/>
      <w:contextualSpacing/>
    </w:pPr>
    <w:rPr>
      <w:szCs w:val="22"/>
      <w:lang w:eastAsia="en-GB"/>
    </w:rPr>
  </w:style>
  <w:style w:type="paragraph" w:styleId="Revision">
    <w:name w:val="Revision"/>
    <w:hidden/>
    <w:uiPriority w:val="99"/>
    <w:semiHidden/>
    <w:pPr>
      <w:spacing w:after="200" w:line="276" w:lineRule="auto"/>
    </w:pPr>
    <w:rPr>
      <w:sz w:val="24"/>
      <w:szCs w:val="24"/>
      <w:lang w:eastAsia="en-US"/>
    </w:rPr>
  </w:style>
  <w:style w:type="paragraph" w:styleId="Caption">
    <w:name w:val="caption"/>
    <w:basedOn w:val="Normal"/>
    <w:next w:val="Normal"/>
    <w:unhideWhenUsed/>
    <w:qFormat/>
    <w:pPr>
      <w:spacing w:before="0" w:after="200"/>
    </w:pPr>
    <w:rPr>
      <w:b/>
      <w:bCs/>
      <w:color w:val="4F81BD" w:themeColor="accent1"/>
      <w:sz w:val="18"/>
      <w:szCs w:val="18"/>
    </w:rPr>
  </w:style>
  <w:style w:type="paragraph" w:customStyle="1" w:styleId="footnotetext1">
    <w:name w:val="footnote text1"/>
    <w:aliases w:val="footnote text"/>
    <w:basedOn w:val="Normal"/>
    <w:pPr>
      <w:tabs>
        <w:tab w:val="left" w:pos="360"/>
      </w:tabs>
      <w:spacing w:before="0" w:after="0"/>
      <w:ind w:left="360" w:hanging="360"/>
    </w:pPr>
    <w:rPr>
      <w:sz w:val="20"/>
      <w:szCs w:val="20"/>
    </w:rPr>
  </w:style>
  <w:style w:type="paragraph" w:styleId="BalloonText">
    <w:name w:val="Balloon Text"/>
    <w:basedOn w:val="Normal"/>
    <w:link w:val="BalloonTextChar"/>
    <w:pPr>
      <w:spacing w:before="0" w:after="0"/>
    </w:pP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lang w:eastAsia="en-US"/>
    </w:rPr>
  </w:style>
  <w:style w:type="character" w:styleId="CommentReference">
    <w:name w:val="annotation reference"/>
    <w:basedOn w:val="DefaultParagraphFont"/>
    <w:rPr>
      <w:sz w:val="16"/>
      <w:szCs w:val="16"/>
    </w:rPr>
  </w:style>
  <w:style w:type="paragraph" w:styleId="CommentText">
    <w:name w:val="annotation text"/>
    <w:basedOn w:val="Normal"/>
    <w:link w:val="CommentTextChar"/>
    <w:rPr>
      <w:sz w:val="20"/>
      <w:szCs w:val="20"/>
    </w:rPr>
  </w:style>
  <w:style w:type="character" w:customStyle="1" w:styleId="CommentTextChar">
    <w:name w:val="Comment Text Char"/>
    <w:basedOn w:val="DefaultParagraphFont"/>
    <w:link w:val="CommentText"/>
    <w:rPr>
      <w:lang w:eastAsia="en-US"/>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basedOn w:val="CommentTextChar"/>
    <w:link w:val="CommentSubject"/>
    <w:rPr>
      <w:b/>
      <w:bCs/>
      <w:lang w:eastAsia="en-US"/>
    </w:rPr>
  </w:style>
  <w:style w:type="character" w:styleId="FollowedHyperlink">
    <w:name w:val="FollowedHyperlink"/>
    <w:basedOn w:val="DefaultParagraphFont"/>
    <w:rPr>
      <w:color w:val="800080" w:themeColor="followedHyperlink"/>
      <w:u w:val="single"/>
    </w:rPr>
  </w:style>
  <w:style w:type="character" w:customStyle="1" w:styleId="Marker">
    <w:name w:val="Marker"/>
    <w:basedOn w:val="DefaultParagraphFont"/>
    <w:rPr>
      <w:color w:val="0000FF"/>
      <w:shd w:val="clear" w:color="auto" w:fill="auto"/>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TOCHeadingChar"/>
    <w:link w:val="FooterCoverPage"/>
    <w:rPr>
      <w:b w:val="0"/>
      <w:sz w:val="24"/>
      <w:szCs w:val="24"/>
      <w:shd w:val="clear" w:color="auto" w:fill="auto"/>
      <w:lang w:eastAsia="en-US"/>
    </w:rPr>
  </w:style>
  <w:style w:type="paragraph" w:customStyle="1" w:styleId="HeaderCoverPage">
    <w:name w:val="Header Cover Page"/>
    <w:basedOn w:val="Normal"/>
    <w:link w:val="HeaderCoverPageChar"/>
    <w:pPr>
      <w:tabs>
        <w:tab w:val="center" w:pos="4535"/>
        <w:tab w:val="right" w:pos="9071"/>
      </w:tabs>
      <w:spacing w:before="0"/>
    </w:pPr>
  </w:style>
  <w:style w:type="character" w:customStyle="1" w:styleId="HeaderCoverPageChar">
    <w:name w:val="Header Cover Page Char"/>
    <w:basedOn w:val="TOCHeadingChar"/>
    <w:link w:val="HeaderCoverPage"/>
    <w:rPr>
      <w:b w:val="0"/>
      <w:sz w:val="24"/>
      <w:szCs w:val="24"/>
      <w:shd w:val="clear" w:color="auto" w:fill="auto"/>
      <w:lang w:eastAsia="en-US"/>
    </w:rPr>
  </w:style>
  <w:style w:type="paragraph" w:styleId="TOC4">
    <w:name w:val="toc 4"/>
    <w:basedOn w:val="Normal"/>
    <w:next w:val="Normal"/>
    <w:autoRedefine/>
    <w:uiPriority w:val="39"/>
    <w:pPr>
      <w:spacing w:before="0" w:after="0"/>
      <w:ind w:left="480"/>
      <w:jc w:val="left"/>
    </w:pPr>
    <w:rPr>
      <w:rFonts w:asciiTheme="minorHAnsi" w:hAnsiTheme="minorHAnsi"/>
      <w:sz w:val="20"/>
      <w:szCs w:val="20"/>
    </w:rPr>
  </w:style>
  <w:style w:type="paragraph" w:styleId="TOC6">
    <w:name w:val="toc 6"/>
    <w:basedOn w:val="Normal"/>
    <w:next w:val="Normal"/>
    <w:autoRedefine/>
    <w:uiPriority w:val="39"/>
    <w:pPr>
      <w:spacing w:before="0" w:after="0"/>
      <w:ind w:left="960"/>
      <w:jc w:val="left"/>
    </w:pPr>
    <w:rPr>
      <w:rFonts w:asciiTheme="minorHAnsi" w:hAnsiTheme="minorHAnsi"/>
      <w:sz w:val="20"/>
      <w:szCs w:val="20"/>
    </w:rPr>
  </w:style>
  <w:style w:type="paragraph" w:styleId="TOC7">
    <w:name w:val="toc 7"/>
    <w:basedOn w:val="Normal"/>
    <w:next w:val="Normal"/>
    <w:autoRedefine/>
    <w:uiPriority w:val="39"/>
    <w:pPr>
      <w:spacing w:before="0" w:after="0"/>
      <w:ind w:left="1200"/>
      <w:jc w:val="left"/>
    </w:pPr>
    <w:rPr>
      <w:rFonts w:asciiTheme="minorHAnsi" w:hAnsiTheme="minorHAnsi"/>
      <w:sz w:val="20"/>
      <w:szCs w:val="20"/>
    </w:rPr>
  </w:style>
  <w:style w:type="paragraph" w:styleId="TOC8">
    <w:name w:val="toc 8"/>
    <w:basedOn w:val="Normal"/>
    <w:next w:val="Normal"/>
    <w:autoRedefine/>
    <w:uiPriority w:val="39"/>
    <w:pPr>
      <w:spacing w:before="0" w:after="0"/>
      <w:ind w:left="1440"/>
      <w:jc w:val="left"/>
    </w:pPr>
    <w:rPr>
      <w:rFonts w:asciiTheme="minorHAnsi" w:hAnsiTheme="minorHAnsi"/>
      <w:sz w:val="20"/>
      <w:szCs w:val="20"/>
    </w:rPr>
  </w:style>
  <w:style w:type="paragraph" w:styleId="TOC9">
    <w:name w:val="toc 9"/>
    <w:basedOn w:val="Normal"/>
    <w:next w:val="Normal"/>
    <w:autoRedefine/>
    <w:uiPriority w:val="39"/>
    <w:pPr>
      <w:spacing w:before="0" w:after="0"/>
      <w:ind w:left="1680"/>
      <w:jc w:val="left"/>
    </w:pPr>
    <w:rPr>
      <w:rFonts w:asciiTheme="minorHAnsi" w:hAnsiTheme="minorHAnsi"/>
      <w:sz w:val="20"/>
      <w:szCs w:val="20"/>
    </w:rPr>
  </w:style>
  <w:style w:type="paragraph" w:customStyle="1" w:styleId="Default">
    <w:name w:val="Default"/>
    <w:pPr>
      <w:autoSpaceDE w:val="0"/>
      <w:autoSpaceDN w:val="0"/>
      <w:adjustRightInd w:val="0"/>
    </w:pPr>
    <w:rPr>
      <w:color w:val="000000"/>
      <w:sz w:val="24"/>
      <w:szCs w:val="24"/>
    </w:rPr>
  </w:style>
  <w:style w:type="paragraph" w:customStyle="1" w:styleId="Declassification">
    <w:name w:val="Declassification"/>
    <w:basedOn w:val="Normal"/>
    <w:next w:val="Normal"/>
    <w:pPr>
      <w:spacing w:before="0" w:after="0"/>
    </w:pPr>
    <w:rPr>
      <w:rFonts w:eastAsiaTheme="minorHAnsi"/>
      <w:szCs w:val="22"/>
    </w:rPr>
  </w:style>
  <w:style w:type="paragraph" w:customStyle="1" w:styleId="HeaderLandscape">
    <w:name w:val="HeaderLandscape"/>
    <w:basedOn w:val="Normal"/>
    <w:pPr>
      <w:tabs>
        <w:tab w:val="center" w:pos="7285"/>
        <w:tab w:val="right" w:pos="14003"/>
      </w:tabs>
      <w:spacing w:before="0"/>
    </w:pPr>
    <w:rPr>
      <w:rFonts w:eastAsiaTheme="minorHAnsi"/>
      <w:szCs w:val="22"/>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before="0"/>
      <w:ind w:left="113" w:right="113"/>
      <w:jc w:val="center"/>
    </w:pPr>
    <w:rPr>
      <w:b/>
      <w:sz w:val="32"/>
    </w:r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rPr>
      <w:rFonts w:eastAsiaTheme="minorHAnsi"/>
      <w:szCs w:val="22"/>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table" w:styleId="TableGrid">
    <w:name w:val="Table Grid"/>
    <w:basedOn w:val="TableNormal"/>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pPr>
      <w:spacing w:before="0" w:after="0"/>
      <w:ind w:left="480" w:hanging="480"/>
      <w:jc w:val="left"/>
    </w:pPr>
    <w:rPr>
      <w:rFonts w:asciiTheme="minorHAnsi" w:hAnsiTheme="minorHAnsi"/>
      <w:smallCaps/>
      <w:sz w:val="20"/>
      <w:szCs w:val="20"/>
    </w:rPr>
  </w:style>
  <w:style w:type="paragraph" w:customStyle="1" w:styleId="Text1">
    <w:name w:val="Text 1"/>
    <w:basedOn w:val="Normal"/>
    <w:pPr>
      <w:ind w:left="850"/>
    </w:pPr>
    <w:rPr>
      <w:szCs w:val="22"/>
      <w:lang w:eastAsia="en-GB"/>
    </w:rPr>
  </w:style>
  <w:style w:type="table" w:customStyle="1" w:styleId="GridTable2-Accent11">
    <w:name w:val="Grid Table 2 - Accent 11"/>
    <w:basedOn w:val="TableNormal"/>
    <w:uiPriority w:val="47"/>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5Dark-Accent11">
    <w:name w:val="Grid Table 5 Dark - Accent 11"/>
    <w:basedOn w:val="TableNormal"/>
    <w:uiPriority w:val="5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EndnoteText">
    <w:name w:val="endnote text"/>
    <w:basedOn w:val="Normal"/>
    <w:semiHidden/>
    <w:unhideWhenUsed/>
    <w:pPr>
      <w:spacing w:before="0" w:after="0"/>
    </w:pPr>
    <w:rPr>
      <w:sz w:val="20"/>
      <w:szCs w:val="20"/>
    </w:rPr>
  </w:style>
  <w:style w:type="character" w:customStyle="1" w:styleId="EndnoteTextChar">
    <w:name w:val="Endnote Text Char"/>
    <w:basedOn w:val="DefaultParagraphFont"/>
    <w:semiHidden/>
    <w:rPr>
      <w:lang w:eastAsia="en-US"/>
    </w:rPr>
  </w:style>
  <w:style w:type="character" w:styleId="EndnoteReference">
    <w:name w:val="endnote reference"/>
    <w:basedOn w:val="DefaultParagraphFont"/>
    <w:semiHidden/>
    <w:unhideWhenUsed/>
    <w:rPr>
      <w:vertAlign w:val="superscript"/>
    </w:rPr>
  </w:style>
  <w:style w:type="paragraph" w:styleId="FootnoteText">
    <w:name w:val="footnote text"/>
    <w:basedOn w:val="Normal"/>
    <w:uiPriority w:val="99"/>
    <w:unhideWhenUsed/>
    <w:pPr>
      <w:spacing w:before="0" w:after="0"/>
    </w:pPr>
    <w:rPr>
      <w:sz w:val="20"/>
      <w:szCs w:val="20"/>
    </w:rPr>
  </w:style>
  <w:style w:type="character" w:customStyle="1" w:styleId="FootnoteTextChar">
    <w:name w:val="Footnote Text Char"/>
    <w:basedOn w:val="DefaultParagraphFont"/>
    <w:semiHidden/>
    <w:rPr>
      <w:lang w:eastAsia="en-US"/>
    </w:rPr>
  </w:style>
  <w:style w:type="paragraph" w:customStyle="1" w:styleId="SecurityMarking">
    <w:name w:val="SecurityMarking"/>
    <w:basedOn w:val="Normal"/>
    <w:pPr>
      <w:spacing w:before="0" w:after="0" w:line="276" w:lineRule="auto"/>
      <w:ind w:left="5103"/>
      <w:jc w:val="left"/>
    </w:pPr>
    <w:rPr>
      <w:rFonts w:eastAsiaTheme="minorHAnsi"/>
      <w:sz w:val="28"/>
      <w:szCs w:val="22"/>
    </w:rPr>
  </w:style>
  <w:style w:type="paragraph" w:customStyle="1" w:styleId="DateMarking">
    <w:name w:val="DateMarking"/>
    <w:basedOn w:val="Normal"/>
    <w:pPr>
      <w:spacing w:before="0" w:after="0" w:line="276" w:lineRule="auto"/>
      <w:ind w:left="5103"/>
      <w:jc w:val="left"/>
    </w:pPr>
    <w:rPr>
      <w:rFonts w:eastAsiaTheme="minorHAnsi"/>
      <w:i/>
      <w:sz w:val="28"/>
      <w:szCs w:val="22"/>
    </w:rPr>
  </w:style>
  <w:style w:type="paragraph" w:customStyle="1" w:styleId="ReleasableTo">
    <w:name w:val="ReleasableTo"/>
    <w:basedOn w:val="Normal"/>
    <w:pPr>
      <w:spacing w:before="0" w:after="0" w:line="276" w:lineRule="auto"/>
      <w:ind w:left="5103"/>
      <w:jc w:val="left"/>
    </w:pPr>
    <w:rPr>
      <w:rFonts w:eastAsiaTheme="minorHAnsi"/>
      <w:i/>
      <w:sz w:val="28"/>
      <w:szCs w:val="22"/>
    </w:rPr>
  </w:style>
  <w:style w:type="paragraph" w:customStyle="1" w:styleId="HeaderSensitivityRight">
    <w:name w:val="Header Sensitivity Right"/>
    <w:basedOn w:val="Normal"/>
    <w:pPr>
      <w:spacing w:before="0"/>
      <w:jc w:val="right"/>
    </w:pPr>
    <w:rPr>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k-SK"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qFormat="1"/>
    <w:lsdException w:name="table of figures" w:uiPriority="99"/>
    <w:lsdException w:name="footnote reference"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120" w:after="120"/>
      <w:jc w:val="both"/>
    </w:pPr>
    <w:rPr>
      <w:sz w:val="24"/>
      <w:szCs w:val="24"/>
      <w:lang w:eastAsia="en-US"/>
    </w:rPr>
  </w:style>
  <w:style w:type="paragraph" w:styleId="Heading1">
    <w:name w:val="heading 1"/>
    <w:basedOn w:val="Normal"/>
    <w:next w:val="Normal"/>
    <w:link w:val="Heading1Char"/>
    <w:qFormat/>
    <w:pPr>
      <w:keepNext/>
      <w:numPr>
        <w:numId w:val="1"/>
      </w:numPr>
      <w:spacing w:before="360"/>
      <w:outlineLvl w:val="0"/>
    </w:pPr>
    <w:rPr>
      <w:b/>
      <w:bCs/>
      <w:smallCaps/>
      <w:szCs w:val="32"/>
    </w:rPr>
  </w:style>
  <w:style w:type="paragraph" w:styleId="Heading2">
    <w:name w:val="heading 2"/>
    <w:basedOn w:val="Normal"/>
    <w:next w:val="Normal"/>
    <w:link w:val="Heading2Char"/>
    <w:qFormat/>
    <w:pPr>
      <w:keepNext/>
      <w:numPr>
        <w:ilvl w:val="1"/>
        <w:numId w:val="1"/>
      </w:numPr>
      <w:outlineLvl w:val="1"/>
    </w:pPr>
    <w:rPr>
      <w:rFonts w:eastAsia="Calibri"/>
      <w:b/>
      <w:bCs/>
      <w:iCs/>
      <w:szCs w:val="28"/>
    </w:rPr>
  </w:style>
  <w:style w:type="paragraph" w:styleId="Heading3">
    <w:name w:val="heading 3"/>
    <w:basedOn w:val="Normal"/>
    <w:next w:val="Normal"/>
    <w:link w:val="Heading3Char"/>
    <w:qFormat/>
    <w:pPr>
      <w:keepNext/>
      <w:numPr>
        <w:ilvl w:val="2"/>
        <w:numId w:val="1"/>
      </w:numPr>
      <w:outlineLvl w:val="2"/>
    </w:pPr>
    <w:rPr>
      <w:bCs/>
      <w:i/>
      <w:szCs w:val="26"/>
    </w:rPr>
  </w:style>
  <w:style w:type="paragraph" w:styleId="Heading4">
    <w:name w:val="heading 4"/>
    <w:basedOn w:val="Normal"/>
    <w:next w:val="Normal"/>
    <w:link w:val="Heading4Char"/>
    <w:autoRedefine/>
    <w:qFormat/>
    <w:pPr>
      <w:keepNext/>
      <w:ind w:left="720" w:firstLine="130"/>
      <w:outlineLvl w:val="3"/>
    </w:pPr>
    <w:rPr>
      <w:bCs/>
      <w:noProof/>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b/>
      <w:bCs/>
      <w:smallCaps/>
      <w:sz w:val="24"/>
      <w:szCs w:val="32"/>
      <w:lang w:eastAsia="en-US"/>
    </w:rPr>
  </w:style>
  <w:style w:type="character" w:customStyle="1" w:styleId="Heading2Char">
    <w:name w:val="Heading 2 Char"/>
    <w:link w:val="Heading2"/>
    <w:rPr>
      <w:rFonts w:eastAsia="Calibri"/>
      <w:b/>
      <w:bCs/>
      <w:iCs/>
      <w:sz w:val="24"/>
      <w:szCs w:val="28"/>
      <w:lang w:eastAsia="en-US"/>
    </w:rPr>
  </w:style>
  <w:style w:type="character" w:customStyle="1" w:styleId="Heading3Char">
    <w:name w:val="Heading 3 Char"/>
    <w:link w:val="Heading3"/>
    <w:rPr>
      <w:bCs/>
      <w:i/>
      <w:sz w:val="24"/>
      <w:szCs w:val="26"/>
      <w:lang w:eastAsia="en-US"/>
    </w:rPr>
  </w:style>
  <w:style w:type="character" w:customStyle="1" w:styleId="Heading4Char">
    <w:name w:val="Heading 4 Char"/>
    <w:link w:val="Heading4"/>
    <w:rPr>
      <w:bCs/>
      <w:noProof/>
      <w:sz w:val="24"/>
      <w:szCs w:val="28"/>
      <w:lang w:eastAsia="en-US"/>
    </w:rPr>
  </w:style>
  <w:style w:type="paragraph" w:styleId="Header">
    <w:name w:val="header"/>
    <w:basedOn w:val="Normal"/>
    <w:link w:val="HeaderChar"/>
    <w:uiPriority w:val="99"/>
    <w:unhideWhenUsed/>
    <w:pPr>
      <w:tabs>
        <w:tab w:val="center" w:pos="4535"/>
        <w:tab w:val="right" w:pos="9071"/>
      </w:tabs>
      <w:spacing w:before="0"/>
    </w:pPr>
    <w:rPr>
      <w:rFonts w:eastAsiaTheme="minorHAnsi"/>
      <w:szCs w:val="22"/>
    </w:rPr>
  </w:style>
  <w:style w:type="character" w:customStyle="1" w:styleId="HeaderChar">
    <w:name w:val="Header Char"/>
    <w:basedOn w:val="DefaultParagraphFont"/>
    <w:link w:val="Header"/>
    <w:uiPriority w:val="99"/>
    <w:rPr>
      <w:rFonts w:eastAsiaTheme="minorHAnsi"/>
      <w:sz w:val="24"/>
      <w:szCs w:val="22"/>
      <w:lang w:eastAsia="en-US"/>
    </w:rPr>
  </w:style>
  <w:style w:type="character" w:styleId="FootnoteReference">
    <w:name w:val="footnote reference"/>
    <w:aliases w:val="Voetnoot verwijzing,number,Footnote reference number,Footnote symbol,note TESI,-E Fußnotenzeichen,SUPERS,stylish,Footnote Reference_EP-LCA,BVI fnr,Odwołanie przypisu,Footnote Reference2,Footnote Reference Number,E FNZ,Footnote#,FR,F"/>
    <w:uiPriority w:val="99"/>
    <w:qFormat/>
    <w:rPr>
      <w:shd w:val="clear" w:color="auto" w:fill="auto"/>
      <w:vertAlign w:val="superscript"/>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jc w:val="left"/>
    </w:pPr>
    <w:rPr>
      <w:rFonts w:eastAsiaTheme="minorHAnsi"/>
      <w:szCs w:val="22"/>
    </w:rPr>
  </w:style>
  <w:style w:type="character" w:customStyle="1" w:styleId="FooterChar">
    <w:name w:val="Footer Char"/>
    <w:basedOn w:val="DefaultParagraphFont"/>
    <w:link w:val="Footer"/>
    <w:uiPriority w:val="99"/>
    <w:rPr>
      <w:rFonts w:eastAsiaTheme="minorHAnsi"/>
      <w:sz w:val="24"/>
      <w:szCs w:val="22"/>
      <w:lang w:eastAsia="en-US"/>
    </w:rPr>
  </w:style>
  <w:style w:type="paragraph" w:customStyle="1" w:styleId="Pagedecouverture">
    <w:name w:val="Page de couverture"/>
    <w:basedOn w:val="Normal"/>
    <w:next w:val="Normal"/>
  </w:style>
  <w:style w:type="paragraph" w:styleId="TOC1">
    <w:name w:val="toc 1"/>
    <w:basedOn w:val="Normal"/>
    <w:next w:val="Normal"/>
    <w:uiPriority w:val="39"/>
    <w:pPr>
      <w:spacing w:before="360" w:after="0"/>
      <w:jc w:val="left"/>
    </w:pPr>
    <w:rPr>
      <w:rFonts w:asciiTheme="majorHAnsi" w:hAnsiTheme="majorHAnsi"/>
      <w:b/>
      <w:bCs/>
      <w:caps/>
    </w:rPr>
  </w:style>
  <w:style w:type="paragraph" w:styleId="TOC2">
    <w:name w:val="toc 2"/>
    <w:basedOn w:val="Normal"/>
    <w:next w:val="Normal"/>
    <w:uiPriority w:val="39"/>
    <w:pPr>
      <w:spacing w:before="240" w:after="0"/>
      <w:jc w:val="left"/>
    </w:pPr>
    <w:rPr>
      <w:rFonts w:asciiTheme="minorHAnsi" w:hAnsiTheme="minorHAnsi"/>
      <w:b/>
      <w:bCs/>
      <w:sz w:val="20"/>
      <w:szCs w:val="20"/>
    </w:rPr>
  </w:style>
  <w:style w:type="paragraph" w:styleId="TOC3">
    <w:name w:val="toc 3"/>
    <w:basedOn w:val="Normal"/>
    <w:next w:val="Normal"/>
    <w:uiPriority w:val="39"/>
    <w:pPr>
      <w:spacing w:before="0" w:after="0"/>
      <w:ind w:left="240"/>
      <w:jc w:val="left"/>
    </w:pPr>
    <w:rPr>
      <w:rFonts w:asciiTheme="minorHAnsi" w:hAnsiTheme="minorHAnsi"/>
      <w:sz w:val="20"/>
      <w:szCs w:val="20"/>
    </w:rPr>
  </w:style>
  <w:style w:type="paragraph" w:styleId="TOC5">
    <w:name w:val="toc 5"/>
    <w:basedOn w:val="Normal"/>
    <w:next w:val="Normal"/>
    <w:uiPriority w:val="39"/>
    <w:pPr>
      <w:spacing w:before="0" w:after="0"/>
      <w:ind w:left="720"/>
      <w:jc w:val="left"/>
    </w:pPr>
    <w:rPr>
      <w:rFonts w:asciiTheme="minorHAnsi" w:hAnsiTheme="minorHAnsi"/>
      <w:sz w:val="20"/>
      <w:szCs w:val="20"/>
    </w:rPr>
  </w:style>
  <w:style w:type="paragraph" w:styleId="TOCHeading">
    <w:name w:val="TOC Heading"/>
    <w:basedOn w:val="Normal"/>
    <w:next w:val="Normal"/>
    <w:link w:val="TOCHeadingChar"/>
    <w:uiPriority w:val="39"/>
    <w:qFormat/>
    <w:pPr>
      <w:spacing w:after="240"/>
      <w:jc w:val="center"/>
    </w:pPr>
    <w:rPr>
      <w:b/>
      <w:sz w:val="28"/>
    </w:rPr>
  </w:style>
  <w:style w:type="character" w:customStyle="1" w:styleId="TOCHeadingChar">
    <w:name w:val="TOC Heading Char"/>
    <w:link w:val="TOCHeading"/>
    <w:uiPriority w:val="39"/>
    <w:rPr>
      <w:b/>
      <w:sz w:val="28"/>
      <w:szCs w:val="24"/>
      <w:shd w:val="clear" w:color="auto" w:fill="auto"/>
      <w:lang w:eastAsia="en-US"/>
    </w:rPr>
  </w:style>
  <w:style w:type="character" w:styleId="Hyperlink">
    <w:name w:val="Hyperlink"/>
    <w:uiPriority w:val="99"/>
    <w:rPr>
      <w:rFonts w:cs="Times New Roman"/>
      <w:color w:val="0000FF"/>
      <w:u w:val="single"/>
      <w:shd w:val="clear" w:color="auto" w:fill="auto"/>
    </w:rPr>
  </w:style>
  <w:style w:type="paragraph" w:styleId="ListParagraph">
    <w:name w:val="List Paragraph"/>
    <w:basedOn w:val="Normal"/>
    <w:uiPriority w:val="34"/>
    <w:qFormat/>
    <w:pPr>
      <w:ind w:left="720"/>
      <w:contextualSpacing/>
    </w:pPr>
    <w:rPr>
      <w:szCs w:val="22"/>
      <w:lang w:eastAsia="en-GB"/>
    </w:rPr>
  </w:style>
  <w:style w:type="paragraph" w:styleId="Revision">
    <w:name w:val="Revision"/>
    <w:hidden/>
    <w:uiPriority w:val="99"/>
    <w:semiHidden/>
    <w:pPr>
      <w:spacing w:after="200" w:line="276" w:lineRule="auto"/>
    </w:pPr>
    <w:rPr>
      <w:sz w:val="24"/>
      <w:szCs w:val="24"/>
      <w:lang w:eastAsia="en-US"/>
    </w:rPr>
  </w:style>
  <w:style w:type="paragraph" w:styleId="Caption">
    <w:name w:val="caption"/>
    <w:basedOn w:val="Normal"/>
    <w:next w:val="Normal"/>
    <w:unhideWhenUsed/>
    <w:qFormat/>
    <w:pPr>
      <w:spacing w:before="0" w:after="200"/>
    </w:pPr>
    <w:rPr>
      <w:b/>
      <w:bCs/>
      <w:color w:val="4F81BD" w:themeColor="accent1"/>
      <w:sz w:val="18"/>
      <w:szCs w:val="18"/>
    </w:rPr>
  </w:style>
  <w:style w:type="paragraph" w:customStyle="1" w:styleId="footnotetext1">
    <w:name w:val="footnote text1"/>
    <w:aliases w:val="footnote text"/>
    <w:basedOn w:val="Normal"/>
    <w:pPr>
      <w:tabs>
        <w:tab w:val="left" w:pos="360"/>
      </w:tabs>
      <w:spacing w:before="0" w:after="0"/>
      <w:ind w:left="360" w:hanging="360"/>
    </w:pPr>
    <w:rPr>
      <w:sz w:val="20"/>
      <w:szCs w:val="20"/>
    </w:rPr>
  </w:style>
  <w:style w:type="paragraph" w:styleId="BalloonText">
    <w:name w:val="Balloon Text"/>
    <w:basedOn w:val="Normal"/>
    <w:link w:val="BalloonTextChar"/>
    <w:pPr>
      <w:spacing w:before="0" w:after="0"/>
    </w:pP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lang w:eastAsia="en-US"/>
    </w:rPr>
  </w:style>
  <w:style w:type="character" w:styleId="CommentReference">
    <w:name w:val="annotation reference"/>
    <w:basedOn w:val="DefaultParagraphFont"/>
    <w:rPr>
      <w:sz w:val="16"/>
      <w:szCs w:val="16"/>
    </w:rPr>
  </w:style>
  <w:style w:type="paragraph" w:styleId="CommentText">
    <w:name w:val="annotation text"/>
    <w:basedOn w:val="Normal"/>
    <w:link w:val="CommentTextChar"/>
    <w:rPr>
      <w:sz w:val="20"/>
      <w:szCs w:val="20"/>
    </w:rPr>
  </w:style>
  <w:style w:type="character" w:customStyle="1" w:styleId="CommentTextChar">
    <w:name w:val="Comment Text Char"/>
    <w:basedOn w:val="DefaultParagraphFont"/>
    <w:link w:val="CommentText"/>
    <w:rPr>
      <w:lang w:eastAsia="en-US"/>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basedOn w:val="CommentTextChar"/>
    <w:link w:val="CommentSubject"/>
    <w:rPr>
      <w:b/>
      <w:bCs/>
      <w:lang w:eastAsia="en-US"/>
    </w:rPr>
  </w:style>
  <w:style w:type="character" w:styleId="FollowedHyperlink">
    <w:name w:val="FollowedHyperlink"/>
    <w:basedOn w:val="DefaultParagraphFont"/>
    <w:rPr>
      <w:color w:val="800080" w:themeColor="followedHyperlink"/>
      <w:u w:val="single"/>
    </w:rPr>
  </w:style>
  <w:style w:type="character" w:customStyle="1" w:styleId="Marker">
    <w:name w:val="Marker"/>
    <w:basedOn w:val="DefaultParagraphFont"/>
    <w:rPr>
      <w:color w:val="0000FF"/>
      <w:shd w:val="clear" w:color="auto" w:fill="auto"/>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TOCHeadingChar"/>
    <w:link w:val="FooterCoverPage"/>
    <w:rPr>
      <w:b w:val="0"/>
      <w:sz w:val="24"/>
      <w:szCs w:val="24"/>
      <w:shd w:val="clear" w:color="auto" w:fill="auto"/>
      <w:lang w:eastAsia="en-US"/>
    </w:rPr>
  </w:style>
  <w:style w:type="paragraph" w:customStyle="1" w:styleId="HeaderCoverPage">
    <w:name w:val="Header Cover Page"/>
    <w:basedOn w:val="Normal"/>
    <w:link w:val="HeaderCoverPageChar"/>
    <w:pPr>
      <w:tabs>
        <w:tab w:val="center" w:pos="4535"/>
        <w:tab w:val="right" w:pos="9071"/>
      </w:tabs>
      <w:spacing w:before="0"/>
    </w:pPr>
  </w:style>
  <w:style w:type="character" w:customStyle="1" w:styleId="HeaderCoverPageChar">
    <w:name w:val="Header Cover Page Char"/>
    <w:basedOn w:val="TOCHeadingChar"/>
    <w:link w:val="HeaderCoverPage"/>
    <w:rPr>
      <w:b w:val="0"/>
      <w:sz w:val="24"/>
      <w:szCs w:val="24"/>
      <w:shd w:val="clear" w:color="auto" w:fill="auto"/>
      <w:lang w:eastAsia="en-US"/>
    </w:rPr>
  </w:style>
  <w:style w:type="paragraph" w:styleId="TOC4">
    <w:name w:val="toc 4"/>
    <w:basedOn w:val="Normal"/>
    <w:next w:val="Normal"/>
    <w:autoRedefine/>
    <w:uiPriority w:val="39"/>
    <w:pPr>
      <w:spacing w:before="0" w:after="0"/>
      <w:ind w:left="480"/>
      <w:jc w:val="left"/>
    </w:pPr>
    <w:rPr>
      <w:rFonts w:asciiTheme="minorHAnsi" w:hAnsiTheme="minorHAnsi"/>
      <w:sz w:val="20"/>
      <w:szCs w:val="20"/>
    </w:rPr>
  </w:style>
  <w:style w:type="paragraph" w:styleId="TOC6">
    <w:name w:val="toc 6"/>
    <w:basedOn w:val="Normal"/>
    <w:next w:val="Normal"/>
    <w:autoRedefine/>
    <w:uiPriority w:val="39"/>
    <w:pPr>
      <w:spacing w:before="0" w:after="0"/>
      <w:ind w:left="960"/>
      <w:jc w:val="left"/>
    </w:pPr>
    <w:rPr>
      <w:rFonts w:asciiTheme="minorHAnsi" w:hAnsiTheme="minorHAnsi"/>
      <w:sz w:val="20"/>
      <w:szCs w:val="20"/>
    </w:rPr>
  </w:style>
  <w:style w:type="paragraph" w:styleId="TOC7">
    <w:name w:val="toc 7"/>
    <w:basedOn w:val="Normal"/>
    <w:next w:val="Normal"/>
    <w:autoRedefine/>
    <w:uiPriority w:val="39"/>
    <w:pPr>
      <w:spacing w:before="0" w:after="0"/>
      <w:ind w:left="1200"/>
      <w:jc w:val="left"/>
    </w:pPr>
    <w:rPr>
      <w:rFonts w:asciiTheme="minorHAnsi" w:hAnsiTheme="minorHAnsi"/>
      <w:sz w:val="20"/>
      <w:szCs w:val="20"/>
    </w:rPr>
  </w:style>
  <w:style w:type="paragraph" w:styleId="TOC8">
    <w:name w:val="toc 8"/>
    <w:basedOn w:val="Normal"/>
    <w:next w:val="Normal"/>
    <w:autoRedefine/>
    <w:uiPriority w:val="39"/>
    <w:pPr>
      <w:spacing w:before="0" w:after="0"/>
      <w:ind w:left="1440"/>
      <w:jc w:val="left"/>
    </w:pPr>
    <w:rPr>
      <w:rFonts w:asciiTheme="minorHAnsi" w:hAnsiTheme="minorHAnsi"/>
      <w:sz w:val="20"/>
      <w:szCs w:val="20"/>
    </w:rPr>
  </w:style>
  <w:style w:type="paragraph" w:styleId="TOC9">
    <w:name w:val="toc 9"/>
    <w:basedOn w:val="Normal"/>
    <w:next w:val="Normal"/>
    <w:autoRedefine/>
    <w:uiPriority w:val="39"/>
    <w:pPr>
      <w:spacing w:before="0" w:after="0"/>
      <w:ind w:left="1680"/>
      <w:jc w:val="left"/>
    </w:pPr>
    <w:rPr>
      <w:rFonts w:asciiTheme="minorHAnsi" w:hAnsiTheme="minorHAnsi"/>
      <w:sz w:val="20"/>
      <w:szCs w:val="20"/>
    </w:rPr>
  </w:style>
  <w:style w:type="paragraph" w:customStyle="1" w:styleId="Default">
    <w:name w:val="Default"/>
    <w:pPr>
      <w:autoSpaceDE w:val="0"/>
      <w:autoSpaceDN w:val="0"/>
      <w:adjustRightInd w:val="0"/>
    </w:pPr>
    <w:rPr>
      <w:color w:val="000000"/>
      <w:sz w:val="24"/>
      <w:szCs w:val="24"/>
    </w:rPr>
  </w:style>
  <w:style w:type="paragraph" w:customStyle="1" w:styleId="Declassification">
    <w:name w:val="Declassification"/>
    <w:basedOn w:val="Normal"/>
    <w:next w:val="Normal"/>
    <w:pPr>
      <w:spacing w:before="0" w:after="0"/>
    </w:pPr>
    <w:rPr>
      <w:rFonts w:eastAsiaTheme="minorHAnsi"/>
      <w:szCs w:val="22"/>
    </w:rPr>
  </w:style>
  <w:style w:type="paragraph" w:customStyle="1" w:styleId="HeaderLandscape">
    <w:name w:val="HeaderLandscape"/>
    <w:basedOn w:val="Normal"/>
    <w:pPr>
      <w:tabs>
        <w:tab w:val="center" w:pos="7285"/>
        <w:tab w:val="right" w:pos="14003"/>
      </w:tabs>
      <w:spacing w:before="0"/>
    </w:pPr>
    <w:rPr>
      <w:rFonts w:eastAsiaTheme="minorHAnsi"/>
      <w:szCs w:val="22"/>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before="0"/>
      <w:ind w:left="113" w:right="113"/>
      <w:jc w:val="center"/>
    </w:pPr>
    <w:rPr>
      <w:b/>
      <w:sz w:val="32"/>
    </w:r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rPr>
      <w:rFonts w:eastAsiaTheme="minorHAnsi"/>
      <w:szCs w:val="22"/>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table" w:styleId="TableGrid">
    <w:name w:val="Table Grid"/>
    <w:basedOn w:val="TableNormal"/>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pPr>
      <w:spacing w:before="0" w:after="0"/>
      <w:ind w:left="480" w:hanging="480"/>
      <w:jc w:val="left"/>
    </w:pPr>
    <w:rPr>
      <w:rFonts w:asciiTheme="minorHAnsi" w:hAnsiTheme="minorHAnsi"/>
      <w:smallCaps/>
      <w:sz w:val="20"/>
      <w:szCs w:val="20"/>
    </w:rPr>
  </w:style>
  <w:style w:type="paragraph" w:customStyle="1" w:styleId="Text1">
    <w:name w:val="Text 1"/>
    <w:basedOn w:val="Normal"/>
    <w:pPr>
      <w:ind w:left="850"/>
    </w:pPr>
    <w:rPr>
      <w:szCs w:val="22"/>
      <w:lang w:eastAsia="en-GB"/>
    </w:rPr>
  </w:style>
  <w:style w:type="table" w:customStyle="1" w:styleId="GridTable2-Accent11">
    <w:name w:val="Grid Table 2 - Accent 11"/>
    <w:basedOn w:val="TableNormal"/>
    <w:uiPriority w:val="47"/>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5Dark-Accent11">
    <w:name w:val="Grid Table 5 Dark - Accent 11"/>
    <w:basedOn w:val="TableNormal"/>
    <w:uiPriority w:val="5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EndnoteText">
    <w:name w:val="endnote text"/>
    <w:basedOn w:val="Normal"/>
    <w:semiHidden/>
    <w:unhideWhenUsed/>
    <w:pPr>
      <w:spacing w:before="0" w:after="0"/>
    </w:pPr>
    <w:rPr>
      <w:sz w:val="20"/>
      <w:szCs w:val="20"/>
    </w:rPr>
  </w:style>
  <w:style w:type="character" w:customStyle="1" w:styleId="EndnoteTextChar">
    <w:name w:val="Endnote Text Char"/>
    <w:basedOn w:val="DefaultParagraphFont"/>
    <w:semiHidden/>
    <w:rPr>
      <w:lang w:eastAsia="en-US"/>
    </w:rPr>
  </w:style>
  <w:style w:type="character" w:styleId="EndnoteReference">
    <w:name w:val="endnote reference"/>
    <w:basedOn w:val="DefaultParagraphFont"/>
    <w:semiHidden/>
    <w:unhideWhenUsed/>
    <w:rPr>
      <w:vertAlign w:val="superscript"/>
    </w:rPr>
  </w:style>
  <w:style w:type="paragraph" w:styleId="FootnoteText">
    <w:name w:val="footnote text"/>
    <w:basedOn w:val="Normal"/>
    <w:uiPriority w:val="99"/>
    <w:unhideWhenUsed/>
    <w:pPr>
      <w:spacing w:before="0" w:after="0"/>
    </w:pPr>
    <w:rPr>
      <w:sz w:val="20"/>
      <w:szCs w:val="20"/>
    </w:rPr>
  </w:style>
  <w:style w:type="character" w:customStyle="1" w:styleId="FootnoteTextChar">
    <w:name w:val="Footnote Text Char"/>
    <w:basedOn w:val="DefaultParagraphFont"/>
    <w:semiHidden/>
    <w:rPr>
      <w:lang w:eastAsia="en-US"/>
    </w:rPr>
  </w:style>
  <w:style w:type="paragraph" w:customStyle="1" w:styleId="SecurityMarking">
    <w:name w:val="SecurityMarking"/>
    <w:basedOn w:val="Normal"/>
    <w:pPr>
      <w:spacing w:before="0" w:after="0" w:line="276" w:lineRule="auto"/>
      <w:ind w:left="5103"/>
      <w:jc w:val="left"/>
    </w:pPr>
    <w:rPr>
      <w:rFonts w:eastAsiaTheme="minorHAnsi"/>
      <w:sz w:val="28"/>
      <w:szCs w:val="22"/>
    </w:rPr>
  </w:style>
  <w:style w:type="paragraph" w:customStyle="1" w:styleId="DateMarking">
    <w:name w:val="DateMarking"/>
    <w:basedOn w:val="Normal"/>
    <w:pPr>
      <w:spacing w:before="0" w:after="0" w:line="276" w:lineRule="auto"/>
      <w:ind w:left="5103"/>
      <w:jc w:val="left"/>
    </w:pPr>
    <w:rPr>
      <w:rFonts w:eastAsiaTheme="minorHAnsi"/>
      <w:i/>
      <w:sz w:val="28"/>
      <w:szCs w:val="22"/>
    </w:rPr>
  </w:style>
  <w:style w:type="paragraph" w:customStyle="1" w:styleId="ReleasableTo">
    <w:name w:val="ReleasableTo"/>
    <w:basedOn w:val="Normal"/>
    <w:pPr>
      <w:spacing w:before="0" w:after="0" w:line="276" w:lineRule="auto"/>
      <w:ind w:left="5103"/>
      <w:jc w:val="left"/>
    </w:pPr>
    <w:rPr>
      <w:rFonts w:eastAsiaTheme="minorHAnsi"/>
      <w:i/>
      <w:sz w:val="28"/>
      <w:szCs w:val="22"/>
    </w:rPr>
  </w:style>
  <w:style w:type="paragraph" w:customStyle="1" w:styleId="HeaderSensitivityRight">
    <w:name w:val="Header Sensitivity Right"/>
    <w:basedOn w:val="Normal"/>
    <w:pPr>
      <w:spacing w:before="0"/>
      <w:jc w:val="right"/>
    </w:pPr>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8070388">
      <w:bodyDiv w:val="1"/>
      <w:marLeft w:val="0"/>
      <w:marRight w:val="0"/>
      <w:marTop w:val="0"/>
      <w:marBottom w:val="0"/>
      <w:divBdr>
        <w:top w:val="none" w:sz="0" w:space="0" w:color="auto"/>
        <w:left w:val="none" w:sz="0" w:space="0" w:color="auto"/>
        <w:bottom w:val="none" w:sz="0" w:space="0" w:color="auto"/>
        <w:right w:val="none" w:sz="0" w:space="0" w:color="auto"/>
      </w:divBdr>
    </w:div>
    <w:div w:id="593319684">
      <w:bodyDiv w:val="1"/>
      <w:marLeft w:val="0"/>
      <w:marRight w:val="0"/>
      <w:marTop w:val="0"/>
      <w:marBottom w:val="0"/>
      <w:divBdr>
        <w:top w:val="none" w:sz="0" w:space="0" w:color="auto"/>
        <w:left w:val="none" w:sz="0" w:space="0" w:color="auto"/>
        <w:bottom w:val="none" w:sz="0" w:space="0" w:color="auto"/>
        <w:right w:val="none" w:sz="0" w:space="0" w:color="auto"/>
      </w:divBdr>
    </w:div>
    <w:div w:id="601887017">
      <w:bodyDiv w:val="1"/>
      <w:marLeft w:val="0"/>
      <w:marRight w:val="0"/>
      <w:marTop w:val="0"/>
      <w:marBottom w:val="0"/>
      <w:divBdr>
        <w:top w:val="none" w:sz="0" w:space="0" w:color="auto"/>
        <w:left w:val="none" w:sz="0" w:space="0" w:color="auto"/>
        <w:bottom w:val="none" w:sz="0" w:space="0" w:color="auto"/>
        <w:right w:val="none" w:sz="0" w:space="0" w:color="auto"/>
      </w:divBdr>
    </w:div>
    <w:div w:id="653603996">
      <w:bodyDiv w:val="1"/>
      <w:marLeft w:val="0"/>
      <w:marRight w:val="0"/>
      <w:marTop w:val="0"/>
      <w:marBottom w:val="0"/>
      <w:divBdr>
        <w:top w:val="none" w:sz="0" w:space="0" w:color="auto"/>
        <w:left w:val="none" w:sz="0" w:space="0" w:color="auto"/>
        <w:bottom w:val="none" w:sz="0" w:space="0" w:color="auto"/>
        <w:right w:val="none" w:sz="0" w:space="0" w:color="auto"/>
      </w:divBdr>
      <w:divsChild>
        <w:div w:id="1861314088">
          <w:marLeft w:val="547"/>
          <w:marRight w:val="0"/>
          <w:marTop w:val="0"/>
          <w:marBottom w:val="0"/>
          <w:divBdr>
            <w:top w:val="none" w:sz="0" w:space="0" w:color="auto"/>
            <w:left w:val="none" w:sz="0" w:space="0" w:color="auto"/>
            <w:bottom w:val="none" w:sz="0" w:space="0" w:color="auto"/>
            <w:right w:val="none" w:sz="0" w:space="0" w:color="auto"/>
          </w:divBdr>
        </w:div>
      </w:divsChild>
    </w:div>
    <w:div w:id="707728549">
      <w:bodyDiv w:val="1"/>
      <w:marLeft w:val="0"/>
      <w:marRight w:val="0"/>
      <w:marTop w:val="0"/>
      <w:marBottom w:val="0"/>
      <w:divBdr>
        <w:top w:val="none" w:sz="0" w:space="0" w:color="auto"/>
        <w:left w:val="none" w:sz="0" w:space="0" w:color="auto"/>
        <w:bottom w:val="none" w:sz="0" w:space="0" w:color="auto"/>
        <w:right w:val="none" w:sz="0" w:space="0" w:color="auto"/>
      </w:divBdr>
    </w:div>
    <w:div w:id="739597069">
      <w:bodyDiv w:val="1"/>
      <w:marLeft w:val="0"/>
      <w:marRight w:val="0"/>
      <w:marTop w:val="0"/>
      <w:marBottom w:val="0"/>
      <w:divBdr>
        <w:top w:val="none" w:sz="0" w:space="0" w:color="auto"/>
        <w:left w:val="none" w:sz="0" w:space="0" w:color="auto"/>
        <w:bottom w:val="none" w:sz="0" w:space="0" w:color="auto"/>
        <w:right w:val="none" w:sz="0" w:space="0" w:color="auto"/>
      </w:divBdr>
    </w:div>
    <w:div w:id="756707814">
      <w:bodyDiv w:val="1"/>
      <w:marLeft w:val="0"/>
      <w:marRight w:val="0"/>
      <w:marTop w:val="0"/>
      <w:marBottom w:val="0"/>
      <w:divBdr>
        <w:top w:val="none" w:sz="0" w:space="0" w:color="auto"/>
        <w:left w:val="none" w:sz="0" w:space="0" w:color="auto"/>
        <w:bottom w:val="none" w:sz="0" w:space="0" w:color="auto"/>
        <w:right w:val="none" w:sz="0" w:space="0" w:color="auto"/>
      </w:divBdr>
    </w:div>
    <w:div w:id="1012491119">
      <w:bodyDiv w:val="1"/>
      <w:marLeft w:val="0"/>
      <w:marRight w:val="0"/>
      <w:marTop w:val="0"/>
      <w:marBottom w:val="0"/>
      <w:divBdr>
        <w:top w:val="none" w:sz="0" w:space="0" w:color="auto"/>
        <w:left w:val="none" w:sz="0" w:space="0" w:color="auto"/>
        <w:bottom w:val="none" w:sz="0" w:space="0" w:color="auto"/>
        <w:right w:val="none" w:sz="0" w:space="0" w:color="auto"/>
      </w:divBdr>
    </w:div>
    <w:div w:id="1042705404">
      <w:bodyDiv w:val="1"/>
      <w:marLeft w:val="0"/>
      <w:marRight w:val="0"/>
      <w:marTop w:val="0"/>
      <w:marBottom w:val="0"/>
      <w:divBdr>
        <w:top w:val="none" w:sz="0" w:space="0" w:color="auto"/>
        <w:left w:val="none" w:sz="0" w:space="0" w:color="auto"/>
        <w:bottom w:val="none" w:sz="0" w:space="0" w:color="auto"/>
        <w:right w:val="none" w:sz="0" w:space="0" w:color="auto"/>
      </w:divBdr>
    </w:div>
    <w:div w:id="1215117901">
      <w:bodyDiv w:val="1"/>
      <w:marLeft w:val="0"/>
      <w:marRight w:val="0"/>
      <w:marTop w:val="0"/>
      <w:marBottom w:val="0"/>
      <w:divBdr>
        <w:top w:val="none" w:sz="0" w:space="0" w:color="auto"/>
        <w:left w:val="none" w:sz="0" w:space="0" w:color="auto"/>
        <w:bottom w:val="none" w:sz="0" w:space="0" w:color="auto"/>
        <w:right w:val="none" w:sz="0" w:space="0" w:color="auto"/>
      </w:divBdr>
    </w:div>
    <w:div w:id="1373116475">
      <w:bodyDiv w:val="1"/>
      <w:marLeft w:val="0"/>
      <w:marRight w:val="0"/>
      <w:marTop w:val="0"/>
      <w:marBottom w:val="0"/>
      <w:divBdr>
        <w:top w:val="none" w:sz="0" w:space="0" w:color="auto"/>
        <w:left w:val="none" w:sz="0" w:space="0" w:color="auto"/>
        <w:bottom w:val="none" w:sz="0" w:space="0" w:color="auto"/>
        <w:right w:val="none" w:sz="0" w:space="0" w:color="auto"/>
      </w:divBdr>
    </w:div>
    <w:div w:id="1442915795">
      <w:bodyDiv w:val="1"/>
      <w:marLeft w:val="0"/>
      <w:marRight w:val="0"/>
      <w:marTop w:val="0"/>
      <w:marBottom w:val="0"/>
      <w:divBdr>
        <w:top w:val="none" w:sz="0" w:space="0" w:color="auto"/>
        <w:left w:val="none" w:sz="0" w:space="0" w:color="auto"/>
        <w:bottom w:val="none" w:sz="0" w:space="0" w:color="auto"/>
        <w:right w:val="none" w:sz="0" w:space="0" w:color="auto"/>
      </w:divBdr>
    </w:div>
    <w:div w:id="1536312999">
      <w:bodyDiv w:val="1"/>
      <w:marLeft w:val="0"/>
      <w:marRight w:val="0"/>
      <w:marTop w:val="0"/>
      <w:marBottom w:val="0"/>
      <w:divBdr>
        <w:top w:val="none" w:sz="0" w:space="0" w:color="auto"/>
        <w:left w:val="none" w:sz="0" w:space="0" w:color="auto"/>
        <w:bottom w:val="none" w:sz="0" w:space="0" w:color="auto"/>
        <w:right w:val="none" w:sz="0" w:space="0" w:color="auto"/>
      </w:divBdr>
    </w:div>
    <w:div w:id="1743520546">
      <w:bodyDiv w:val="1"/>
      <w:marLeft w:val="0"/>
      <w:marRight w:val="0"/>
      <w:marTop w:val="0"/>
      <w:marBottom w:val="0"/>
      <w:divBdr>
        <w:top w:val="none" w:sz="0" w:space="0" w:color="auto"/>
        <w:left w:val="none" w:sz="0" w:space="0" w:color="auto"/>
        <w:bottom w:val="none" w:sz="0" w:space="0" w:color="auto"/>
        <w:right w:val="none" w:sz="0" w:space="0" w:color="auto"/>
      </w:divBdr>
    </w:div>
    <w:div w:id="1924871681">
      <w:bodyDiv w:val="1"/>
      <w:marLeft w:val="0"/>
      <w:marRight w:val="0"/>
      <w:marTop w:val="0"/>
      <w:marBottom w:val="0"/>
      <w:divBdr>
        <w:top w:val="none" w:sz="0" w:space="0" w:color="auto"/>
        <w:left w:val="none" w:sz="0" w:space="0" w:color="auto"/>
        <w:bottom w:val="none" w:sz="0" w:space="0" w:color="auto"/>
        <w:right w:val="none" w:sz="0" w:space="0" w:color="auto"/>
      </w:divBdr>
      <w:divsChild>
        <w:div w:id="391468488">
          <w:marLeft w:val="547"/>
          <w:marRight w:val="0"/>
          <w:marTop w:val="0"/>
          <w:marBottom w:val="0"/>
          <w:divBdr>
            <w:top w:val="none" w:sz="0" w:space="0" w:color="auto"/>
            <w:left w:val="none" w:sz="0" w:space="0" w:color="auto"/>
            <w:bottom w:val="none" w:sz="0" w:space="0" w:color="auto"/>
            <w:right w:val="none" w:sz="0" w:space="0" w:color="auto"/>
          </w:divBdr>
        </w:div>
      </w:divsChild>
    </w:div>
    <w:div w:id="1938705742">
      <w:bodyDiv w:val="1"/>
      <w:marLeft w:val="0"/>
      <w:marRight w:val="0"/>
      <w:marTop w:val="0"/>
      <w:marBottom w:val="0"/>
      <w:divBdr>
        <w:top w:val="none" w:sz="0" w:space="0" w:color="auto"/>
        <w:left w:val="none" w:sz="0" w:space="0" w:color="auto"/>
        <w:bottom w:val="none" w:sz="0" w:space="0" w:color="auto"/>
        <w:right w:val="none" w:sz="0" w:space="0" w:color="auto"/>
      </w:divBdr>
    </w:div>
    <w:div w:id="1963145087">
      <w:bodyDiv w:val="1"/>
      <w:marLeft w:val="0"/>
      <w:marRight w:val="0"/>
      <w:marTop w:val="0"/>
      <w:marBottom w:val="0"/>
      <w:divBdr>
        <w:top w:val="none" w:sz="0" w:space="0" w:color="auto"/>
        <w:left w:val="none" w:sz="0" w:space="0" w:color="auto"/>
        <w:bottom w:val="none" w:sz="0" w:space="0" w:color="auto"/>
        <w:right w:val="none" w:sz="0" w:space="0" w:color="auto"/>
      </w:divBdr>
    </w:div>
    <w:div w:id="1987513239">
      <w:bodyDiv w:val="1"/>
      <w:marLeft w:val="0"/>
      <w:marRight w:val="0"/>
      <w:marTop w:val="0"/>
      <w:marBottom w:val="0"/>
      <w:divBdr>
        <w:top w:val="none" w:sz="0" w:space="0" w:color="auto"/>
        <w:left w:val="none" w:sz="0" w:space="0" w:color="auto"/>
        <w:bottom w:val="none" w:sz="0" w:space="0" w:color="auto"/>
        <w:right w:val="none" w:sz="0" w:space="0" w:color="auto"/>
      </w:divBdr>
      <w:divsChild>
        <w:div w:id="403573797">
          <w:marLeft w:val="547"/>
          <w:marRight w:val="0"/>
          <w:marTop w:val="0"/>
          <w:marBottom w:val="0"/>
          <w:divBdr>
            <w:top w:val="none" w:sz="0" w:space="0" w:color="auto"/>
            <w:left w:val="none" w:sz="0" w:space="0" w:color="auto"/>
            <w:bottom w:val="none" w:sz="0" w:space="0" w:color="auto"/>
            <w:right w:val="none" w:sz="0" w:space="0" w:color="auto"/>
          </w:divBdr>
        </w:div>
      </w:divsChild>
    </w:div>
    <w:div w:id="2146313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117" Type="http://schemas.openxmlformats.org/officeDocument/2006/relationships/footer" Target="footer45.xml"/><Relationship Id="rId21" Type="http://schemas.openxmlformats.org/officeDocument/2006/relationships/footer" Target="footer6.xml"/><Relationship Id="rId42" Type="http://schemas.openxmlformats.org/officeDocument/2006/relationships/header" Target="header17.xml"/><Relationship Id="rId47" Type="http://schemas.openxmlformats.org/officeDocument/2006/relationships/image" Target="media/image3.png"/><Relationship Id="rId63" Type="http://schemas.openxmlformats.org/officeDocument/2006/relationships/image" Target="media/image7.emf"/><Relationship Id="rId68" Type="http://schemas.openxmlformats.org/officeDocument/2006/relationships/header" Target="header27.xml"/><Relationship Id="rId84" Type="http://schemas.openxmlformats.org/officeDocument/2006/relationships/diagramLayout" Target="diagrams/layout2.xml"/><Relationship Id="rId89" Type="http://schemas.openxmlformats.org/officeDocument/2006/relationships/header" Target="header32.xml"/><Relationship Id="rId112" Type="http://schemas.openxmlformats.org/officeDocument/2006/relationships/header" Target="header43.xml"/><Relationship Id="rId133" Type="http://schemas.microsoft.com/office/2007/relationships/diagramDrawing" Target="diagrams/drawing4.xml"/><Relationship Id="rId138" Type="http://schemas.microsoft.com/office/2007/relationships/diagramDrawing" Target="diagrams/drawing5.xml"/><Relationship Id="rId154" Type="http://schemas.microsoft.com/office/2007/relationships/diagramDrawing" Target="diagrams/drawing7.xml"/><Relationship Id="rId159" Type="http://schemas.openxmlformats.org/officeDocument/2006/relationships/header" Target="header54.xml"/><Relationship Id="rId175" Type="http://schemas.openxmlformats.org/officeDocument/2006/relationships/diagramColors" Target="diagrams/colors9.xml"/><Relationship Id="rId170" Type="http://schemas.openxmlformats.org/officeDocument/2006/relationships/header" Target="header57.xml"/><Relationship Id="rId16" Type="http://schemas.openxmlformats.org/officeDocument/2006/relationships/header" Target="header4.xml"/><Relationship Id="rId107" Type="http://schemas.openxmlformats.org/officeDocument/2006/relationships/header" Target="header41.xml"/><Relationship Id="rId11" Type="http://schemas.openxmlformats.org/officeDocument/2006/relationships/header" Target="header2.xml"/><Relationship Id="rId32" Type="http://schemas.openxmlformats.org/officeDocument/2006/relationships/header" Target="header12.xml"/><Relationship Id="rId37" Type="http://schemas.openxmlformats.org/officeDocument/2006/relationships/footer" Target="footer13.xml"/><Relationship Id="rId53" Type="http://schemas.openxmlformats.org/officeDocument/2006/relationships/footer" Target="footer21.xml"/><Relationship Id="rId58" Type="http://schemas.openxmlformats.org/officeDocument/2006/relationships/header" Target="header24.xml"/><Relationship Id="rId74" Type="http://schemas.openxmlformats.org/officeDocument/2006/relationships/diagramColors" Target="diagrams/colors1.xml"/><Relationship Id="rId79" Type="http://schemas.openxmlformats.org/officeDocument/2006/relationships/footer" Target="footer29.xml"/><Relationship Id="rId102" Type="http://schemas.openxmlformats.org/officeDocument/2006/relationships/footer" Target="footer37.xml"/><Relationship Id="rId123" Type="http://schemas.openxmlformats.org/officeDocument/2006/relationships/header" Target="header46.xml"/><Relationship Id="rId128" Type="http://schemas.openxmlformats.org/officeDocument/2006/relationships/footer" Target="footer48.xml"/><Relationship Id="rId144" Type="http://schemas.openxmlformats.org/officeDocument/2006/relationships/footer" Target="footer51.xml"/><Relationship Id="rId149" Type="http://schemas.microsoft.com/office/2007/relationships/diagramDrawing" Target="diagrams/drawing6.xml"/><Relationship Id="rId5" Type="http://schemas.openxmlformats.org/officeDocument/2006/relationships/settings" Target="settings.xml"/><Relationship Id="rId90" Type="http://schemas.openxmlformats.org/officeDocument/2006/relationships/footer" Target="footer31.xml"/><Relationship Id="rId95" Type="http://schemas.openxmlformats.org/officeDocument/2006/relationships/header" Target="header35.xml"/><Relationship Id="rId160" Type="http://schemas.openxmlformats.org/officeDocument/2006/relationships/footer" Target="footer54.xml"/><Relationship Id="rId165" Type="http://schemas.microsoft.com/office/2007/relationships/diagramDrawing" Target="diagrams/drawing8.xml"/><Relationship Id="rId181" Type="http://schemas.openxmlformats.org/officeDocument/2006/relationships/header" Target="header60.xml"/><Relationship Id="rId22" Type="http://schemas.openxmlformats.org/officeDocument/2006/relationships/header" Target="header7.xml"/><Relationship Id="rId27" Type="http://schemas.openxmlformats.org/officeDocument/2006/relationships/footer" Target="footer9.xml"/><Relationship Id="rId43" Type="http://schemas.openxmlformats.org/officeDocument/2006/relationships/footer" Target="footer16.xml"/><Relationship Id="rId48" Type="http://schemas.openxmlformats.org/officeDocument/2006/relationships/header" Target="header19.xml"/><Relationship Id="rId64" Type="http://schemas.openxmlformats.org/officeDocument/2006/relationships/header" Target="header25.xml"/><Relationship Id="rId69" Type="http://schemas.openxmlformats.org/officeDocument/2006/relationships/footer" Target="footer27.xml"/><Relationship Id="rId113" Type="http://schemas.openxmlformats.org/officeDocument/2006/relationships/header" Target="header44.xml"/><Relationship Id="rId118" Type="http://schemas.openxmlformats.org/officeDocument/2006/relationships/diagramData" Target="diagrams/data3.xml"/><Relationship Id="rId134" Type="http://schemas.openxmlformats.org/officeDocument/2006/relationships/diagramData" Target="diagrams/data5.xml"/><Relationship Id="rId139" Type="http://schemas.openxmlformats.org/officeDocument/2006/relationships/header" Target="header49.xml"/><Relationship Id="rId80" Type="http://schemas.openxmlformats.org/officeDocument/2006/relationships/header" Target="header30.xml"/><Relationship Id="rId85" Type="http://schemas.openxmlformats.org/officeDocument/2006/relationships/diagramQuickStyle" Target="diagrams/quickStyle2.xml"/><Relationship Id="rId150" Type="http://schemas.openxmlformats.org/officeDocument/2006/relationships/diagramData" Target="diagrams/data7.xml"/><Relationship Id="rId155" Type="http://schemas.openxmlformats.org/officeDocument/2006/relationships/header" Target="header52.xml"/><Relationship Id="rId171" Type="http://schemas.openxmlformats.org/officeDocument/2006/relationships/footer" Target="footer57.xml"/><Relationship Id="rId176" Type="http://schemas.microsoft.com/office/2007/relationships/diagramDrawing" Target="diagrams/drawing9.xml"/><Relationship Id="rId12" Type="http://schemas.openxmlformats.org/officeDocument/2006/relationships/footer" Target="footer1.xml"/><Relationship Id="rId17" Type="http://schemas.openxmlformats.org/officeDocument/2006/relationships/header" Target="header5.xml"/><Relationship Id="rId33" Type="http://schemas.openxmlformats.org/officeDocument/2006/relationships/footer" Target="footer12.xml"/><Relationship Id="rId38" Type="http://schemas.openxmlformats.org/officeDocument/2006/relationships/footer" Target="footer14.xml"/><Relationship Id="rId59" Type="http://schemas.openxmlformats.org/officeDocument/2006/relationships/footer" Target="footer24.xml"/><Relationship Id="rId103" Type="http://schemas.openxmlformats.org/officeDocument/2006/relationships/footer" Target="footer38.xml"/><Relationship Id="rId108" Type="http://schemas.openxmlformats.org/officeDocument/2006/relationships/footer" Target="footer40.xml"/><Relationship Id="rId124" Type="http://schemas.openxmlformats.org/officeDocument/2006/relationships/header" Target="header47.xml"/><Relationship Id="rId129" Type="http://schemas.openxmlformats.org/officeDocument/2006/relationships/diagramData" Target="diagrams/data4.xml"/><Relationship Id="rId54" Type="http://schemas.openxmlformats.org/officeDocument/2006/relationships/header" Target="header22.xml"/><Relationship Id="rId70" Type="http://schemas.openxmlformats.org/officeDocument/2006/relationships/image" Target="media/image8.emf"/><Relationship Id="rId75" Type="http://schemas.microsoft.com/office/2007/relationships/diagramDrawing" Target="diagrams/drawing1.xml"/><Relationship Id="rId91" Type="http://schemas.openxmlformats.org/officeDocument/2006/relationships/footer" Target="footer32.xml"/><Relationship Id="rId96" Type="http://schemas.openxmlformats.org/officeDocument/2006/relationships/footer" Target="footer34.xml"/><Relationship Id="rId140" Type="http://schemas.openxmlformats.org/officeDocument/2006/relationships/header" Target="header50.xml"/><Relationship Id="rId145" Type="http://schemas.openxmlformats.org/officeDocument/2006/relationships/diagramData" Target="diagrams/data6.xml"/><Relationship Id="rId161" Type="http://schemas.openxmlformats.org/officeDocument/2006/relationships/diagramData" Target="diagrams/data8.xml"/><Relationship Id="rId166" Type="http://schemas.openxmlformats.org/officeDocument/2006/relationships/header" Target="header55.xml"/><Relationship Id="rId182" Type="http://schemas.openxmlformats.org/officeDocument/2006/relationships/footer" Target="footer60.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eader" Target="header8.xml"/><Relationship Id="rId28" Type="http://schemas.openxmlformats.org/officeDocument/2006/relationships/header" Target="header10.xml"/><Relationship Id="rId49" Type="http://schemas.openxmlformats.org/officeDocument/2006/relationships/header" Target="header20.xml"/><Relationship Id="rId114" Type="http://schemas.openxmlformats.org/officeDocument/2006/relationships/footer" Target="footer43.xml"/><Relationship Id="rId119" Type="http://schemas.openxmlformats.org/officeDocument/2006/relationships/diagramLayout" Target="diagrams/layout3.xml"/><Relationship Id="rId44" Type="http://schemas.openxmlformats.org/officeDocument/2006/relationships/footer" Target="footer17.xml"/><Relationship Id="rId60" Type="http://schemas.openxmlformats.org/officeDocument/2006/relationships/image" Target="media/image4.png"/><Relationship Id="rId65" Type="http://schemas.openxmlformats.org/officeDocument/2006/relationships/header" Target="header26.xml"/><Relationship Id="rId81" Type="http://schemas.openxmlformats.org/officeDocument/2006/relationships/footer" Target="footer30.xml"/><Relationship Id="rId86" Type="http://schemas.openxmlformats.org/officeDocument/2006/relationships/diagramColors" Target="diagrams/colors2.xml"/><Relationship Id="rId130" Type="http://schemas.openxmlformats.org/officeDocument/2006/relationships/diagramLayout" Target="diagrams/layout4.xml"/><Relationship Id="rId135" Type="http://schemas.openxmlformats.org/officeDocument/2006/relationships/diagramLayout" Target="diagrams/layout5.xml"/><Relationship Id="rId151" Type="http://schemas.openxmlformats.org/officeDocument/2006/relationships/diagramLayout" Target="diagrams/layout7.xml"/><Relationship Id="rId156" Type="http://schemas.openxmlformats.org/officeDocument/2006/relationships/header" Target="header53.xml"/><Relationship Id="rId177" Type="http://schemas.openxmlformats.org/officeDocument/2006/relationships/header" Target="header58.xml"/><Relationship Id="rId4" Type="http://schemas.microsoft.com/office/2007/relationships/stylesWithEffects" Target="stylesWithEffects.xml"/><Relationship Id="rId9" Type="http://schemas.openxmlformats.org/officeDocument/2006/relationships/image" Target="media/image1.emf"/><Relationship Id="rId172" Type="http://schemas.openxmlformats.org/officeDocument/2006/relationships/diagramData" Target="diagrams/data9.xml"/><Relationship Id="rId180" Type="http://schemas.openxmlformats.org/officeDocument/2006/relationships/footer" Target="footer59.xml"/><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header" Target="header15.xml"/><Relationship Id="rId109" Type="http://schemas.openxmlformats.org/officeDocument/2006/relationships/footer" Target="footer41.xml"/><Relationship Id="rId34" Type="http://schemas.openxmlformats.org/officeDocument/2006/relationships/image" Target="media/image2.png"/><Relationship Id="rId50" Type="http://schemas.openxmlformats.org/officeDocument/2006/relationships/footer" Target="footer19.xml"/><Relationship Id="rId55" Type="http://schemas.openxmlformats.org/officeDocument/2006/relationships/header" Target="header23.xml"/><Relationship Id="rId76" Type="http://schemas.openxmlformats.org/officeDocument/2006/relationships/header" Target="header28.xml"/><Relationship Id="rId97" Type="http://schemas.openxmlformats.org/officeDocument/2006/relationships/footer" Target="footer35.xml"/><Relationship Id="rId104" Type="http://schemas.openxmlformats.org/officeDocument/2006/relationships/header" Target="header39.xml"/><Relationship Id="rId120" Type="http://schemas.openxmlformats.org/officeDocument/2006/relationships/diagramQuickStyle" Target="diagrams/quickStyle3.xml"/><Relationship Id="rId125" Type="http://schemas.openxmlformats.org/officeDocument/2006/relationships/footer" Target="footer46.xml"/><Relationship Id="rId141" Type="http://schemas.openxmlformats.org/officeDocument/2006/relationships/footer" Target="footer49.xml"/><Relationship Id="rId146" Type="http://schemas.openxmlformats.org/officeDocument/2006/relationships/diagramLayout" Target="diagrams/layout6.xml"/><Relationship Id="rId167" Type="http://schemas.openxmlformats.org/officeDocument/2006/relationships/header" Target="header56.xml"/><Relationship Id="rId7" Type="http://schemas.openxmlformats.org/officeDocument/2006/relationships/footnotes" Target="footnotes.xml"/><Relationship Id="rId71" Type="http://schemas.openxmlformats.org/officeDocument/2006/relationships/diagramData" Target="diagrams/data1.xml"/><Relationship Id="rId92" Type="http://schemas.openxmlformats.org/officeDocument/2006/relationships/header" Target="header33.xml"/><Relationship Id="rId162" Type="http://schemas.openxmlformats.org/officeDocument/2006/relationships/diagramLayout" Target="diagrams/layout8.xml"/><Relationship Id="rId18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eader" Target="header11.xml"/><Relationship Id="rId24" Type="http://schemas.openxmlformats.org/officeDocument/2006/relationships/footer" Target="footer7.xml"/><Relationship Id="rId40" Type="http://schemas.openxmlformats.org/officeDocument/2006/relationships/footer" Target="footer15.xml"/><Relationship Id="rId45" Type="http://schemas.openxmlformats.org/officeDocument/2006/relationships/header" Target="header18.xml"/><Relationship Id="rId66" Type="http://schemas.openxmlformats.org/officeDocument/2006/relationships/footer" Target="footer25.xml"/><Relationship Id="rId87" Type="http://schemas.microsoft.com/office/2007/relationships/diagramDrawing" Target="diagrams/drawing2.xml"/><Relationship Id="rId110" Type="http://schemas.openxmlformats.org/officeDocument/2006/relationships/header" Target="header42.xml"/><Relationship Id="rId115" Type="http://schemas.openxmlformats.org/officeDocument/2006/relationships/footer" Target="footer44.xml"/><Relationship Id="rId131" Type="http://schemas.openxmlformats.org/officeDocument/2006/relationships/diagramQuickStyle" Target="diagrams/quickStyle4.xml"/><Relationship Id="rId136" Type="http://schemas.openxmlformats.org/officeDocument/2006/relationships/diagramQuickStyle" Target="diagrams/quickStyle5.xml"/><Relationship Id="rId157" Type="http://schemas.openxmlformats.org/officeDocument/2006/relationships/footer" Target="footer52.xml"/><Relationship Id="rId178" Type="http://schemas.openxmlformats.org/officeDocument/2006/relationships/header" Target="header59.xml"/><Relationship Id="rId61" Type="http://schemas.openxmlformats.org/officeDocument/2006/relationships/image" Target="media/image5.emf"/><Relationship Id="rId82" Type="http://schemas.openxmlformats.org/officeDocument/2006/relationships/image" Target="media/image12.emf"/><Relationship Id="rId152" Type="http://schemas.openxmlformats.org/officeDocument/2006/relationships/diagramQuickStyle" Target="diagrams/quickStyle7.xml"/><Relationship Id="rId173" Type="http://schemas.openxmlformats.org/officeDocument/2006/relationships/diagramLayout" Target="diagrams/layout9.xml"/><Relationship Id="rId19" Type="http://schemas.openxmlformats.org/officeDocument/2006/relationships/footer" Target="footer5.xml"/><Relationship Id="rId14" Type="http://schemas.openxmlformats.org/officeDocument/2006/relationships/header" Target="header3.xml"/><Relationship Id="rId30" Type="http://schemas.openxmlformats.org/officeDocument/2006/relationships/footer" Target="footer10.xml"/><Relationship Id="rId35" Type="http://schemas.openxmlformats.org/officeDocument/2006/relationships/header" Target="header13.xml"/><Relationship Id="rId56" Type="http://schemas.openxmlformats.org/officeDocument/2006/relationships/footer" Target="footer22.xml"/><Relationship Id="rId77" Type="http://schemas.openxmlformats.org/officeDocument/2006/relationships/header" Target="header29.xml"/><Relationship Id="rId100" Type="http://schemas.openxmlformats.org/officeDocument/2006/relationships/header" Target="header37.xml"/><Relationship Id="rId105" Type="http://schemas.openxmlformats.org/officeDocument/2006/relationships/footer" Target="footer39.xml"/><Relationship Id="rId126" Type="http://schemas.openxmlformats.org/officeDocument/2006/relationships/footer" Target="footer47.xml"/><Relationship Id="rId147" Type="http://schemas.openxmlformats.org/officeDocument/2006/relationships/diagramQuickStyle" Target="diagrams/quickStyle6.xml"/><Relationship Id="rId168" Type="http://schemas.openxmlformats.org/officeDocument/2006/relationships/footer" Target="footer55.xml"/><Relationship Id="rId8" Type="http://schemas.openxmlformats.org/officeDocument/2006/relationships/endnotes" Target="endnotes.xml"/><Relationship Id="rId51" Type="http://schemas.openxmlformats.org/officeDocument/2006/relationships/footer" Target="footer20.xml"/><Relationship Id="rId72" Type="http://schemas.openxmlformats.org/officeDocument/2006/relationships/diagramLayout" Target="diagrams/layout1.xml"/><Relationship Id="rId93" Type="http://schemas.openxmlformats.org/officeDocument/2006/relationships/footer" Target="footer33.xml"/><Relationship Id="rId98" Type="http://schemas.openxmlformats.org/officeDocument/2006/relationships/header" Target="header36.xml"/><Relationship Id="rId121" Type="http://schemas.openxmlformats.org/officeDocument/2006/relationships/diagramColors" Target="diagrams/colors3.xml"/><Relationship Id="rId142" Type="http://schemas.openxmlformats.org/officeDocument/2006/relationships/footer" Target="footer50.xml"/><Relationship Id="rId163" Type="http://schemas.openxmlformats.org/officeDocument/2006/relationships/diagramQuickStyle" Target="diagrams/quickStyle8.xml"/><Relationship Id="rId184" Type="http://schemas.openxmlformats.org/officeDocument/2006/relationships/theme" Target="theme/theme1.xml"/><Relationship Id="rId3" Type="http://schemas.openxmlformats.org/officeDocument/2006/relationships/styles" Target="styles.xml"/><Relationship Id="rId25" Type="http://schemas.openxmlformats.org/officeDocument/2006/relationships/footer" Target="footer8.xml"/><Relationship Id="rId46" Type="http://schemas.openxmlformats.org/officeDocument/2006/relationships/footer" Target="footer18.xml"/><Relationship Id="rId67" Type="http://schemas.openxmlformats.org/officeDocument/2006/relationships/footer" Target="footer26.xml"/><Relationship Id="rId116" Type="http://schemas.openxmlformats.org/officeDocument/2006/relationships/header" Target="header45.xml"/><Relationship Id="rId137" Type="http://schemas.openxmlformats.org/officeDocument/2006/relationships/diagramColors" Target="diagrams/colors5.xml"/><Relationship Id="rId158" Type="http://schemas.openxmlformats.org/officeDocument/2006/relationships/footer" Target="footer53.xml"/><Relationship Id="rId20" Type="http://schemas.openxmlformats.org/officeDocument/2006/relationships/header" Target="header6.xml"/><Relationship Id="rId41" Type="http://schemas.openxmlformats.org/officeDocument/2006/relationships/header" Target="header16.xml"/><Relationship Id="rId62" Type="http://schemas.openxmlformats.org/officeDocument/2006/relationships/image" Target="media/image6.emf"/><Relationship Id="rId83" Type="http://schemas.openxmlformats.org/officeDocument/2006/relationships/diagramData" Target="diagrams/data2.xml"/><Relationship Id="rId88" Type="http://schemas.openxmlformats.org/officeDocument/2006/relationships/header" Target="header31.xml"/><Relationship Id="rId111" Type="http://schemas.openxmlformats.org/officeDocument/2006/relationships/footer" Target="footer42.xml"/><Relationship Id="rId132" Type="http://schemas.openxmlformats.org/officeDocument/2006/relationships/diagramColors" Target="diagrams/colors4.xml"/><Relationship Id="rId153" Type="http://schemas.openxmlformats.org/officeDocument/2006/relationships/diagramColors" Target="diagrams/colors7.xml"/><Relationship Id="rId174" Type="http://schemas.openxmlformats.org/officeDocument/2006/relationships/diagramQuickStyle" Target="diagrams/quickStyle9.xml"/><Relationship Id="rId179" Type="http://schemas.openxmlformats.org/officeDocument/2006/relationships/footer" Target="footer58.xml"/><Relationship Id="rId15" Type="http://schemas.openxmlformats.org/officeDocument/2006/relationships/footer" Target="footer3.xml"/><Relationship Id="rId36" Type="http://schemas.openxmlformats.org/officeDocument/2006/relationships/header" Target="header14.xml"/><Relationship Id="rId57" Type="http://schemas.openxmlformats.org/officeDocument/2006/relationships/footer" Target="footer23.xml"/><Relationship Id="rId106" Type="http://schemas.openxmlformats.org/officeDocument/2006/relationships/header" Target="header40.xml"/><Relationship Id="rId127" Type="http://schemas.openxmlformats.org/officeDocument/2006/relationships/header" Target="header48.xml"/><Relationship Id="rId10" Type="http://schemas.openxmlformats.org/officeDocument/2006/relationships/header" Target="header1.xml"/><Relationship Id="rId31" Type="http://schemas.openxmlformats.org/officeDocument/2006/relationships/footer" Target="footer11.xml"/><Relationship Id="rId52" Type="http://schemas.openxmlformats.org/officeDocument/2006/relationships/header" Target="header21.xml"/><Relationship Id="rId73" Type="http://schemas.openxmlformats.org/officeDocument/2006/relationships/diagramQuickStyle" Target="diagrams/quickStyle1.xml"/><Relationship Id="rId78" Type="http://schemas.openxmlformats.org/officeDocument/2006/relationships/footer" Target="footer28.xml"/><Relationship Id="rId94" Type="http://schemas.openxmlformats.org/officeDocument/2006/relationships/header" Target="header34.xml"/><Relationship Id="rId99" Type="http://schemas.openxmlformats.org/officeDocument/2006/relationships/footer" Target="footer36.xml"/><Relationship Id="rId101" Type="http://schemas.openxmlformats.org/officeDocument/2006/relationships/header" Target="header38.xml"/><Relationship Id="rId122" Type="http://schemas.microsoft.com/office/2007/relationships/diagramDrawing" Target="diagrams/drawing3.xml"/><Relationship Id="rId143" Type="http://schemas.openxmlformats.org/officeDocument/2006/relationships/header" Target="header51.xml"/><Relationship Id="rId148" Type="http://schemas.openxmlformats.org/officeDocument/2006/relationships/diagramColors" Target="diagrams/colors6.xml"/><Relationship Id="rId164" Type="http://schemas.openxmlformats.org/officeDocument/2006/relationships/diagramColors" Target="diagrams/colors8.xml"/><Relationship Id="rId169" Type="http://schemas.openxmlformats.org/officeDocument/2006/relationships/footer" Target="footer56.xml"/></Relationships>
</file>

<file path=word/_rels/footnotes.xml.rels><?xml version="1.0" encoding="UTF-8" standalone="yes"?>
<Relationships xmlns="http://schemas.openxmlformats.org/package/2006/relationships"><Relationship Id="rId3" Type="http://schemas.openxmlformats.org/officeDocument/2006/relationships/hyperlink" Target="https://www.europarl.europa.eu/doceo/document/TA-8-2019-0366_SK.html" TargetMode="External"/><Relationship Id="rId2" Type="http://schemas.openxmlformats.org/officeDocument/2006/relationships/hyperlink" Target="https://ec.europa.eu/info/publications/2018-european-semester-country-reports_sk" TargetMode="External"/><Relationship Id="rId1" Type="http://schemas.openxmlformats.org/officeDocument/2006/relationships/hyperlink" Target="https://www.europarl.europa.eu/doceo/document/TA-8-2019-0383_SK.html" TargetMode="External"/><Relationship Id="rId6" Type="http://schemas.openxmlformats.org/officeDocument/2006/relationships/hyperlink" Target="http://ec.europa.eu/budget/edes/index_en.cfm" TargetMode="External"/><Relationship Id="rId5" Type="http://schemas.openxmlformats.org/officeDocument/2006/relationships/hyperlink" Target="https://ec.europa.eu/anti-fraud/media-corner/news/07-12-2018/new-action-plan-reaffirms-commission-leading-role-fight-against_sk" TargetMode="External"/><Relationship Id="rId4" Type="http://schemas.openxmlformats.org/officeDocument/2006/relationships/hyperlink" Target="https://ec.europa.eu/anti-fraud/about-us/reports/olaf-report_sk" TargetMode="External"/></Relationships>
</file>

<file path=word/diagrams/_rels/data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s>
</file>

<file path=word/diagrams/_rels/data2.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png"/><Relationship Id="rId1" Type="http://schemas.openxmlformats.org/officeDocument/2006/relationships/image" Target="../media/image9.png"/></Relationships>
</file>

<file path=word/diagrams/_rels/data3.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png"/><Relationship Id="rId1" Type="http://schemas.openxmlformats.org/officeDocument/2006/relationships/image" Target="../media/image15.png"/></Relationships>
</file>

<file path=word/diagrams/_rels/data5.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19.png"/><Relationship Id="rId1" Type="http://schemas.openxmlformats.org/officeDocument/2006/relationships/image" Target="../media/image18.png"/></Relationships>
</file>

<file path=word/diagrams/_rels/data7.xml.rels><?xml version="1.0" encoding="UTF-8" standalone="yes"?>
<Relationships xmlns="http://schemas.openxmlformats.org/package/2006/relationships"><Relationship Id="rId3" Type="http://schemas.openxmlformats.org/officeDocument/2006/relationships/image" Target="../media/image23.png"/><Relationship Id="rId2" Type="http://schemas.openxmlformats.org/officeDocument/2006/relationships/image" Target="../media/image22.png"/><Relationship Id="rId1" Type="http://schemas.openxmlformats.org/officeDocument/2006/relationships/image" Target="../media/image21.png"/></Relationships>
</file>

<file path=word/diagrams/_rels/data8.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25.png"/><Relationship Id="rId1" Type="http://schemas.openxmlformats.org/officeDocument/2006/relationships/image" Target="../media/image24.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png"/><Relationship Id="rId1" Type="http://schemas.openxmlformats.org/officeDocument/2006/relationships/image" Target="../media/image9.png"/></Relationships>
</file>

<file path=word/diagrams/_rels/drawing3.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png"/><Relationship Id="rId1" Type="http://schemas.openxmlformats.org/officeDocument/2006/relationships/image" Target="../media/image15.png"/></Relationships>
</file>

<file path=word/diagrams/_rels/drawing5.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19.png"/><Relationship Id="rId1" Type="http://schemas.openxmlformats.org/officeDocument/2006/relationships/image" Target="../media/image18.png"/></Relationships>
</file>

<file path=word/diagrams/_rels/drawing7.xml.rels><?xml version="1.0" encoding="UTF-8" standalone="yes"?>
<Relationships xmlns="http://schemas.openxmlformats.org/package/2006/relationships"><Relationship Id="rId3" Type="http://schemas.openxmlformats.org/officeDocument/2006/relationships/image" Target="../media/image23.png"/><Relationship Id="rId2" Type="http://schemas.openxmlformats.org/officeDocument/2006/relationships/image" Target="../media/image22.png"/><Relationship Id="rId1" Type="http://schemas.openxmlformats.org/officeDocument/2006/relationships/image" Target="../media/image21.png"/></Relationships>
</file>

<file path=word/diagrams/_rels/drawing8.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25.png"/><Relationship Id="rId1" Type="http://schemas.openxmlformats.org/officeDocument/2006/relationships/image" Target="../media/image2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8368462-5A8F-4FEB-82FC-D4F4E934BD7F}" type="doc">
      <dgm:prSet loTypeId="urn:microsoft.com/office/officeart/2008/layout/AlternatingPictureBlocks" loCatId="picture" qsTypeId="urn:microsoft.com/office/officeart/2005/8/quickstyle/simple1" qsCatId="simple" csTypeId="urn:microsoft.com/office/officeart/2005/8/colors/accent1_2" csCatId="accent1" phldr="1"/>
      <dgm:spPr/>
    </dgm:pt>
    <dgm:pt modelId="{57B4B3D4-6B7B-420B-8AAC-61B2CB1DCE85}">
      <dgm:prSet phldrT="[Text]"/>
      <dgm:spPr>
        <a:solidFill>
          <a:srgbClr val="7030A0"/>
        </a:solidFill>
      </dgm:spPr>
      <dgm:t>
        <a:bodyPr/>
        <a:lstStyle/>
        <a:p>
          <a:r>
            <a:rPr lang="sk-SK" b="1" dirty="0"/>
            <a:t>CELKOVO</a:t>
          </a:r>
        </a:p>
        <a:p>
          <a:r>
            <a:rPr lang="sk-SK" b="1" dirty="0" smtClean="0"/>
            <a:t>1 152</a:t>
          </a:r>
          <a:r>
            <a:rPr lang="sk-SK" b="1" dirty="0"/>
            <a:t> nezrovnalostí oznámených ako podvodné </a:t>
          </a:r>
          <a:r>
            <a:rPr lang="sk-SK" b="1" dirty="0" smtClean="0"/>
            <a:t>(+0,4 %)</a:t>
          </a:r>
        </a:p>
        <a:p>
          <a:r>
            <a:rPr lang="sk-SK" b="1" dirty="0"/>
            <a:t>Týkali sa 1 197,2 mil. EUR (+183 %)</a:t>
          </a:r>
        </a:p>
      </dgm:t>
    </dgm:pt>
    <dgm:pt modelId="{A39AE810-11FC-4F03-A0FC-F0D64B151BAD}" type="parTrans" cxnId="{678CD42D-45F7-4DB9-86D4-AAA14401EFF7}">
      <dgm:prSet/>
      <dgm:spPr/>
      <dgm:t>
        <a:bodyPr/>
        <a:lstStyle/>
        <a:p>
          <a:endParaRPr lang="en-GB"/>
        </a:p>
      </dgm:t>
    </dgm:pt>
    <dgm:pt modelId="{2C47A205-5132-4010-B6A3-D638A59483C7}" type="sibTrans" cxnId="{678CD42D-45F7-4DB9-86D4-AAA14401EFF7}">
      <dgm:prSet/>
      <dgm:spPr/>
      <dgm:t>
        <a:bodyPr/>
        <a:lstStyle/>
        <a:p>
          <a:endParaRPr lang="en-GB"/>
        </a:p>
      </dgm:t>
    </dgm:pt>
    <dgm:pt modelId="{85A3F1F3-F50C-44FF-BF63-E7CFCE33B875}">
      <dgm:prSet phldrT="[Text]"/>
      <dgm:spPr>
        <a:solidFill>
          <a:schemeClr val="accent3">
            <a:lumMod val="75000"/>
          </a:schemeClr>
        </a:solidFill>
      </dgm:spPr>
      <dgm:t>
        <a:bodyPr/>
        <a:lstStyle/>
        <a:p>
          <a:r>
            <a:rPr lang="sk-SK" b="1" dirty="0" smtClean="0"/>
            <a:t>VÝDAVKY</a:t>
          </a:r>
        </a:p>
        <a:p>
          <a:r>
            <a:rPr lang="sk-SK" b="1" dirty="0" smtClean="0"/>
            <a:t>679</a:t>
          </a:r>
          <a:r>
            <a:rPr lang="sk-SK" b="1" dirty="0"/>
            <a:t> nezrovnalostí oznámených ako podvodné </a:t>
          </a:r>
          <a:r>
            <a:rPr lang="sk-SK" b="1" dirty="0" smtClean="0"/>
            <a:t>(−3 %)</a:t>
          </a:r>
        </a:p>
        <a:p>
          <a:r>
            <a:rPr lang="sk-SK" b="1" dirty="0"/>
            <a:t>Týkali sa 1 032 mil. EUR (+198 %)</a:t>
          </a:r>
        </a:p>
        <a:p>
          <a:r>
            <a:rPr lang="sk-SK" b="1" dirty="0"/>
            <a:t>0,71 % z platieb v roku 2018</a:t>
          </a:r>
        </a:p>
      </dgm:t>
    </dgm:pt>
    <dgm:pt modelId="{1F6B37E6-DD3C-4A5B-8192-1D2207D1AB10}" type="parTrans" cxnId="{3C8EB174-3787-404C-BCBB-4F3611F43243}">
      <dgm:prSet/>
      <dgm:spPr/>
      <dgm:t>
        <a:bodyPr/>
        <a:lstStyle/>
        <a:p>
          <a:endParaRPr lang="en-GB"/>
        </a:p>
      </dgm:t>
    </dgm:pt>
    <dgm:pt modelId="{0C1C0EC7-1324-489D-BD78-98E65F44A24D}" type="sibTrans" cxnId="{3C8EB174-3787-404C-BCBB-4F3611F43243}">
      <dgm:prSet/>
      <dgm:spPr/>
      <dgm:t>
        <a:bodyPr/>
        <a:lstStyle/>
        <a:p>
          <a:endParaRPr lang="en-GB"/>
        </a:p>
      </dgm:t>
    </dgm:pt>
    <dgm:pt modelId="{F86CB813-3327-4BDE-BD45-010803E6B61A}">
      <dgm:prSet phldrT="[Text]"/>
      <dgm:spPr>
        <a:solidFill>
          <a:schemeClr val="accent2">
            <a:lumMod val="75000"/>
          </a:schemeClr>
        </a:solidFill>
      </dgm:spPr>
      <dgm:t>
        <a:bodyPr/>
        <a:lstStyle/>
        <a:p>
          <a:r>
            <a:rPr lang="sk-SK" b="1" dirty="0" smtClean="0"/>
            <a:t>PRÍJMY</a:t>
          </a:r>
        </a:p>
        <a:p>
          <a:r>
            <a:rPr lang="sk-SK" b="1" dirty="0" smtClean="0"/>
            <a:t>473</a:t>
          </a:r>
          <a:r>
            <a:rPr lang="sk-SK" b="1" dirty="0"/>
            <a:t> nezrovnalostí oznámených ako podvodné </a:t>
          </a:r>
          <a:r>
            <a:rPr lang="sk-SK" b="1" dirty="0" smtClean="0"/>
            <a:t>(+1 %)</a:t>
          </a:r>
        </a:p>
        <a:p>
          <a:r>
            <a:rPr lang="sk-SK" b="1" dirty="0"/>
            <a:t>Týkali sa 165,2 milióna EUR (+116 %)</a:t>
          </a:r>
        </a:p>
        <a:p>
          <a:r>
            <a:rPr lang="sk-SK" b="1" dirty="0"/>
            <a:t>0,65 % hrubej sumy TVZ vybratej za rok 2018</a:t>
          </a:r>
        </a:p>
      </dgm:t>
    </dgm:pt>
    <dgm:pt modelId="{E6D9A96D-EF82-407D-9C96-20DD0B89AFD2}" type="parTrans" cxnId="{9932242A-D0B1-4C68-95CF-C38112616CA7}">
      <dgm:prSet/>
      <dgm:spPr/>
      <dgm:t>
        <a:bodyPr/>
        <a:lstStyle/>
        <a:p>
          <a:endParaRPr lang="en-GB"/>
        </a:p>
      </dgm:t>
    </dgm:pt>
    <dgm:pt modelId="{DDA0AC88-D395-44F7-B8F6-CC63CACF8A73}" type="sibTrans" cxnId="{9932242A-D0B1-4C68-95CF-C38112616CA7}">
      <dgm:prSet/>
      <dgm:spPr/>
      <dgm:t>
        <a:bodyPr/>
        <a:lstStyle/>
        <a:p>
          <a:endParaRPr lang="en-GB"/>
        </a:p>
      </dgm:t>
    </dgm:pt>
    <dgm:pt modelId="{AF25CEEF-B42F-490D-B74B-DE48305EA88E}" type="pres">
      <dgm:prSet presAssocID="{88368462-5A8F-4FEB-82FC-D4F4E934BD7F}" presName="linearFlow" presStyleCnt="0">
        <dgm:presLayoutVars>
          <dgm:dir/>
          <dgm:resizeHandles val="exact"/>
        </dgm:presLayoutVars>
      </dgm:prSet>
      <dgm:spPr/>
    </dgm:pt>
    <dgm:pt modelId="{7A60CFDF-0BB1-4DF1-A83B-280F07CCF20A}" type="pres">
      <dgm:prSet presAssocID="{57B4B3D4-6B7B-420B-8AAC-61B2CB1DCE85}" presName="comp" presStyleCnt="0"/>
      <dgm:spPr/>
    </dgm:pt>
    <dgm:pt modelId="{149CEA1F-2D37-4863-8920-5E4F47A7E70C}" type="pres">
      <dgm:prSet presAssocID="{57B4B3D4-6B7B-420B-8AAC-61B2CB1DCE85}" presName="rect2" presStyleLbl="node1" presStyleIdx="0" presStyleCnt="3">
        <dgm:presLayoutVars>
          <dgm:bulletEnabled val="1"/>
        </dgm:presLayoutVars>
      </dgm:prSet>
      <dgm:spPr/>
      <dgm:t>
        <a:bodyPr/>
        <a:lstStyle/>
        <a:p>
          <a:endParaRPr lang="en-GB"/>
        </a:p>
      </dgm:t>
    </dgm:pt>
    <dgm:pt modelId="{50A603A3-6074-43DC-8A28-70542950A30E}" type="pres">
      <dgm:prSet presAssocID="{57B4B3D4-6B7B-420B-8AAC-61B2CB1DCE85}" presName="rect1" presStyleLbl="lnNode1" presStyleIdx="0" presStyleCnt="3"/>
      <dgm:spPr>
        <a:blipFill rotWithShape="1">
          <a:blip xmlns:r="http://schemas.openxmlformats.org/officeDocument/2006/relationships" r:embed="rId1"/>
          <a:stretch>
            <a:fillRect/>
          </a:stretch>
        </a:blipFill>
      </dgm:spPr>
      <dgm:t>
        <a:bodyPr/>
        <a:lstStyle/>
        <a:p>
          <a:endParaRPr lang="en-GB"/>
        </a:p>
      </dgm:t>
    </dgm:pt>
    <dgm:pt modelId="{D62E18A2-F1A3-4391-827E-4364C683C935}" type="pres">
      <dgm:prSet presAssocID="{2C47A205-5132-4010-B6A3-D638A59483C7}" presName="sibTrans" presStyleCnt="0"/>
      <dgm:spPr/>
    </dgm:pt>
    <dgm:pt modelId="{C5B04EC8-BE13-4A23-A660-3A2AC55A3BE2}" type="pres">
      <dgm:prSet presAssocID="{85A3F1F3-F50C-44FF-BF63-E7CFCE33B875}" presName="comp" presStyleCnt="0"/>
      <dgm:spPr/>
    </dgm:pt>
    <dgm:pt modelId="{B5B0EF09-D8CB-4A65-B13D-9B18DE8EF5CA}" type="pres">
      <dgm:prSet presAssocID="{85A3F1F3-F50C-44FF-BF63-E7CFCE33B875}" presName="rect2" presStyleLbl="node1" presStyleIdx="1" presStyleCnt="3" custScaleX="124539" custScaleY="117643" custLinFactNeighborX="-52130">
        <dgm:presLayoutVars>
          <dgm:bulletEnabled val="1"/>
        </dgm:presLayoutVars>
      </dgm:prSet>
      <dgm:spPr/>
      <dgm:t>
        <a:bodyPr/>
        <a:lstStyle/>
        <a:p>
          <a:endParaRPr lang="en-GB"/>
        </a:p>
      </dgm:t>
    </dgm:pt>
    <dgm:pt modelId="{695B269C-7A8E-4F16-9C9A-8BA943948863}" type="pres">
      <dgm:prSet presAssocID="{85A3F1F3-F50C-44FF-BF63-E7CFCE33B875}" presName="rect1" presStyleLbl="lnNode1" presStyleIdx="1" presStyleCnt="3" custScaleX="236196" custScaleY="207472" custLinFactX="11758" custLinFactNeighborX="100000"/>
      <dgm:spPr>
        <a:blipFill rotWithShape="1">
          <a:blip xmlns:r="http://schemas.openxmlformats.org/officeDocument/2006/relationships" r:embed="rId2"/>
          <a:stretch>
            <a:fillRect/>
          </a:stretch>
        </a:blipFill>
      </dgm:spPr>
      <dgm:t>
        <a:bodyPr/>
        <a:lstStyle/>
        <a:p>
          <a:endParaRPr lang="en-US"/>
        </a:p>
      </dgm:t>
    </dgm:pt>
    <dgm:pt modelId="{4698F60C-0516-49A3-8AED-69F161BF5F29}" type="pres">
      <dgm:prSet presAssocID="{0C1C0EC7-1324-489D-BD78-98E65F44A24D}" presName="sibTrans" presStyleCnt="0"/>
      <dgm:spPr/>
    </dgm:pt>
    <dgm:pt modelId="{7C650E0D-2141-4C58-AF97-7E81D1E82535}" type="pres">
      <dgm:prSet presAssocID="{F86CB813-3327-4BDE-BD45-010803E6B61A}" presName="comp" presStyleCnt="0"/>
      <dgm:spPr/>
    </dgm:pt>
    <dgm:pt modelId="{3C597CFA-4B4B-4CD0-9C45-0C7F933E1758}" type="pres">
      <dgm:prSet presAssocID="{F86CB813-3327-4BDE-BD45-010803E6B61A}" presName="rect2" presStyleLbl="node1" presStyleIdx="2" presStyleCnt="3" custScaleX="125478" custScaleY="127449" custLinFactNeighborX="48087" custLinFactNeighborY="-1115">
        <dgm:presLayoutVars>
          <dgm:bulletEnabled val="1"/>
        </dgm:presLayoutVars>
      </dgm:prSet>
      <dgm:spPr/>
      <dgm:t>
        <a:bodyPr/>
        <a:lstStyle/>
        <a:p>
          <a:endParaRPr lang="en-GB"/>
        </a:p>
      </dgm:t>
    </dgm:pt>
    <dgm:pt modelId="{C44C8DA3-5892-455C-BF04-3FE27CFDDA51}" type="pres">
      <dgm:prSet presAssocID="{F86CB813-3327-4BDE-BD45-010803E6B61A}" presName="rect1" presStyleLbl="lnNode1" presStyleIdx="2" presStyleCnt="3" custScaleX="280542" custScaleY="236603" custLinFactNeighborX="-98587" custLinFactNeighborY="-27349"/>
      <dgm:spPr>
        <a:blipFill rotWithShape="1">
          <a:blip xmlns:r="http://schemas.openxmlformats.org/officeDocument/2006/relationships" r:embed="rId3"/>
          <a:stretch>
            <a:fillRect/>
          </a:stretch>
        </a:blipFill>
      </dgm:spPr>
      <dgm:t>
        <a:bodyPr/>
        <a:lstStyle/>
        <a:p>
          <a:endParaRPr lang="en-US"/>
        </a:p>
      </dgm:t>
    </dgm:pt>
  </dgm:ptLst>
  <dgm:cxnLst>
    <dgm:cxn modelId="{678CD42D-45F7-4DB9-86D4-AAA14401EFF7}" srcId="{88368462-5A8F-4FEB-82FC-D4F4E934BD7F}" destId="{57B4B3D4-6B7B-420B-8AAC-61B2CB1DCE85}" srcOrd="0" destOrd="0" parTransId="{A39AE810-11FC-4F03-A0FC-F0D64B151BAD}" sibTransId="{2C47A205-5132-4010-B6A3-D638A59483C7}"/>
    <dgm:cxn modelId="{F405B5C1-3383-4174-B40B-C89CDDD1F226}" type="presOf" srcId="{85A3F1F3-F50C-44FF-BF63-E7CFCE33B875}" destId="{B5B0EF09-D8CB-4A65-B13D-9B18DE8EF5CA}" srcOrd="0" destOrd="0" presId="urn:microsoft.com/office/officeart/2008/layout/AlternatingPictureBlocks"/>
    <dgm:cxn modelId="{DFB90E36-DC25-4DCB-8820-451AB81184C0}" type="presOf" srcId="{88368462-5A8F-4FEB-82FC-D4F4E934BD7F}" destId="{AF25CEEF-B42F-490D-B74B-DE48305EA88E}" srcOrd="0" destOrd="0" presId="urn:microsoft.com/office/officeart/2008/layout/AlternatingPictureBlocks"/>
    <dgm:cxn modelId="{9932242A-D0B1-4C68-95CF-C38112616CA7}" srcId="{88368462-5A8F-4FEB-82FC-D4F4E934BD7F}" destId="{F86CB813-3327-4BDE-BD45-010803E6B61A}" srcOrd="2" destOrd="0" parTransId="{E6D9A96D-EF82-407D-9C96-20DD0B89AFD2}" sibTransId="{DDA0AC88-D395-44F7-B8F6-CC63CACF8A73}"/>
    <dgm:cxn modelId="{3C8EB174-3787-404C-BCBB-4F3611F43243}" srcId="{88368462-5A8F-4FEB-82FC-D4F4E934BD7F}" destId="{85A3F1F3-F50C-44FF-BF63-E7CFCE33B875}" srcOrd="1" destOrd="0" parTransId="{1F6B37E6-DD3C-4A5B-8192-1D2207D1AB10}" sibTransId="{0C1C0EC7-1324-489D-BD78-98E65F44A24D}"/>
    <dgm:cxn modelId="{6BFB183F-D357-4CC8-88FE-DB68EEB84399}" type="presOf" srcId="{57B4B3D4-6B7B-420B-8AAC-61B2CB1DCE85}" destId="{149CEA1F-2D37-4863-8920-5E4F47A7E70C}" srcOrd="0" destOrd="0" presId="urn:microsoft.com/office/officeart/2008/layout/AlternatingPictureBlocks"/>
    <dgm:cxn modelId="{9A19F039-F2C9-4723-B2FE-924DA9613B2E}" type="presOf" srcId="{F86CB813-3327-4BDE-BD45-010803E6B61A}" destId="{3C597CFA-4B4B-4CD0-9C45-0C7F933E1758}" srcOrd="0" destOrd="0" presId="urn:microsoft.com/office/officeart/2008/layout/AlternatingPictureBlocks"/>
    <dgm:cxn modelId="{A542C5D8-C153-4D57-8EC5-278E035CD3A1}" type="presParOf" srcId="{AF25CEEF-B42F-490D-B74B-DE48305EA88E}" destId="{7A60CFDF-0BB1-4DF1-A83B-280F07CCF20A}" srcOrd="0" destOrd="0" presId="urn:microsoft.com/office/officeart/2008/layout/AlternatingPictureBlocks"/>
    <dgm:cxn modelId="{E629DAE0-2AAC-4D62-9161-56BBFB2D8B81}" type="presParOf" srcId="{7A60CFDF-0BB1-4DF1-A83B-280F07CCF20A}" destId="{149CEA1F-2D37-4863-8920-5E4F47A7E70C}" srcOrd="0" destOrd="0" presId="urn:microsoft.com/office/officeart/2008/layout/AlternatingPictureBlocks"/>
    <dgm:cxn modelId="{9B577389-D832-49DE-B542-8A5BE5C0624C}" type="presParOf" srcId="{7A60CFDF-0BB1-4DF1-A83B-280F07CCF20A}" destId="{50A603A3-6074-43DC-8A28-70542950A30E}" srcOrd="1" destOrd="0" presId="urn:microsoft.com/office/officeart/2008/layout/AlternatingPictureBlocks"/>
    <dgm:cxn modelId="{6A61879F-B121-4250-8F76-B29DAE5F9020}" type="presParOf" srcId="{AF25CEEF-B42F-490D-B74B-DE48305EA88E}" destId="{D62E18A2-F1A3-4391-827E-4364C683C935}" srcOrd="1" destOrd="0" presId="urn:microsoft.com/office/officeart/2008/layout/AlternatingPictureBlocks"/>
    <dgm:cxn modelId="{EE5788C1-8029-4759-A808-FC7585B7009A}" type="presParOf" srcId="{AF25CEEF-B42F-490D-B74B-DE48305EA88E}" destId="{C5B04EC8-BE13-4A23-A660-3A2AC55A3BE2}" srcOrd="2" destOrd="0" presId="urn:microsoft.com/office/officeart/2008/layout/AlternatingPictureBlocks"/>
    <dgm:cxn modelId="{21392DF9-4962-4B11-9B39-F795CD27C3F3}" type="presParOf" srcId="{C5B04EC8-BE13-4A23-A660-3A2AC55A3BE2}" destId="{B5B0EF09-D8CB-4A65-B13D-9B18DE8EF5CA}" srcOrd="0" destOrd="0" presId="urn:microsoft.com/office/officeart/2008/layout/AlternatingPictureBlocks"/>
    <dgm:cxn modelId="{61807790-C264-4030-997F-79C4AFF41042}" type="presParOf" srcId="{C5B04EC8-BE13-4A23-A660-3A2AC55A3BE2}" destId="{695B269C-7A8E-4F16-9C9A-8BA943948863}" srcOrd="1" destOrd="0" presId="urn:microsoft.com/office/officeart/2008/layout/AlternatingPictureBlocks"/>
    <dgm:cxn modelId="{25219935-A4A9-404D-8C79-BC3966DD099C}" type="presParOf" srcId="{AF25CEEF-B42F-490D-B74B-DE48305EA88E}" destId="{4698F60C-0516-49A3-8AED-69F161BF5F29}" srcOrd="3" destOrd="0" presId="urn:microsoft.com/office/officeart/2008/layout/AlternatingPictureBlocks"/>
    <dgm:cxn modelId="{2E1C2F1B-BA65-464F-BDE6-4E3849C8B5D8}" type="presParOf" srcId="{AF25CEEF-B42F-490D-B74B-DE48305EA88E}" destId="{7C650E0D-2141-4C58-AF97-7E81D1E82535}" srcOrd="4" destOrd="0" presId="urn:microsoft.com/office/officeart/2008/layout/AlternatingPictureBlocks"/>
    <dgm:cxn modelId="{157689ED-858E-4B97-9335-EA2204618187}" type="presParOf" srcId="{7C650E0D-2141-4C58-AF97-7E81D1E82535}" destId="{3C597CFA-4B4B-4CD0-9C45-0C7F933E1758}" srcOrd="0" destOrd="0" presId="urn:microsoft.com/office/officeart/2008/layout/AlternatingPictureBlocks"/>
    <dgm:cxn modelId="{39FC8127-A8F8-49C1-AD6C-10E901637A82}" type="presParOf" srcId="{7C650E0D-2141-4C58-AF97-7E81D1E82535}" destId="{C44C8DA3-5892-455C-BF04-3FE27CFDDA51}" srcOrd="1" destOrd="0" presId="urn:microsoft.com/office/officeart/2008/layout/AlternatingPictureBlocks"/>
  </dgm:cxnLst>
  <dgm:bg/>
  <dgm:whole/>
  <dgm:extLst>
    <a:ext uri="http://schemas.microsoft.com/office/drawing/2008/diagram">
      <dsp:dataModelExt xmlns:dsp="http://schemas.microsoft.com/office/drawing/2008/diagram" relId="rId7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8368462-5A8F-4FEB-82FC-D4F4E934BD7F}" type="doc">
      <dgm:prSet loTypeId="urn:microsoft.com/office/officeart/2008/layout/AlternatingPictureBlocks" loCatId="picture" qsTypeId="urn:microsoft.com/office/officeart/2005/8/quickstyle/simple1" qsCatId="simple" csTypeId="urn:microsoft.com/office/officeart/2005/8/colors/accent1_2" csCatId="accent1" phldr="1"/>
      <dgm:spPr/>
    </dgm:pt>
    <dgm:pt modelId="{57B4B3D4-6B7B-420B-8AAC-61B2CB1DCE85}">
      <dgm:prSet phldrT="[Text]"/>
      <dgm:spPr>
        <a:solidFill>
          <a:srgbClr val="7030A0"/>
        </a:solidFill>
      </dgm:spPr>
      <dgm:t>
        <a:bodyPr/>
        <a:lstStyle/>
        <a:p>
          <a:r>
            <a:rPr lang="sk-SK" b="1" dirty="0"/>
            <a:t>CELKOVO</a:t>
          </a:r>
        </a:p>
        <a:p>
          <a:r>
            <a:rPr lang="sk-SK" b="1" dirty="0"/>
            <a:t>10 487 nezrovnalostí oznámených ako nepodvodné </a:t>
          </a:r>
          <a:r>
            <a:rPr lang="sk-SK" b="1" dirty="0" smtClean="0"/>
            <a:t>(−27 %)</a:t>
          </a:r>
        </a:p>
        <a:p>
          <a:r>
            <a:rPr lang="sk-SK" b="1" dirty="0"/>
            <a:t>Týkali sa </a:t>
          </a:r>
          <a:r>
            <a:rPr lang="sk-SK" b="1" dirty="0" smtClean="0"/>
            <a:t>1 294,6</a:t>
          </a:r>
          <a:r>
            <a:rPr lang="sk-SK" b="1" dirty="0"/>
            <a:t> milióna EUR </a:t>
          </a:r>
          <a:r>
            <a:rPr lang="sk-SK" b="1" dirty="0" smtClean="0"/>
            <a:t>(−37 %)</a:t>
          </a:r>
        </a:p>
      </dgm:t>
    </dgm:pt>
    <dgm:pt modelId="{A39AE810-11FC-4F03-A0FC-F0D64B151BAD}" type="parTrans" cxnId="{678CD42D-45F7-4DB9-86D4-AAA14401EFF7}">
      <dgm:prSet/>
      <dgm:spPr/>
      <dgm:t>
        <a:bodyPr/>
        <a:lstStyle/>
        <a:p>
          <a:endParaRPr lang="en-GB"/>
        </a:p>
      </dgm:t>
    </dgm:pt>
    <dgm:pt modelId="{2C47A205-5132-4010-B6A3-D638A59483C7}" type="sibTrans" cxnId="{678CD42D-45F7-4DB9-86D4-AAA14401EFF7}">
      <dgm:prSet/>
      <dgm:spPr/>
      <dgm:t>
        <a:bodyPr/>
        <a:lstStyle/>
        <a:p>
          <a:endParaRPr lang="en-GB"/>
        </a:p>
      </dgm:t>
    </dgm:pt>
    <dgm:pt modelId="{85A3F1F3-F50C-44FF-BF63-E7CFCE33B875}">
      <dgm:prSet phldrT="[Text]"/>
      <dgm:spPr>
        <a:solidFill>
          <a:schemeClr val="accent3">
            <a:lumMod val="75000"/>
          </a:schemeClr>
        </a:solidFill>
      </dgm:spPr>
      <dgm:t>
        <a:bodyPr/>
        <a:lstStyle/>
        <a:p>
          <a:r>
            <a:rPr lang="sk-SK" b="1" dirty="0" smtClean="0"/>
            <a:t>VÝDAVKY</a:t>
          </a:r>
        </a:p>
        <a:p>
          <a:r>
            <a:rPr lang="sk-SK" b="1" dirty="0" smtClean="0"/>
            <a:t>6 396</a:t>
          </a:r>
          <a:r>
            <a:rPr lang="sk-SK" b="1" dirty="0"/>
            <a:t> nezrovnalostí oznámených ako nepodvodné </a:t>
          </a:r>
          <a:r>
            <a:rPr lang="sk-SK" b="1" dirty="0" smtClean="0"/>
            <a:t>(−4 %)</a:t>
          </a:r>
        </a:p>
        <a:p>
          <a:r>
            <a:rPr lang="sk-SK" b="1" dirty="0"/>
            <a:t>Týkali sa 844,9 milióna EUR (−48 %)</a:t>
          </a:r>
        </a:p>
        <a:p>
          <a:r>
            <a:rPr lang="sk-SK" b="1" dirty="0"/>
            <a:t>0,58 % z platieb v roku 2018</a:t>
          </a:r>
        </a:p>
      </dgm:t>
    </dgm:pt>
    <dgm:pt modelId="{1F6B37E6-DD3C-4A5B-8192-1D2207D1AB10}" type="parTrans" cxnId="{3C8EB174-3787-404C-BCBB-4F3611F43243}">
      <dgm:prSet/>
      <dgm:spPr/>
      <dgm:t>
        <a:bodyPr/>
        <a:lstStyle/>
        <a:p>
          <a:endParaRPr lang="en-GB"/>
        </a:p>
      </dgm:t>
    </dgm:pt>
    <dgm:pt modelId="{0C1C0EC7-1324-489D-BD78-98E65F44A24D}" type="sibTrans" cxnId="{3C8EB174-3787-404C-BCBB-4F3611F43243}">
      <dgm:prSet/>
      <dgm:spPr/>
      <dgm:t>
        <a:bodyPr/>
        <a:lstStyle/>
        <a:p>
          <a:endParaRPr lang="en-GB"/>
        </a:p>
      </dgm:t>
    </dgm:pt>
    <dgm:pt modelId="{F86CB813-3327-4BDE-BD45-010803E6B61A}">
      <dgm:prSet phldrT="[Text]"/>
      <dgm:spPr>
        <a:solidFill>
          <a:schemeClr val="accent2">
            <a:lumMod val="75000"/>
          </a:schemeClr>
        </a:solidFill>
      </dgm:spPr>
      <dgm:t>
        <a:bodyPr/>
        <a:lstStyle/>
        <a:p>
          <a:r>
            <a:rPr lang="sk-SK" b="1" dirty="0" smtClean="0"/>
            <a:t>PRÍJMY</a:t>
          </a:r>
        </a:p>
        <a:p>
          <a:r>
            <a:rPr lang="sk-SK" b="1" dirty="0" smtClean="0"/>
            <a:t>4 090</a:t>
          </a:r>
          <a:r>
            <a:rPr lang="sk-SK" b="1" dirty="0"/>
            <a:t> nezrovnalostí oznámených ako nepodvodné </a:t>
          </a:r>
          <a:r>
            <a:rPr lang="sk-SK" b="1" dirty="0" smtClean="0"/>
            <a:t>(−10 %)</a:t>
          </a:r>
        </a:p>
        <a:p>
          <a:r>
            <a:rPr lang="sk-SK" b="1" dirty="0"/>
            <a:t>Týkali sa 449,7 milióna EUR (+12 %)</a:t>
          </a:r>
        </a:p>
        <a:p>
          <a:r>
            <a:rPr lang="sk-SK" b="1" dirty="0"/>
            <a:t>1,78 % hrubej sumy TVZ vybratej za rok 2018</a:t>
          </a:r>
        </a:p>
      </dgm:t>
    </dgm:pt>
    <dgm:pt modelId="{E6D9A96D-EF82-407D-9C96-20DD0B89AFD2}" type="parTrans" cxnId="{9932242A-D0B1-4C68-95CF-C38112616CA7}">
      <dgm:prSet/>
      <dgm:spPr/>
      <dgm:t>
        <a:bodyPr/>
        <a:lstStyle/>
        <a:p>
          <a:endParaRPr lang="en-GB"/>
        </a:p>
      </dgm:t>
    </dgm:pt>
    <dgm:pt modelId="{DDA0AC88-D395-44F7-B8F6-CC63CACF8A73}" type="sibTrans" cxnId="{9932242A-D0B1-4C68-95CF-C38112616CA7}">
      <dgm:prSet/>
      <dgm:spPr/>
      <dgm:t>
        <a:bodyPr/>
        <a:lstStyle/>
        <a:p>
          <a:endParaRPr lang="en-GB"/>
        </a:p>
      </dgm:t>
    </dgm:pt>
    <dgm:pt modelId="{AF25CEEF-B42F-490D-B74B-DE48305EA88E}" type="pres">
      <dgm:prSet presAssocID="{88368462-5A8F-4FEB-82FC-D4F4E934BD7F}" presName="linearFlow" presStyleCnt="0">
        <dgm:presLayoutVars>
          <dgm:dir/>
          <dgm:resizeHandles val="exact"/>
        </dgm:presLayoutVars>
      </dgm:prSet>
      <dgm:spPr/>
    </dgm:pt>
    <dgm:pt modelId="{7A60CFDF-0BB1-4DF1-A83B-280F07CCF20A}" type="pres">
      <dgm:prSet presAssocID="{57B4B3D4-6B7B-420B-8AAC-61B2CB1DCE85}" presName="comp" presStyleCnt="0"/>
      <dgm:spPr/>
    </dgm:pt>
    <dgm:pt modelId="{149CEA1F-2D37-4863-8920-5E4F47A7E70C}" type="pres">
      <dgm:prSet presAssocID="{57B4B3D4-6B7B-420B-8AAC-61B2CB1DCE85}" presName="rect2" presStyleLbl="node1" presStyleIdx="0" presStyleCnt="3">
        <dgm:presLayoutVars>
          <dgm:bulletEnabled val="1"/>
        </dgm:presLayoutVars>
      </dgm:prSet>
      <dgm:spPr/>
      <dgm:t>
        <a:bodyPr/>
        <a:lstStyle/>
        <a:p>
          <a:endParaRPr lang="en-GB"/>
        </a:p>
      </dgm:t>
    </dgm:pt>
    <dgm:pt modelId="{50A603A3-6074-43DC-8A28-70542950A30E}" type="pres">
      <dgm:prSet presAssocID="{57B4B3D4-6B7B-420B-8AAC-61B2CB1DCE85}" presName="rect1" presStyleLbl="lnNode1" presStyleIdx="0" presStyleCnt="3"/>
      <dgm:spPr>
        <a:blipFill rotWithShape="1">
          <a:blip xmlns:r="http://schemas.openxmlformats.org/officeDocument/2006/relationships" r:embed="rId1"/>
          <a:stretch>
            <a:fillRect/>
          </a:stretch>
        </a:blipFill>
      </dgm:spPr>
      <dgm:t>
        <a:bodyPr/>
        <a:lstStyle/>
        <a:p>
          <a:endParaRPr lang="en-GB"/>
        </a:p>
      </dgm:t>
    </dgm:pt>
    <dgm:pt modelId="{D62E18A2-F1A3-4391-827E-4364C683C935}" type="pres">
      <dgm:prSet presAssocID="{2C47A205-5132-4010-B6A3-D638A59483C7}" presName="sibTrans" presStyleCnt="0"/>
      <dgm:spPr/>
    </dgm:pt>
    <dgm:pt modelId="{C5B04EC8-BE13-4A23-A660-3A2AC55A3BE2}" type="pres">
      <dgm:prSet presAssocID="{85A3F1F3-F50C-44FF-BF63-E7CFCE33B875}" presName="comp" presStyleCnt="0"/>
      <dgm:spPr/>
    </dgm:pt>
    <dgm:pt modelId="{B5B0EF09-D8CB-4A65-B13D-9B18DE8EF5CA}" type="pres">
      <dgm:prSet presAssocID="{85A3F1F3-F50C-44FF-BF63-E7CFCE33B875}" presName="rect2" presStyleLbl="node1" presStyleIdx="1" presStyleCnt="3" custScaleX="146152" custScaleY="138475" custLinFactNeighborX="-52130">
        <dgm:presLayoutVars>
          <dgm:bulletEnabled val="1"/>
        </dgm:presLayoutVars>
      </dgm:prSet>
      <dgm:spPr/>
      <dgm:t>
        <a:bodyPr/>
        <a:lstStyle/>
        <a:p>
          <a:endParaRPr lang="en-GB"/>
        </a:p>
      </dgm:t>
    </dgm:pt>
    <dgm:pt modelId="{695B269C-7A8E-4F16-9C9A-8BA943948863}" type="pres">
      <dgm:prSet presAssocID="{85A3F1F3-F50C-44FF-BF63-E7CFCE33B875}" presName="rect1" presStyleLbl="lnNode1" presStyleIdx="1" presStyleCnt="3" custScaleX="243976" custScaleY="200517" custLinFactNeighborX="62181" custLinFactNeighborY="2403"/>
      <dgm:spPr>
        <a:blipFill rotWithShape="1">
          <a:blip xmlns:r="http://schemas.openxmlformats.org/officeDocument/2006/relationships" r:embed="rId2"/>
          <a:stretch>
            <a:fillRect/>
          </a:stretch>
        </a:blipFill>
      </dgm:spPr>
    </dgm:pt>
    <dgm:pt modelId="{4698F60C-0516-49A3-8AED-69F161BF5F29}" type="pres">
      <dgm:prSet presAssocID="{0C1C0EC7-1324-489D-BD78-98E65F44A24D}" presName="sibTrans" presStyleCnt="0"/>
      <dgm:spPr/>
    </dgm:pt>
    <dgm:pt modelId="{7C650E0D-2141-4C58-AF97-7E81D1E82535}" type="pres">
      <dgm:prSet presAssocID="{F86CB813-3327-4BDE-BD45-010803E6B61A}" presName="comp" presStyleCnt="0"/>
      <dgm:spPr/>
    </dgm:pt>
    <dgm:pt modelId="{3C597CFA-4B4B-4CD0-9C45-0C7F933E1758}" type="pres">
      <dgm:prSet presAssocID="{F86CB813-3327-4BDE-BD45-010803E6B61A}" presName="rect2" presStyleLbl="node1" presStyleIdx="2" presStyleCnt="3" custScaleX="146689" custScaleY="143628" custLinFactNeighborX="49206" custLinFactNeighborY="-1115">
        <dgm:presLayoutVars>
          <dgm:bulletEnabled val="1"/>
        </dgm:presLayoutVars>
      </dgm:prSet>
      <dgm:spPr/>
      <dgm:t>
        <a:bodyPr/>
        <a:lstStyle/>
        <a:p>
          <a:endParaRPr lang="en-GB"/>
        </a:p>
      </dgm:t>
    </dgm:pt>
    <dgm:pt modelId="{C44C8DA3-5892-455C-BF04-3FE27CFDDA51}" type="pres">
      <dgm:prSet presAssocID="{F86CB813-3327-4BDE-BD45-010803E6B61A}" presName="rect1" presStyleLbl="lnNode1" presStyleIdx="2" presStyleCnt="3" custScaleX="278539" custScaleY="219284" custLinFactNeighborX="-77828" custLinFactNeighborY="-5462"/>
      <dgm:spPr>
        <a:blipFill rotWithShape="1">
          <a:blip xmlns:r="http://schemas.openxmlformats.org/officeDocument/2006/relationships" r:embed="rId3"/>
          <a:stretch>
            <a:fillRect/>
          </a:stretch>
        </a:blipFill>
      </dgm:spPr>
    </dgm:pt>
  </dgm:ptLst>
  <dgm:cxnLst>
    <dgm:cxn modelId="{3C8EB174-3787-404C-BCBB-4F3611F43243}" srcId="{88368462-5A8F-4FEB-82FC-D4F4E934BD7F}" destId="{85A3F1F3-F50C-44FF-BF63-E7CFCE33B875}" srcOrd="1" destOrd="0" parTransId="{1F6B37E6-DD3C-4A5B-8192-1D2207D1AB10}" sibTransId="{0C1C0EC7-1324-489D-BD78-98E65F44A24D}"/>
    <dgm:cxn modelId="{F3884C18-DE0A-4FA6-82A5-47F7229B4B64}" type="presOf" srcId="{85A3F1F3-F50C-44FF-BF63-E7CFCE33B875}" destId="{B5B0EF09-D8CB-4A65-B13D-9B18DE8EF5CA}" srcOrd="0" destOrd="0" presId="urn:microsoft.com/office/officeart/2008/layout/AlternatingPictureBlocks"/>
    <dgm:cxn modelId="{6E30CC82-24D3-477D-BBB0-F15033F36C15}" type="presOf" srcId="{88368462-5A8F-4FEB-82FC-D4F4E934BD7F}" destId="{AF25CEEF-B42F-490D-B74B-DE48305EA88E}" srcOrd="0" destOrd="0" presId="urn:microsoft.com/office/officeart/2008/layout/AlternatingPictureBlocks"/>
    <dgm:cxn modelId="{21274BB4-B64F-40B9-A594-60E6F515D7ED}" type="presOf" srcId="{57B4B3D4-6B7B-420B-8AAC-61B2CB1DCE85}" destId="{149CEA1F-2D37-4863-8920-5E4F47A7E70C}" srcOrd="0" destOrd="0" presId="urn:microsoft.com/office/officeart/2008/layout/AlternatingPictureBlocks"/>
    <dgm:cxn modelId="{8FBB6833-C909-4F72-9F59-58B265DD3FAB}" type="presOf" srcId="{F86CB813-3327-4BDE-BD45-010803E6B61A}" destId="{3C597CFA-4B4B-4CD0-9C45-0C7F933E1758}" srcOrd="0" destOrd="0" presId="urn:microsoft.com/office/officeart/2008/layout/AlternatingPictureBlocks"/>
    <dgm:cxn modelId="{678CD42D-45F7-4DB9-86D4-AAA14401EFF7}" srcId="{88368462-5A8F-4FEB-82FC-D4F4E934BD7F}" destId="{57B4B3D4-6B7B-420B-8AAC-61B2CB1DCE85}" srcOrd="0" destOrd="0" parTransId="{A39AE810-11FC-4F03-A0FC-F0D64B151BAD}" sibTransId="{2C47A205-5132-4010-B6A3-D638A59483C7}"/>
    <dgm:cxn modelId="{9932242A-D0B1-4C68-95CF-C38112616CA7}" srcId="{88368462-5A8F-4FEB-82FC-D4F4E934BD7F}" destId="{F86CB813-3327-4BDE-BD45-010803E6B61A}" srcOrd="2" destOrd="0" parTransId="{E6D9A96D-EF82-407D-9C96-20DD0B89AFD2}" sibTransId="{DDA0AC88-D395-44F7-B8F6-CC63CACF8A73}"/>
    <dgm:cxn modelId="{13CBB5BA-DBE3-43DB-987C-F874EA5C9E7C}" type="presParOf" srcId="{AF25CEEF-B42F-490D-B74B-DE48305EA88E}" destId="{7A60CFDF-0BB1-4DF1-A83B-280F07CCF20A}" srcOrd="0" destOrd="0" presId="urn:microsoft.com/office/officeart/2008/layout/AlternatingPictureBlocks"/>
    <dgm:cxn modelId="{9BB2CD67-7204-42AC-9A74-1F091BDA7B2A}" type="presParOf" srcId="{7A60CFDF-0BB1-4DF1-A83B-280F07CCF20A}" destId="{149CEA1F-2D37-4863-8920-5E4F47A7E70C}" srcOrd="0" destOrd="0" presId="urn:microsoft.com/office/officeart/2008/layout/AlternatingPictureBlocks"/>
    <dgm:cxn modelId="{3314DB8E-1784-44A5-BDEA-33F429535D6E}" type="presParOf" srcId="{7A60CFDF-0BB1-4DF1-A83B-280F07CCF20A}" destId="{50A603A3-6074-43DC-8A28-70542950A30E}" srcOrd="1" destOrd="0" presId="urn:microsoft.com/office/officeart/2008/layout/AlternatingPictureBlocks"/>
    <dgm:cxn modelId="{683E78F0-64F2-4F96-B643-BDC66ADF9841}" type="presParOf" srcId="{AF25CEEF-B42F-490D-B74B-DE48305EA88E}" destId="{D62E18A2-F1A3-4391-827E-4364C683C935}" srcOrd="1" destOrd="0" presId="urn:microsoft.com/office/officeart/2008/layout/AlternatingPictureBlocks"/>
    <dgm:cxn modelId="{1290CF58-5432-439F-A666-9C7E02F7555A}" type="presParOf" srcId="{AF25CEEF-B42F-490D-B74B-DE48305EA88E}" destId="{C5B04EC8-BE13-4A23-A660-3A2AC55A3BE2}" srcOrd="2" destOrd="0" presId="urn:microsoft.com/office/officeart/2008/layout/AlternatingPictureBlocks"/>
    <dgm:cxn modelId="{573A16DC-1D7F-4A49-A0CB-48EFB6F55069}" type="presParOf" srcId="{C5B04EC8-BE13-4A23-A660-3A2AC55A3BE2}" destId="{B5B0EF09-D8CB-4A65-B13D-9B18DE8EF5CA}" srcOrd="0" destOrd="0" presId="urn:microsoft.com/office/officeart/2008/layout/AlternatingPictureBlocks"/>
    <dgm:cxn modelId="{AB38E40A-55D8-424F-B019-7E29FA41F22A}" type="presParOf" srcId="{C5B04EC8-BE13-4A23-A660-3A2AC55A3BE2}" destId="{695B269C-7A8E-4F16-9C9A-8BA943948863}" srcOrd="1" destOrd="0" presId="urn:microsoft.com/office/officeart/2008/layout/AlternatingPictureBlocks"/>
    <dgm:cxn modelId="{A7B42C32-68A3-4EBF-92AF-55C28E32705D}" type="presParOf" srcId="{AF25CEEF-B42F-490D-B74B-DE48305EA88E}" destId="{4698F60C-0516-49A3-8AED-69F161BF5F29}" srcOrd="3" destOrd="0" presId="urn:microsoft.com/office/officeart/2008/layout/AlternatingPictureBlocks"/>
    <dgm:cxn modelId="{B0D41485-971A-45D5-8D13-E419F82348A2}" type="presParOf" srcId="{AF25CEEF-B42F-490D-B74B-DE48305EA88E}" destId="{7C650E0D-2141-4C58-AF97-7E81D1E82535}" srcOrd="4" destOrd="0" presId="urn:microsoft.com/office/officeart/2008/layout/AlternatingPictureBlocks"/>
    <dgm:cxn modelId="{F2474343-9C61-4132-ADC2-7183B2FBF383}" type="presParOf" srcId="{7C650E0D-2141-4C58-AF97-7E81D1E82535}" destId="{3C597CFA-4B4B-4CD0-9C45-0C7F933E1758}" srcOrd="0" destOrd="0" presId="urn:microsoft.com/office/officeart/2008/layout/AlternatingPictureBlocks"/>
    <dgm:cxn modelId="{3A0CFF94-64A0-48A4-987E-B164C9BBFBF3}" type="presParOf" srcId="{7C650E0D-2141-4C58-AF97-7E81D1E82535}" destId="{C44C8DA3-5892-455C-BF04-3FE27CFDDA51}" srcOrd="1" destOrd="0" presId="urn:microsoft.com/office/officeart/2008/layout/AlternatingPictureBlocks"/>
  </dgm:cxnLst>
  <dgm:bg/>
  <dgm:whole/>
  <dgm:extLst>
    <a:ext uri="http://schemas.microsoft.com/office/drawing/2008/diagram">
      <dsp:dataModelExt xmlns:dsp="http://schemas.microsoft.com/office/drawing/2008/diagram" relId="rId8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4FFA5FA-435B-4DCE-82DF-07B155B50907}" type="doc">
      <dgm:prSet loTypeId="urn:microsoft.com/office/officeart/2005/8/layout/hList7" loCatId="list" qsTypeId="urn:microsoft.com/office/officeart/2005/8/quickstyle/simple1" qsCatId="simple" csTypeId="urn:microsoft.com/office/officeart/2005/8/colors/accent1_2" csCatId="accent1" phldr="1"/>
      <dgm:spPr/>
    </dgm:pt>
    <dgm:pt modelId="{0D626081-A96F-42B5-9C23-EDA343729365}">
      <dgm:prSet phldrT="[Text]" custT="1"/>
      <dgm:spPr>
        <a:solidFill>
          <a:schemeClr val="accent2">
            <a:lumMod val="75000"/>
          </a:schemeClr>
        </a:solidFill>
      </dgm:spPr>
      <dgm:t>
        <a:bodyPr/>
        <a:lstStyle/>
        <a:p>
          <a:pPr algn="ctr"/>
          <a:r>
            <a:rPr lang="sk-SK" sz="900" b="1"/>
            <a:t>Tradičné vlastné zdroje (TVZ):</a:t>
          </a:r>
        </a:p>
      </dgm:t>
    </dgm:pt>
    <dgm:pt modelId="{9B9DC33A-3FD0-4D10-B08B-FB97EFE43AEE}" type="parTrans" cxnId="{B33106BC-77BE-4E33-B816-163EA5040272}">
      <dgm:prSet/>
      <dgm:spPr/>
      <dgm:t>
        <a:bodyPr/>
        <a:lstStyle/>
        <a:p>
          <a:endParaRPr lang="en-GB" sz="2000"/>
        </a:p>
      </dgm:t>
    </dgm:pt>
    <dgm:pt modelId="{135CBA29-2A47-45F0-89D3-1027404D43B7}" type="sibTrans" cxnId="{B33106BC-77BE-4E33-B816-163EA5040272}">
      <dgm:prSet/>
      <dgm:spPr/>
      <dgm:t>
        <a:bodyPr/>
        <a:lstStyle/>
        <a:p>
          <a:endParaRPr lang="en-GB" sz="2000"/>
        </a:p>
      </dgm:t>
    </dgm:pt>
    <dgm:pt modelId="{3DE99064-104E-4C18-BB44-8B1DEEE95D79}">
      <dgm:prSet phldrT="[Text]" custT="1"/>
      <dgm:spPr>
        <a:solidFill>
          <a:schemeClr val="accent5">
            <a:lumMod val="75000"/>
          </a:schemeClr>
        </a:solidFill>
      </dgm:spPr>
      <dgm:t>
        <a:bodyPr/>
        <a:lstStyle/>
        <a:p>
          <a:r>
            <a:rPr lang="sk-SK" sz="900" b="1"/>
            <a:t>Oznámené nezrovnalosti</a:t>
          </a:r>
        </a:p>
      </dgm:t>
    </dgm:pt>
    <dgm:pt modelId="{D3000A33-B50D-4FA9-80F9-7CD0B8E43A1B}" type="parTrans" cxnId="{964E85E0-884F-4123-8E09-2E994744B3B1}">
      <dgm:prSet/>
      <dgm:spPr/>
      <dgm:t>
        <a:bodyPr/>
        <a:lstStyle/>
        <a:p>
          <a:endParaRPr lang="en-GB" sz="2000"/>
        </a:p>
      </dgm:t>
    </dgm:pt>
    <dgm:pt modelId="{D376FDED-D2C4-4FD0-A30A-CFF23B76AA15}" type="sibTrans" cxnId="{964E85E0-884F-4123-8E09-2E994744B3B1}">
      <dgm:prSet/>
      <dgm:spPr/>
      <dgm:t>
        <a:bodyPr/>
        <a:lstStyle/>
        <a:p>
          <a:endParaRPr lang="en-GB" sz="2000"/>
        </a:p>
      </dgm:t>
    </dgm:pt>
    <dgm:pt modelId="{B6FF543E-D0C7-4278-9361-52FEAE34DA44}">
      <dgm:prSet phldrT="[Text]" custT="1"/>
      <dgm:spPr/>
      <dgm:t>
        <a:bodyPr/>
        <a:lstStyle/>
        <a:p>
          <a:r>
            <a:rPr lang="sk-SK" sz="900"/>
            <a:t>                                                </a:t>
          </a:r>
        </a:p>
        <a:p>
          <a:r>
            <a:rPr lang="sk-SK" sz="900" b="1"/>
            <a:t>Metódy odhaľovania:</a:t>
          </a:r>
        </a:p>
        <a:p>
          <a:r>
            <a:rPr lang="sk-SK" sz="900"/>
            <a:t>Najúspešnejšie pri odhaľovaní prípadov súvisiacich s podvodmi: </a:t>
          </a:r>
          <a:r>
            <a:rPr lang="sk-SK" sz="900" b="1"/>
            <a:t>inšpekcie vykonávané útvarmi boja proti podvodom</a:t>
          </a:r>
        </a:p>
        <a:p>
          <a:r>
            <a:rPr lang="sk-SK" sz="900" b="0"/>
            <a:t>Najúčinnejšie (z hľadiska finančných súm): </a:t>
          </a:r>
          <a:r>
            <a:rPr lang="sk-SK" sz="900" b="1"/>
            <a:t>kontroly po prepustení</a:t>
          </a:r>
        </a:p>
        <a:p>
          <a:r>
            <a:rPr lang="sk-SK" sz="900" b="1"/>
            <a:t>Kontroly po prepustení</a:t>
          </a:r>
          <a:r>
            <a:rPr lang="sk-SK" sz="900" b="0"/>
            <a:t> dôležité najmä pri boji proti organizovanému zločinu zameranom na úniky cla a novým trendom v podvodoch (podhodnotenie)</a:t>
          </a:r>
        </a:p>
      </dgm:t>
    </dgm:pt>
    <dgm:pt modelId="{4C2117EC-13C7-4337-84DF-07E5238A72A8}" type="parTrans" cxnId="{05D166D8-0CF8-49C0-AC32-D3E644E8238A}">
      <dgm:prSet/>
      <dgm:spPr/>
      <dgm:t>
        <a:bodyPr/>
        <a:lstStyle/>
        <a:p>
          <a:endParaRPr lang="en-GB" sz="2000"/>
        </a:p>
      </dgm:t>
    </dgm:pt>
    <dgm:pt modelId="{D69B2B39-9EDF-456D-A5F7-7741675D39A1}" type="sibTrans" cxnId="{05D166D8-0CF8-49C0-AC32-D3E644E8238A}">
      <dgm:prSet/>
      <dgm:spPr/>
      <dgm:t>
        <a:bodyPr/>
        <a:lstStyle/>
        <a:p>
          <a:endParaRPr lang="en-GB" sz="2000"/>
        </a:p>
      </dgm:t>
    </dgm:pt>
    <dgm:pt modelId="{EC007F74-3A39-4BBC-8F7E-596D04C2476B}">
      <dgm:prSet custT="1"/>
      <dgm:spPr/>
      <dgm:t>
        <a:bodyPr/>
        <a:lstStyle/>
        <a:p>
          <a:r>
            <a:rPr lang="sk-SK" sz="900"/>
            <a:t>4 563 nezrovnalostí oznámených ako podvodné a nepodvodné v roku 2018 (-11 %)</a:t>
          </a:r>
        </a:p>
      </dgm:t>
    </dgm:pt>
    <dgm:pt modelId="{C2780ABE-C165-4E52-A272-1F5758B9EBB5}" type="parTrans" cxnId="{4A91F286-35E7-44E3-B1EC-B09029F1029F}">
      <dgm:prSet/>
      <dgm:spPr/>
      <dgm:t>
        <a:bodyPr/>
        <a:lstStyle/>
        <a:p>
          <a:endParaRPr lang="en-US"/>
        </a:p>
      </dgm:t>
    </dgm:pt>
    <dgm:pt modelId="{F686078E-0505-41C6-95DA-A04F13CDA1EF}" type="sibTrans" cxnId="{4A91F286-35E7-44E3-B1EC-B09029F1029F}">
      <dgm:prSet/>
      <dgm:spPr/>
      <dgm:t>
        <a:bodyPr/>
        <a:lstStyle/>
        <a:p>
          <a:endParaRPr lang="en-US"/>
        </a:p>
      </dgm:t>
    </dgm:pt>
    <dgm:pt modelId="{FB94EA8E-0095-4CA7-9244-B8ED1EE15F7B}">
      <dgm:prSet custT="1"/>
      <dgm:spPr/>
      <dgm:t>
        <a:bodyPr/>
        <a:lstStyle/>
        <a:p>
          <a:r>
            <a:rPr lang="sk-SK" sz="900" b="1"/>
            <a:t>Hlavné ukazovatele:</a:t>
          </a:r>
        </a:p>
      </dgm:t>
    </dgm:pt>
    <dgm:pt modelId="{855B3562-A1DB-4AE0-B6F1-86E94B61930D}" type="parTrans" cxnId="{2DDDC575-0915-44BA-A165-0AEB1D3B95D4}">
      <dgm:prSet/>
      <dgm:spPr/>
      <dgm:t>
        <a:bodyPr/>
        <a:lstStyle/>
        <a:p>
          <a:endParaRPr lang="en-US"/>
        </a:p>
      </dgm:t>
    </dgm:pt>
    <dgm:pt modelId="{E2C3B155-A3B1-4CFD-B8B9-A3FA4B9071AD}" type="sibTrans" cxnId="{2DDDC575-0915-44BA-A165-0AEB1D3B95D4}">
      <dgm:prSet/>
      <dgm:spPr/>
      <dgm:t>
        <a:bodyPr/>
        <a:lstStyle/>
        <a:p>
          <a:endParaRPr lang="en-US"/>
        </a:p>
      </dgm:t>
    </dgm:pt>
    <dgm:pt modelId="{247FDB4C-D7E4-42DB-AEB9-317178052878}">
      <dgm:prSet custT="1"/>
      <dgm:spPr/>
      <dgm:t>
        <a:bodyPr/>
        <a:lstStyle/>
        <a:p>
          <a:r>
            <a:rPr lang="sk-SK" sz="900" b="1"/>
            <a:t> Úroveň frekvencie podvodov</a:t>
          </a:r>
          <a:r>
            <a:rPr lang="sk-SK" sz="900"/>
            <a:t> (10 %)</a:t>
          </a:r>
        </a:p>
      </dgm:t>
    </dgm:pt>
    <dgm:pt modelId="{D4106FDB-E4CC-4082-A457-8102D6C88845}" type="parTrans" cxnId="{DB5D8D49-612E-4287-A691-2AE48300D887}">
      <dgm:prSet/>
      <dgm:spPr/>
      <dgm:t>
        <a:bodyPr/>
        <a:lstStyle/>
        <a:p>
          <a:endParaRPr lang="en-US"/>
        </a:p>
      </dgm:t>
    </dgm:pt>
    <dgm:pt modelId="{654590DA-6351-4CA2-B3C7-1E1798C2083C}" type="sibTrans" cxnId="{DB5D8D49-612E-4287-A691-2AE48300D887}">
      <dgm:prSet/>
      <dgm:spPr/>
      <dgm:t>
        <a:bodyPr/>
        <a:lstStyle/>
        <a:p>
          <a:endParaRPr lang="en-US"/>
        </a:p>
      </dgm:t>
    </dgm:pt>
    <dgm:pt modelId="{18B7D6F2-003E-4344-BBFB-8E1EF484AA16}">
      <dgm:prSet custT="1"/>
      <dgm:spPr/>
      <dgm:t>
        <a:bodyPr/>
        <a:lstStyle/>
        <a:p>
          <a:r>
            <a:rPr lang="sk-SK" sz="900" b="1"/>
            <a:t> Miera odhaľovania podvodov</a:t>
          </a:r>
          <a:r>
            <a:rPr lang="sk-SK" sz="900"/>
            <a:t> (0,65 %), </a:t>
          </a:r>
          <a:r>
            <a:rPr lang="sk-SK" sz="900" b="1"/>
            <a:t>Miera odhaľovania nezrovnalostí</a:t>
          </a:r>
          <a:r>
            <a:rPr lang="sk-SK" sz="900"/>
            <a:t> (1,78 %)</a:t>
          </a:r>
        </a:p>
      </dgm:t>
    </dgm:pt>
    <dgm:pt modelId="{4694CD9C-29F8-4B1D-B0AC-FCC50AC1CBDB}" type="parTrans" cxnId="{BD7138D4-C653-4387-9C68-0CDBB5ECA572}">
      <dgm:prSet/>
      <dgm:spPr/>
      <dgm:t>
        <a:bodyPr/>
        <a:lstStyle/>
        <a:p>
          <a:endParaRPr lang="en-US"/>
        </a:p>
      </dgm:t>
    </dgm:pt>
    <dgm:pt modelId="{63A7ED84-181C-4724-82B0-58EC60BC30DB}" type="sibTrans" cxnId="{BD7138D4-C653-4387-9C68-0CDBB5ECA572}">
      <dgm:prSet/>
      <dgm:spPr/>
      <dgm:t>
        <a:bodyPr/>
        <a:lstStyle/>
        <a:p>
          <a:endParaRPr lang="en-US"/>
        </a:p>
      </dgm:t>
    </dgm:pt>
    <dgm:pt modelId="{37856E06-961D-4904-912A-E535E38FC545}">
      <dgm:prSet custT="1"/>
      <dgm:spPr/>
      <dgm:t>
        <a:bodyPr/>
        <a:lstStyle/>
        <a:p>
          <a:r>
            <a:rPr lang="sk-SK" sz="900"/>
            <a:t>614,9 milióna EUR (+22 %)</a:t>
          </a:r>
        </a:p>
      </dgm:t>
    </dgm:pt>
    <dgm:pt modelId="{79A04205-3E17-454C-AC0E-5776009D6D07}" type="parTrans" cxnId="{8F7883BB-E4C0-41E7-B594-62624DCAA00D}">
      <dgm:prSet/>
      <dgm:spPr/>
      <dgm:t>
        <a:bodyPr/>
        <a:lstStyle/>
        <a:p>
          <a:endParaRPr lang="en-US"/>
        </a:p>
      </dgm:t>
    </dgm:pt>
    <dgm:pt modelId="{8E2524DB-2F40-44FB-94E1-76F67722829F}" type="sibTrans" cxnId="{8F7883BB-E4C0-41E7-B594-62624DCAA00D}">
      <dgm:prSet/>
      <dgm:spPr/>
      <dgm:t>
        <a:bodyPr/>
        <a:lstStyle/>
        <a:p>
          <a:endParaRPr lang="en-US"/>
        </a:p>
      </dgm:t>
    </dgm:pt>
    <dgm:pt modelId="{5C175268-0171-457D-9E88-A267925B3CF8}">
      <dgm:prSet phldrT="[Text]" custT="1"/>
      <dgm:spPr>
        <a:solidFill>
          <a:schemeClr val="accent2">
            <a:lumMod val="75000"/>
          </a:schemeClr>
        </a:solidFill>
      </dgm:spPr>
      <dgm:t>
        <a:bodyPr/>
        <a:lstStyle/>
        <a:p>
          <a:pPr algn="l"/>
          <a:r>
            <a:rPr lang="sk-SK" sz="900"/>
            <a:t>clá (prevažne)</a:t>
          </a:r>
        </a:p>
      </dgm:t>
    </dgm:pt>
    <dgm:pt modelId="{BFB126BB-1256-45B9-9FD5-88214B19E64D}" type="parTrans" cxnId="{5A38E691-A180-4535-A974-650FE69139A1}">
      <dgm:prSet/>
      <dgm:spPr/>
      <dgm:t>
        <a:bodyPr/>
        <a:lstStyle/>
        <a:p>
          <a:endParaRPr lang="en-US"/>
        </a:p>
      </dgm:t>
    </dgm:pt>
    <dgm:pt modelId="{8257D0D2-FEF1-49D3-B898-96572D598801}" type="sibTrans" cxnId="{5A38E691-A180-4535-A974-650FE69139A1}">
      <dgm:prSet/>
      <dgm:spPr/>
      <dgm:t>
        <a:bodyPr/>
        <a:lstStyle/>
        <a:p>
          <a:endParaRPr lang="en-US"/>
        </a:p>
      </dgm:t>
    </dgm:pt>
    <dgm:pt modelId="{64F44AE2-5B26-4B53-86D0-5F58907169FE}">
      <dgm:prSet phldrT="[Text]" custT="1"/>
      <dgm:spPr>
        <a:solidFill>
          <a:schemeClr val="accent2">
            <a:lumMod val="75000"/>
          </a:schemeClr>
        </a:solidFill>
      </dgm:spPr>
      <dgm:t>
        <a:bodyPr/>
        <a:lstStyle/>
        <a:p>
          <a:pPr algn="l"/>
          <a:r>
            <a:rPr lang="sk-SK" sz="900"/>
            <a:t> odvody z produkcie cukru</a:t>
          </a:r>
        </a:p>
      </dgm:t>
    </dgm:pt>
    <dgm:pt modelId="{7FE34241-13EA-4581-89FC-53EC3ECAE439}" type="parTrans" cxnId="{6ECDD9E5-8458-44B3-B7CC-D2D8B4F1E42D}">
      <dgm:prSet/>
      <dgm:spPr/>
      <dgm:t>
        <a:bodyPr/>
        <a:lstStyle/>
        <a:p>
          <a:endParaRPr lang="en-US"/>
        </a:p>
      </dgm:t>
    </dgm:pt>
    <dgm:pt modelId="{2C7CF1B1-EDAE-41B2-8BE5-DF3A1DE6A8AD}" type="sibTrans" cxnId="{6ECDD9E5-8458-44B3-B7CC-D2D8B4F1E42D}">
      <dgm:prSet/>
      <dgm:spPr/>
      <dgm:t>
        <a:bodyPr/>
        <a:lstStyle/>
        <a:p>
          <a:endParaRPr lang="en-US"/>
        </a:p>
      </dgm:t>
    </dgm:pt>
    <dgm:pt modelId="{5F1A3153-6218-4D18-865D-3EAE3328A5E8}" type="pres">
      <dgm:prSet presAssocID="{A4FFA5FA-435B-4DCE-82DF-07B155B50907}" presName="Name0" presStyleCnt="0">
        <dgm:presLayoutVars>
          <dgm:dir/>
          <dgm:resizeHandles val="exact"/>
        </dgm:presLayoutVars>
      </dgm:prSet>
      <dgm:spPr/>
    </dgm:pt>
    <dgm:pt modelId="{AA2C6034-B509-4CFC-B463-FEA54E8AFC38}" type="pres">
      <dgm:prSet presAssocID="{A4FFA5FA-435B-4DCE-82DF-07B155B50907}" presName="fgShape" presStyleLbl="fgShp" presStyleIdx="0" presStyleCnt="1" custScaleY="26630" custLinFactNeighborX="-132" custLinFactNeighborY="56905"/>
      <dgm:spPr/>
    </dgm:pt>
    <dgm:pt modelId="{7DAEF5C3-3BDD-4301-ABAB-4990D32E1956}" type="pres">
      <dgm:prSet presAssocID="{A4FFA5FA-435B-4DCE-82DF-07B155B50907}" presName="linComp" presStyleCnt="0"/>
      <dgm:spPr/>
    </dgm:pt>
    <dgm:pt modelId="{8D5DD5EE-3388-438E-8668-EE258F9317B8}" type="pres">
      <dgm:prSet presAssocID="{0D626081-A96F-42B5-9C23-EDA343729365}" presName="compNode" presStyleCnt="0"/>
      <dgm:spPr/>
    </dgm:pt>
    <dgm:pt modelId="{ED182C29-C797-49DF-9E71-F26DDEAFEE88}" type="pres">
      <dgm:prSet presAssocID="{0D626081-A96F-42B5-9C23-EDA343729365}" presName="bkgdShape" presStyleLbl="node1" presStyleIdx="0" presStyleCnt="3"/>
      <dgm:spPr/>
      <dgm:t>
        <a:bodyPr/>
        <a:lstStyle/>
        <a:p>
          <a:endParaRPr lang="en-US"/>
        </a:p>
      </dgm:t>
    </dgm:pt>
    <dgm:pt modelId="{C022E4C8-6B3C-421E-AAB0-3DCFBFBF0834}" type="pres">
      <dgm:prSet presAssocID="{0D626081-A96F-42B5-9C23-EDA343729365}" presName="nodeTx" presStyleLbl="node1" presStyleIdx="0" presStyleCnt="3">
        <dgm:presLayoutVars>
          <dgm:bulletEnabled val="1"/>
        </dgm:presLayoutVars>
      </dgm:prSet>
      <dgm:spPr/>
      <dgm:t>
        <a:bodyPr/>
        <a:lstStyle/>
        <a:p>
          <a:endParaRPr lang="en-US"/>
        </a:p>
      </dgm:t>
    </dgm:pt>
    <dgm:pt modelId="{4BD47044-7A40-4282-92A0-4A9C1481593B}" type="pres">
      <dgm:prSet presAssocID="{0D626081-A96F-42B5-9C23-EDA343729365}" presName="invisiNode" presStyleLbl="node1" presStyleIdx="0" presStyleCnt="3"/>
      <dgm:spPr/>
    </dgm:pt>
    <dgm:pt modelId="{7C291FC7-93CB-4767-8502-7D689557C1F1}" type="pres">
      <dgm:prSet presAssocID="{0D626081-A96F-42B5-9C23-EDA343729365}" presName="imagNode" presStyleLbl="fgImgPlace1" presStyleIdx="0" presStyleCnt="3"/>
      <dgm:spPr>
        <a:blipFill rotWithShape="1">
          <a:blip xmlns:r="http://schemas.openxmlformats.org/officeDocument/2006/relationships" r:embed="rId1"/>
          <a:stretch>
            <a:fillRect/>
          </a:stretch>
        </a:blipFill>
      </dgm:spPr>
    </dgm:pt>
    <dgm:pt modelId="{C4905C66-E77F-49EF-BA39-8C77DF78286A}" type="pres">
      <dgm:prSet presAssocID="{135CBA29-2A47-45F0-89D3-1027404D43B7}" presName="sibTrans" presStyleLbl="sibTrans2D1" presStyleIdx="0" presStyleCnt="0"/>
      <dgm:spPr/>
      <dgm:t>
        <a:bodyPr/>
        <a:lstStyle/>
        <a:p>
          <a:endParaRPr lang="en-GB"/>
        </a:p>
      </dgm:t>
    </dgm:pt>
    <dgm:pt modelId="{CCE353A4-4C45-4610-AA92-4199DAB14094}" type="pres">
      <dgm:prSet presAssocID="{3DE99064-104E-4C18-BB44-8B1DEEE95D79}" presName="compNode" presStyleCnt="0"/>
      <dgm:spPr/>
    </dgm:pt>
    <dgm:pt modelId="{19A4A5B6-3226-43E1-A15E-EBFB637E791C}" type="pres">
      <dgm:prSet presAssocID="{3DE99064-104E-4C18-BB44-8B1DEEE95D79}" presName="bkgdShape" presStyleLbl="node1" presStyleIdx="1" presStyleCnt="3"/>
      <dgm:spPr/>
      <dgm:t>
        <a:bodyPr/>
        <a:lstStyle/>
        <a:p>
          <a:endParaRPr lang="en-US"/>
        </a:p>
      </dgm:t>
    </dgm:pt>
    <dgm:pt modelId="{1FDA75AC-830A-4BDB-80AB-F0F7EE332822}" type="pres">
      <dgm:prSet presAssocID="{3DE99064-104E-4C18-BB44-8B1DEEE95D79}" presName="nodeTx" presStyleLbl="node1" presStyleIdx="1" presStyleCnt="3">
        <dgm:presLayoutVars>
          <dgm:bulletEnabled val="1"/>
        </dgm:presLayoutVars>
      </dgm:prSet>
      <dgm:spPr/>
      <dgm:t>
        <a:bodyPr/>
        <a:lstStyle/>
        <a:p>
          <a:endParaRPr lang="en-US"/>
        </a:p>
      </dgm:t>
    </dgm:pt>
    <dgm:pt modelId="{3BD3D2F2-C192-4AE2-9EFA-28147C9B2626}" type="pres">
      <dgm:prSet presAssocID="{3DE99064-104E-4C18-BB44-8B1DEEE95D79}" presName="invisiNode" presStyleLbl="node1" presStyleIdx="1" presStyleCnt="3"/>
      <dgm:spPr/>
    </dgm:pt>
    <dgm:pt modelId="{D39BF142-39AE-4992-921F-6B0C30D1F527}" type="pres">
      <dgm:prSet presAssocID="{3DE99064-104E-4C18-BB44-8B1DEEE95D79}" presName="imagNode" presStyleLbl="fgImgPlace1" presStyleIdx="1" presStyleCnt="3"/>
      <dgm:spPr>
        <a:blipFill rotWithShape="1">
          <a:blip xmlns:r="http://schemas.openxmlformats.org/officeDocument/2006/relationships" r:embed="rId2"/>
          <a:stretch>
            <a:fillRect/>
          </a:stretch>
        </a:blipFill>
      </dgm:spPr>
    </dgm:pt>
    <dgm:pt modelId="{96919D2D-B3A1-4DD2-A972-1F976BF73223}" type="pres">
      <dgm:prSet presAssocID="{D376FDED-D2C4-4FD0-A30A-CFF23B76AA15}" presName="sibTrans" presStyleLbl="sibTrans2D1" presStyleIdx="0" presStyleCnt="0"/>
      <dgm:spPr/>
      <dgm:t>
        <a:bodyPr/>
        <a:lstStyle/>
        <a:p>
          <a:endParaRPr lang="en-GB"/>
        </a:p>
      </dgm:t>
    </dgm:pt>
    <dgm:pt modelId="{6CF93F28-A7A0-45ED-823E-FE6ADF2206B2}" type="pres">
      <dgm:prSet presAssocID="{B6FF543E-D0C7-4278-9361-52FEAE34DA44}" presName="compNode" presStyleCnt="0"/>
      <dgm:spPr/>
    </dgm:pt>
    <dgm:pt modelId="{1C91D4E5-9E61-4FC3-A762-02D32A1DE404}" type="pres">
      <dgm:prSet presAssocID="{B6FF543E-D0C7-4278-9361-52FEAE34DA44}" presName="bkgdShape" presStyleLbl="node1" presStyleIdx="2" presStyleCnt="3"/>
      <dgm:spPr/>
      <dgm:t>
        <a:bodyPr/>
        <a:lstStyle/>
        <a:p>
          <a:endParaRPr lang="en-US"/>
        </a:p>
      </dgm:t>
    </dgm:pt>
    <dgm:pt modelId="{E4EC3935-DFA4-4C62-86D9-E46B3D1D2623}" type="pres">
      <dgm:prSet presAssocID="{B6FF543E-D0C7-4278-9361-52FEAE34DA44}" presName="nodeTx" presStyleLbl="node1" presStyleIdx="2" presStyleCnt="3">
        <dgm:presLayoutVars>
          <dgm:bulletEnabled val="1"/>
        </dgm:presLayoutVars>
      </dgm:prSet>
      <dgm:spPr/>
      <dgm:t>
        <a:bodyPr/>
        <a:lstStyle/>
        <a:p>
          <a:endParaRPr lang="en-US"/>
        </a:p>
      </dgm:t>
    </dgm:pt>
    <dgm:pt modelId="{FC44FB73-2084-4C26-9236-B6A63C630323}" type="pres">
      <dgm:prSet presAssocID="{B6FF543E-D0C7-4278-9361-52FEAE34DA44}" presName="invisiNode" presStyleLbl="node1" presStyleIdx="2" presStyleCnt="3"/>
      <dgm:spPr/>
    </dgm:pt>
    <dgm:pt modelId="{215AA68A-18CD-43F1-BC6D-35E5B638AE85}" type="pres">
      <dgm:prSet presAssocID="{B6FF543E-D0C7-4278-9361-52FEAE34DA44}" presName="imagNode" presStyleLbl="fgImgPlace1" presStyleIdx="2" presStyleCnt="3" custScaleX="99834" custScaleY="87564" custLinFactNeighborX="-3006" custLinFactNeighborY="-10167"/>
      <dgm:spPr>
        <a:blipFill rotWithShape="1">
          <a:blip xmlns:r="http://schemas.openxmlformats.org/officeDocument/2006/relationships" r:embed="rId3"/>
          <a:stretch>
            <a:fillRect/>
          </a:stretch>
        </a:blipFill>
      </dgm:spPr>
    </dgm:pt>
  </dgm:ptLst>
  <dgm:cxnLst>
    <dgm:cxn modelId="{889D34C5-24EF-4B38-A3AE-4E20828FF7E4}" type="presOf" srcId="{FB94EA8E-0095-4CA7-9244-B8ED1EE15F7B}" destId="{19A4A5B6-3226-43E1-A15E-EBFB637E791C}" srcOrd="0" destOrd="3" presId="urn:microsoft.com/office/officeart/2005/8/layout/hList7"/>
    <dgm:cxn modelId="{4A91F286-35E7-44E3-B1EC-B09029F1029F}" srcId="{3DE99064-104E-4C18-BB44-8B1DEEE95D79}" destId="{EC007F74-3A39-4BBC-8F7E-596D04C2476B}" srcOrd="0" destOrd="0" parTransId="{C2780ABE-C165-4E52-A272-1F5758B9EBB5}" sibTransId="{F686078E-0505-41C6-95DA-A04F13CDA1EF}"/>
    <dgm:cxn modelId="{2DDDC575-0915-44BA-A165-0AEB1D3B95D4}" srcId="{3DE99064-104E-4C18-BB44-8B1DEEE95D79}" destId="{FB94EA8E-0095-4CA7-9244-B8ED1EE15F7B}" srcOrd="2" destOrd="0" parTransId="{855B3562-A1DB-4AE0-B6F1-86E94B61930D}" sibTransId="{E2C3B155-A3B1-4CFD-B8B9-A3FA4B9071AD}"/>
    <dgm:cxn modelId="{BD7138D4-C653-4387-9C68-0CDBB5ECA572}" srcId="{FB94EA8E-0095-4CA7-9244-B8ED1EE15F7B}" destId="{18B7D6F2-003E-4344-BBFB-8E1EF484AA16}" srcOrd="1" destOrd="0" parTransId="{4694CD9C-29F8-4B1D-B0AC-FCC50AC1CBDB}" sibTransId="{63A7ED84-181C-4724-82B0-58EC60BC30DB}"/>
    <dgm:cxn modelId="{CB9A9E93-D366-45E5-8370-E1104287731A}" type="presOf" srcId="{64F44AE2-5B26-4B53-86D0-5F58907169FE}" destId="{C022E4C8-6B3C-421E-AAB0-3DCFBFBF0834}" srcOrd="1" destOrd="2" presId="urn:microsoft.com/office/officeart/2005/8/layout/hList7"/>
    <dgm:cxn modelId="{C830BF8F-E961-48B9-8AEE-F973CD9D733C}" type="presOf" srcId="{247FDB4C-D7E4-42DB-AEB9-317178052878}" destId="{1FDA75AC-830A-4BDB-80AB-F0F7EE332822}" srcOrd="1" destOrd="4" presId="urn:microsoft.com/office/officeart/2005/8/layout/hList7"/>
    <dgm:cxn modelId="{85B2143E-DD4D-4AB3-823A-5C1C052F4AC6}" type="presOf" srcId="{3DE99064-104E-4C18-BB44-8B1DEEE95D79}" destId="{19A4A5B6-3226-43E1-A15E-EBFB637E791C}" srcOrd="0" destOrd="0" presId="urn:microsoft.com/office/officeart/2005/8/layout/hList7"/>
    <dgm:cxn modelId="{6ECDD9E5-8458-44B3-B7CC-D2D8B4F1E42D}" srcId="{0D626081-A96F-42B5-9C23-EDA343729365}" destId="{64F44AE2-5B26-4B53-86D0-5F58907169FE}" srcOrd="1" destOrd="0" parTransId="{7FE34241-13EA-4581-89FC-53EC3ECAE439}" sibTransId="{2C7CF1B1-EDAE-41B2-8BE5-DF3A1DE6A8AD}"/>
    <dgm:cxn modelId="{5A38E691-A180-4535-A974-650FE69139A1}" srcId="{0D626081-A96F-42B5-9C23-EDA343729365}" destId="{5C175268-0171-457D-9E88-A267925B3CF8}" srcOrd="0" destOrd="0" parTransId="{BFB126BB-1256-45B9-9FD5-88214B19E64D}" sibTransId="{8257D0D2-FEF1-49D3-B898-96572D598801}"/>
    <dgm:cxn modelId="{DB5D8D49-612E-4287-A691-2AE48300D887}" srcId="{FB94EA8E-0095-4CA7-9244-B8ED1EE15F7B}" destId="{247FDB4C-D7E4-42DB-AEB9-317178052878}" srcOrd="0" destOrd="0" parTransId="{D4106FDB-E4CC-4082-A457-8102D6C88845}" sibTransId="{654590DA-6351-4CA2-B3C7-1E1798C2083C}"/>
    <dgm:cxn modelId="{6A88BF11-09C5-4BE9-8A45-758E1DBF55B3}" type="presOf" srcId="{EC007F74-3A39-4BBC-8F7E-596D04C2476B}" destId="{1FDA75AC-830A-4BDB-80AB-F0F7EE332822}" srcOrd="1" destOrd="1" presId="urn:microsoft.com/office/officeart/2005/8/layout/hList7"/>
    <dgm:cxn modelId="{47DD3DD3-FA92-4ED0-9C0A-692E742CFCAE}" type="presOf" srcId="{0D626081-A96F-42B5-9C23-EDA343729365}" destId="{C022E4C8-6B3C-421E-AAB0-3DCFBFBF0834}" srcOrd="1" destOrd="0" presId="urn:microsoft.com/office/officeart/2005/8/layout/hList7"/>
    <dgm:cxn modelId="{146723B0-F324-4846-979B-1C2801A934A1}" type="presOf" srcId="{FB94EA8E-0095-4CA7-9244-B8ED1EE15F7B}" destId="{1FDA75AC-830A-4BDB-80AB-F0F7EE332822}" srcOrd="1" destOrd="3" presId="urn:microsoft.com/office/officeart/2005/8/layout/hList7"/>
    <dgm:cxn modelId="{94BF662E-F37B-4D69-8732-8D1C650DC0EA}" type="presOf" srcId="{A4FFA5FA-435B-4DCE-82DF-07B155B50907}" destId="{5F1A3153-6218-4D18-865D-3EAE3328A5E8}" srcOrd="0" destOrd="0" presId="urn:microsoft.com/office/officeart/2005/8/layout/hList7"/>
    <dgm:cxn modelId="{394B4F83-9C78-4731-84F6-4BDD1C3526EB}" type="presOf" srcId="{18B7D6F2-003E-4344-BBFB-8E1EF484AA16}" destId="{19A4A5B6-3226-43E1-A15E-EBFB637E791C}" srcOrd="0" destOrd="5" presId="urn:microsoft.com/office/officeart/2005/8/layout/hList7"/>
    <dgm:cxn modelId="{8EB22CA5-746E-4BE5-A0C0-430631D4AFDF}" type="presOf" srcId="{0D626081-A96F-42B5-9C23-EDA343729365}" destId="{ED182C29-C797-49DF-9E71-F26DDEAFEE88}" srcOrd="0" destOrd="0" presId="urn:microsoft.com/office/officeart/2005/8/layout/hList7"/>
    <dgm:cxn modelId="{964E85E0-884F-4123-8E09-2E994744B3B1}" srcId="{A4FFA5FA-435B-4DCE-82DF-07B155B50907}" destId="{3DE99064-104E-4C18-BB44-8B1DEEE95D79}" srcOrd="1" destOrd="0" parTransId="{D3000A33-B50D-4FA9-80F9-7CD0B8E43A1B}" sibTransId="{D376FDED-D2C4-4FD0-A30A-CFF23B76AA15}"/>
    <dgm:cxn modelId="{AEF00F56-4F27-4A05-815F-31CAB9F671EC}" type="presOf" srcId="{D376FDED-D2C4-4FD0-A30A-CFF23B76AA15}" destId="{96919D2D-B3A1-4DD2-A972-1F976BF73223}" srcOrd="0" destOrd="0" presId="urn:microsoft.com/office/officeart/2005/8/layout/hList7"/>
    <dgm:cxn modelId="{C79F7259-E25E-400D-8EE0-D10AB0AECDA2}" type="presOf" srcId="{B6FF543E-D0C7-4278-9361-52FEAE34DA44}" destId="{E4EC3935-DFA4-4C62-86D9-E46B3D1D2623}" srcOrd="1" destOrd="0" presId="urn:microsoft.com/office/officeart/2005/8/layout/hList7"/>
    <dgm:cxn modelId="{B33106BC-77BE-4E33-B816-163EA5040272}" srcId="{A4FFA5FA-435B-4DCE-82DF-07B155B50907}" destId="{0D626081-A96F-42B5-9C23-EDA343729365}" srcOrd="0" destOrd="0" parTransId="{9B9DC33A-3FD0-4D10-B08B-FB97EFE43AEE}" sibTransId="{135CBA29-2A47-45F0-89D3-1027404D43B7}"/>
    <dgm:cxn modelId="{05D166D8-0CF8-49C0-AC32-D3E644E8238A}" srcId="{A4FFA5FA-435B-4DCE-82DF-07B155B50907}" destId="{B6FF543E-D0C7-4278-9361-52FEAE34DA44}" srcOrd="2" destOrd="0" parTransId="{4C2117EC-13C7-4337-84DF-07E5238A72A8}" sibTransId="{D69B2B39-9EDF-456D-A5F7-7741675D39A1}"/>
    <dgm:cxn modelId="{F23B3D74-0B3B-4D7B-8D9D-664DFB71FB0C}" type="presOf" srcId="{B6FF543E-D0C7-4278-9361-52FEAE34DA44}" destId="{1C91D4E5-9E61-4FC3-A762-02D32A1DE404}" srcOrd="0" destOrd="0" presId="urn:microsoft.com/office/officeart/2005/8/layout/hList7"/>
    <dgm:cxn modelId="{B0514080-39ED-4C4B-BE6F-A363807B7B2F}" type="presOf" srcId="{64F44AE2-5B26-4B53-86D0-5F58907169FE}" destId="{ED182C29-C797-49DF-9E71-F26DDEAFEE88}" srcOrd="0" destOrd="2" presId="urn:microsoft.com/office/officeart/2005/8/layout/hList7"/>
    <dgm:cxn modelId="{F48BD90F-60F3-43E9-A7EE-C4024E334671}" type="presOf" srcId="{37856E06-961D-4904-912A-E535E38FC545}" destId="{19A4A5B6-3226-43E1-A15E-EBFB637E791C}" srcOrd="0" destOrd="2" presId="urn:microsoft.com/office/officeart/2005/8/layout/hList7"/>
    <dgm:cxn modelId="{29EDC61D-EF1B-45AA-B656-2136497B47B2}" type="presOf" srcId="{EC007F74-3A39-4BBC-8F7E-596D04C2476B}" destId="{19A4A5B6-3226-43E1-A15E-EBFB637E791C}" srcOrd="0" destOrd="1" presId="urn:microsoft.com/office/officeart/2005/8/layout/hList7"/>
    <dgm:cxn modelId="{E298E16D-459F-4FB3-92C7-F9C13DB007C5}" type="presOf" srcId="{135CBA29-2A47-45F0-89D3-1027404D43B7}" destId="{C4905C66-E77F-49EF-BA39-8C77DF78286A}" srcOrd="0" destOrd="0" presId="urn:microsoft.com/office/officeart/2005/8/layout/hList7"/>
    <dgm:cxn modelId="{3B44FA1A-45DA-487B-A573-B733E30BF1F5}" type="presOf" srcId="{37856E06-961D-4904-912A-E535E38FC545}" destId="{1FDA75AC-830A-4BDB-80AB-F0F7EE332822}" srcOrd="1" destOrd="2" presId="urn:microsoft.com/office/officeart/2005/8/layout/hList7"/>
    <dgm:cxn modelId="{8F7883BB-E4C0-41E7-B594-62624DCAA00D}" srcId="{3DE99064-104E-4C18-BB44-8B1DEEE95D79}" destId="{37856E06-961D-4904-912A-E535E38FC545}" srcOrd="1" destOrd="0" parTransId="{79A04205-3E17-454C-AC0E-5776009D6D07}" sibTransId="{8E2524DB-2F40-44FB-94E1-76F67722829F}"/>
    <dgm:cxn modelId="{9B1994FD-D6CD-45A1-BE1A-2AE5C1D94885}" type="presOf" srcId="{247FDB4C-D7E4-42DB-AEB9-317178052878}" destId="{19A4A5B6-3226-43E1-A15E-EBFB637E791C}" srcOrd="0" destOrd="4" presId="urn:microsoft.com/office/officeart/2005/8/layout/hList7"/>
    <dgm:cxn modelId="{26ADADC4-5673-4F38-98B4-B5ADDF7667D3}" type="presOf" srcId="{18B7D6F2-003E-4344-BBFB-8E1EF484AA16}" destId="{1FDA75AC-830A-4BDB-80AB-F0F7EE332822}" srcOrd="1" destOrd="5" presId="urn:microsoft.com/office/officeart/2005/8/layout/hList7"/>
    <dgm:cxn modelId="{45635086-2292-4010-871D-3B03ACE89017}" type="presOf" srcId="{3DE99064-104E-4C18-BB44-8B1DEEE95D79}" destId="{1FDA75AC-830A-4BDB-80AB-F0F7EE332822}" srcOrd="1" destOrd="0" presId="urn:microsoft.com/office/officeart/2005/8/layout/hList7"/>
    <dgm:cxn modelId="{9C3BC8CB-21B7-41F1-88EA-61C42CE574D8}" type="presOf" srcId="{5C175268-0171-457D-9E88-A267925B3CF8}" destId="{C022E4C8-6B3C-421E-AAB0-3DCFBFBF0834}" srcOrd="1" destOrd="1" presId="urn:microsoft.com/office/officeart/2005/8/layout/hList7"/>
    <dgm:cxn modelId="{F0BEC0BA-A1EE-4657-9667-769701072F72}" type="presOf" srcId="{5C175268-0171-457D-9E88-A267925B3CF8}" destId="{ED182C29-C797-49DF-9E71-F26DDEAFEE88}" srcOrd="0" destOrd="1" presId="urn:microsoft.com/office/officeart/2005/8/layout/hList7"/>
    <dgm:cxn modelId="{9B98BF3F-5179-42C2-8EA1-B2EB51A45C3E}" type="presParOf" srcId="{5F1A3153-6218-4D18-865D-3EAE3328A5E8}" destId="{AA2C6034-B509-4CFC-B463-FEA54E8AFC38}" srcOrd="0" destOrd="0" presId="urn:microsoft.com/office/officeart/2005/8/layout/hList7"/>
    <dgm:cxn modelId="{E470B181-B6D8-4C21-84B2-8D52E91D5579}" type="presParOf" srcId="{5F1A3153-6218-4D18-865D-3EAE3328A5E8}" destId="{7DAEF5C3-3BDD-4301-ABAB-4990D32E1956}" srcOrd="1" destOrd="0" presId="urn:microsoft.com/office/officeart/2005/8/layout/hList7"/>
    <dgm:cxn modelId="{45AA311D-B88A-4967-9BC3-8336A98C916E}" type="presParOf" srcId="{7DAEF5C3-3BDD-4301-ABAB-4990D32E1956}" destId="{8D5DD5EE-3388-438E-8668-EE258F9317B8}" srcOrd="0" destOrd="0" presId="urn:microsoft.com/office/officeart/2005/8/layout/hList7"/>
    <dgm:cxn modelId="{541F1A79-0A4C-4D48-BD63-C6061CD70FAF}" type="presParOf" srcId="{8D5DD5EE-3388-438E-8668-EE258F9317B8}" destId="{ED182C29-C797-49DF-9E71-F26DDEAFEE88}" srcOrd="0" destOrd="0" presId="urn:microsoft.com/office/officeart/2005/8/layout/hList7"/>
    <dgm:cxn modelId="{5940CEDF-9EEA-4780-ABCC-0529FC79BA78}" type="presParOf" srcId="{8D5DD5EE-3388-438E-8668-EE258F9317B8}" destId="{C022E4C8-6B3C-421E-AAB0-3DCFBFBF0834}" srcOrd="1" destOrd="0" presId="urn:microsoft.com/office/officeart/2005/8/layout/hList7"/>
    <dgm:cxn modelId="{6FE20725-93AB-4202-8562-DB2857FE31A5}" type="presParOf" srcId="{8D5DD5EE-3388-438E-8668-EE258F9317B8}" destId="{4BD47044-7A40-4282-92A0-4A9C1481593B}" srcOrd="2" destOrd="0" presId="urn:microsoft.com/office/officeart/2005/8/layout/hList7"/>
    <dgm:cxn modelId="{CE9D087D-A035-4355-B959-3BD3BC579191}" type="presParOf" srcId="{8D5DD5EE-3388-438E-8668-EE258F9317B8}" destId="{7C291FC7-93CB-4767-8502-7D689557C1F1}" srcOrd="3" destOrd="0" presId="urn:microsoft.com/office/officeart/2005/8/layout/hList7"/>
    <dgm:cxn modelId="{C0596C79-88CB-4F11-9235-1254EA9D7D6D}" type="presParOf" srcId="{7DAEF5C3-3BDD-4301-ABAB-4990D32E1956}" destId="{C4905C66-E77F-49EF-BA39-8C77DF78286A}" srcOrd="1" destOrd="0" presId="urn:microsoft.com/office/officeart/2005/8/layout/hList7"/>
    <dgm:cxn modelId="{60836558-3867-45AC-840F-09DE83EDD87C}" type="presParOf" srcId="{7DAEF5C3-3BDD-4301-ABAB-4990D32E1956}" destId="{CCE353A4-4C45-4610-AA92-4199DAB14094}" srcOrd="2" destOrd="0" presId="urn:microsoft.com/office/officeart/2005/8/layout/hList7"/>
    <dgm:cxn modelId="{BB99B7EE-D200-4B44-B7E4-B6B82F31D29E}" type="presParOf" srcId="{CCE353A4-4C45-4610-AA92-4199DAB14094}" destId="{19A4A5B6-3226-43E1-A15E-EBFB637E791C}" srcOrd="0" destOrd="0" presId="urn:microsoft.com/office/officeart/2005/8/layout/hList7"/>
    <dgm:cxn modelId="{6AB20D2F-83CA-43E5-8BD0-BF57B4BB6E2B}" type="presParOf" srcId="{CCE353A4-4C45-4610-AA92-4199DAB14094}" destId="{1FDA75AC-830A-4BDB-80AB-F0F7EE332822}" srcOrd="1" destOrd="0" presId="urn:microsoft.com/office/officeart/2005/8/layout/hList7"/>
    <dgm:cxn modelId="{93BB7C44-5787-4D21-9A1F-501623A20B97}" type="presParOf" srcId="{CCE353A4-4C45-4610-AA92-4199DAB14094}" destId="{3BD3D2F2-C192-4AE2-9EFA-28147C9B2626}" srcOrd="2" destOrd="0" presId="urn:microsoft.com/office/officeart/2005/8/layout/hList7"/>
    <dgm:cxn modelId="{6F92E9FD-BE79-4EEC-A989-37BE925BE32B}" type="presParOf" srcId="{CCE353A4-4C45-4610-AA92-4199DAB14094}" destId="{D39BF142-39AE-4992-921F-6B0C30D1F527}" srcOrd="3" destOrd="0" presId="urn:microsoft.com/office/officeart/2005/8/layout/hList7"/>
    <dgm:cxn modelId="{8B7E7B69-AEF7-407C-9781-23E23603E2E4}" type="presParOf" srcId="{7DAEF5C3-3BDD-4301-ABAB-4990D32E1956}" destId="{96919D2D-B3A1-4DD2-A972-1F976BF73223}" srcOrd="3" destOrd="0" presId="urn:microsoft.com/office/officeart/2005/8/layout/hList7"/>
    <dgm:cxn modelId="{0AA6822D-5909-4CD2-83BB-B5EC74C73AED}" type="presParOf" srcId="{7DAEF5C3-3BDD-4301-ABAB-4990D32E1956}" destId="{6CF93F28-A7A0-45ED-823E-FE6ADF2206B2}" srcOrd="4" destOrd="0" presId="urn:microsoft.com/office/officeart/2005/8/layout/hList7"/>
    <dgm:cxn modelId="{5B05DA7E-506D-4BFE-BA3C-B7B0C4636ED6}" type="presParOf" srcId="{6CF93F28-A7A0-45ED-823E-FE6ADF2206B2}" destId="{1C91D4E5-9E61-4FC3-A762-02D32A1DE404}" srcOrd="0" destOrd="0" presId="urn:microsoft.com/office/officeart/2005/8/layout/hList7"/>
    <dgm:cxn modelId="{D0ECCB4A-07A7-4934-8998-282CF7921335}" type="presParOf" srcId="{6CF93F28-A7A0-45ED-823E-FE6ADF2206B2}" destId="{E4EC3935-DFA4-4C62-86D9-E46B3D1D2623}" srcOrd="1" destOrd="0" presId="urn:microsoft.com/office/officeart/2005/8/layout/hList7"/>
    <dgm:cxn modelId="{2899D02F-9316-4AC0-B4B2-B1D4081E354D}" type="presParOf" srcId="{6CF93F28-A7A0-45ED-823E-FE6ADF2206B2}" destId="{FC44FB73-2084-4C26-9236-B6A63C630323}" srcOrd="2" destOrd="0" presId="urn:microsoft.com/office/officeart/2005/8/layout/hList7"/>
    <dgm:cxn modelId="{4761D975-716D-467B-BBE2-6BF591AD121D}" type="presParOf" srcId="{6CF93F28-A7A0-45ED-823E-FE6ADF2206B2}" destId="{215AA68A-18CD-43F1-BC6D-35E5B638AE85}" srcOrd="3" destOrd="0" presId="urn:microsoft.com/office/officeart/2005/8/layout/hList7"/>
  </dgm:cxnLst>
  <dgm:bg/>
  <dgm:whole/>
  <dgm:extLst>
    <a:ext uri="http://schemas.microsoft.com/office/drawing/2008/diagram">
      <dsp:dataModelExt xmlns:dsp="http://schemas.microsoft.com/office/drawing/2008/diagram" relId="rId12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8511BEE-A677-475A-BA62-E57C1697752E}" type="doc">
      <dgm:prSet loTypeId="urn:microsoft.com/office/officeart/2005/8/layout/hList3" loCatId="list" qsTypeId="urn:microsoft.com/office/officeart/2005/8/quickstyle/simple1" qsCatId="simple" csTypeId="urn:microsoft.com/office/officeart/2005/8/colors/accent1_2" csCatId="accent1" phldr="1"/>
      <dgm:spPr/>
      <dgm:t>
        <a:bodyPr/>
        <a:lstStyle/>
        <a:p>
          <a:endParaRPr lang="en-GB"/>
        </a:p>
      </dgm:t>
    </dgm:pt>
    <dgm:pt modelId="{B990EC63-EE46-447E-AEC9-35E3379382CE}">
      <dgm:prSet phldrT="[Text]" custT="1"/>
      <dgm:spPr>
        <a:solidFill>
          <a:schemeClr val="accent3">
            <a:lumMod val="75000"/>
          </a:schemeClr>
        </a:solidFill>
      </dgm:spPr>
      <dgm:t>
        <a:bodyPr/>
        <a:lstStyle/>
        <a:p>
          <a:r>
            <a:rPr lang="sk-SK" sz="1200"/>
            <a:t>Miera odhaľovania podľa zložky SPP</a:t>
          </a:r>
        </a:p>
      </dgm:t>
    </dgm:pt>
    <dgm:pt modelId="{37FBD545-48B0-4EE3-BD7D-9F30BC1D52DD}" type="parTrans" cxnId="{89A4D832-77E8-4664-A6B4-E33FE57E2E3C}">
      <dgm:prSet/>
      <dgm:spPr/>
      <dgm:t>
        <a:bodyPr/>
        <a:lstStyle/>
        <a:p>
          <a:endParaRPr lang="en-GB" sz="1600"/>
        </a:p>
      </dgm:t>
    </dgm:pt>
    <dgm:pt modelId="{9C7F4065-3601-4C13-9394-5299B6DD350E}" type="sibTrans" cxnId="{89A4D832-77E8-4664-A6B4-E33FE57E2E3C}">
      <dgm:prSet/>
      <dgm:spPr/>
      <dgm:t>
        <a:bodyPr/>
        <a:lstStyle/>
        <a:p>
          <a:endParaRPr lang="en-GB" sz="1600"/>
        </a:p>
      </dgm:t>
    </dgm:pt>
    <dgm:pt modelId="{8AA1DCFE-4744-4370-986E-328C2CAD0E89}">
      <dgm:prSet phldrT="[Text]" custT="1"/>
      <dgm:spPr>
        <a:solidFill>
          <a:schemeClr val="accent3">
            <a:lumMod val="60000"/>
            <a:lumOff val="40000"/>
          </a:schemeClr>
        </a:solidFill>
      </dgm:spPr>
      <dgm:t>
        <a:bodyPr/>
        <a:lstStyle/>
        <a:p>
          <a:r>
            <a:rPr lang="sk-SK" sz="750">
              <a:solidFill>
                <a:sysClr val="windowText" lastClr="000000"/>
              </a:solidFill>
            </a:rPr>
            <a:t>Priame platby:</a:t>
          </a:r>
        </a:p>
        <a:p>
          <a:r>
            <a:rPr lang="sk-SK" sz="750">
              <a:solidFill>
                <a:sysClr val="windowText" lastClr="000000"/>
              </a:solidFill>
            </a:rPr>
            <a:t>Miera odhaľovania podvodov: 0,01 %</a:t>
          </a:r>
        </a:p>
        <a:p>
          <a:r>
            <a:rPr lang="sk-SK" sz="750">
              <a:solidFill>
                <a:sysClr val="windowText" lastClr="000000"/>
              </a:solidFill>
            </a:rPr>
            <a:t>Miera odhaľovania nezrovnalostí: 0,07 %</a:t>
          </a:r>
        </a:p>
        <a:p>
          <a:r>
            <a:rPr lang="sk-SK" sz="750">
              <a:solidFill>
                <a:sysClr val="windowText" lastClr="000000"/>
              </a:solidFill>
            </a:rPr>
            <a:t>Spolu: 0,1 %</a:t>
          </a:r>
        </a:p>
        <a:p>
          <a:endParaRPr lang="en-GB" sz="800">
            <a:solidFill>
              <a:sysClr val="windowText" lastClr="000000"/>
            </a:solidFill>
          </a:endParaRPr>
        </a:p>
      </dgm:t>
    </dgm:pt>
    <dgm:pt modelId="{E400D8CF-206D-495B-A979-64A7F29C81DE}" type="parTrans" cxnId="{D04186F1-4C5A-4E34-A8D6-DC912490FDFA}">
      <dgm:prSet/>
      <dgm:spPr/>
      <dgm:t>
        <a:bodyPr/>
        <a:lstStyle/>
        <a:p>
          <a:endParaRPr lang="en-GB" sz="1600"/>
        </a:p>
      </dgm:t>
    </dgm:pt>
    <dgm:pt modelId="{FEE3F770-A9DF-4711-865B-9A8FA1D1AC44}" type="sibTrans" cxnId="{D04186F1-4C5A-4E34-A8D6-DC912490FDFA}">
      <dgm:prSet/>
      <dgm:spPr/>
      <dgm:t>
        <a:bodyPr/>
        <a:lstStyle/>
        <a:p>
          <a:endParaRPr lang="en-GB" sz="1600"/>
        </a:p>
      </dgm:t>
    </dgm:pt>
    <dgm:pt modelId="{8848EF80-A382-4167-8389-49386E1DA3CF}">
      <dgm:prSet phldrT="[Text]" custT="1"/>
      <dgm:spPr>
        <a:solidFill>
          <a:schemeClr val="accent3">
            <a:lumMod val="20000"/>
            <a:lumOff val="80000"/>
          </a:schemeClr>
        </a:solidFill>
      </dgm:spPr>
      <dgm:t>
        <a:bodyPr/>
        <a:lstStyle/>
        <a:p>
          <a:r>
            <a:rPr lang="sk-SK" sz="800">
              <a:solidFill>
                <a:sysClr val="windowText" lastClr="000000"/>
              </a:solidFill>
            </a:rPr>
            <a:t>Trhové opatrenia:</a:t>
          </a:r>
        </a:p>
        <a:p>
          <a:r>
            <a:rPr lang="sk-SK" sz="800">
              <a:solidFill>
                <a:sysClr val="windowText" lastClr="000000"/>
              </a:solidFill>
            </a:rPr>
            <a:t>Miera odhaľovania podvodov: 1,07 %</a:t>
          </a:r>
        </a:p>
        <a:p>
          <a:r>
            <a:rPr lang="sk-SK" sz="800">
              <a:solidFill>
                <a:sysClr val="windowText" lastClr="000000"/>
              </a:solidFill>
            </a:rPr>
            <a:t>Miera odhaľovania nezrovnalostí: 1,37 %</a:t>
          </a:r>
        </a:p>
        <a:p>
          <a:r>
            <a:rPr lang="sk-SK" sz="800">
              <a:solidFill>
                <a:sysClr val="windowText" lastClr="000000"/>
              </a:solidFill>
            </a:rPr>
            <a:t>Spolu: 2,4 %</a:t>
          </a:r>
        </a:p>
      </dgm:t>
    </dgm:pt>
    <dgm:pt modelId="{BE546938-0920-4D07-92FC-DB7779DC3A86}" type="parTrans" cxnId="{D918A8FB-2D4C-4F70-AE8E-0019A82688B7}">
      <dgm:prSet/>
      <dgm:spPr/>
      <dgm:t>
        <a:bodyPr/>
        <a:lstStyle/>
        <a:p>
          <a:endParaRPr lang="en-GB" sz="1600"/>
        </a:p>
      </dgm:t>
    </dgm:pt>
    <dgm:pt modelId="{A7352B2A-F4FD-48FB-8E6C-8A681703DD52}" type="sibTrans" cxnId="{D918A8FB-2D4C-4F70-AE8E-0019A82688B7}">
      <dgm:prSet/>
      <dgm:spPr/>
      <dgm:t>
        <a:bodyPr/>
        <a:lstStyle/>
        <a:p>
          <a:endParaRPr lang="en-GB" sz="1600"/>
        </a:p>
      </dgm:t>
    </dgm:pt>
    <dgm:pt modelId="{D28064FC-AFA2-46F7-91E7-3A7388D45472}">
      <dgm:prSet phldrT="[Text]" custT="1"/>
      <dgm:spPr>
        <a:solidFill>
          <a:schemeClr val="accent3">
            <a:lumMod val="40000"/>
            <a:lumOff val="60000"/>
          </a:schemeClr>
        </a:solidFill>
      </dgm:spPr>
      <dgm:t>
        <a:bodyPr/>
        <a:lstStyle/>
        <a:p>
          <a:r>
            <a:rPr lang="sk-SK" sz="800">
              <a:solidFill>
                <a:sysClr val="windowText" lastClr="000000"/>
              </a:solidFill>
            </a:rPr>
            <a:t>Rozvoj vidieka:</a:t>
          </a:r>
        </a:p>
        <a:p>
          <a:r>
            <a:rPr lang="sk-SK" sz="800">
              <a:solidFill>
                <a:sysClr val="windowText" lastClr="000000"/>
              </a:solidFill>
            </a:rPr>
            <a:t>Miera odhaľovania podvodov: 0,23 %</a:t>
          </a:r>
        </a:p>
        <a:p>
          <a:r>
            <a:rPr lang="sk-SK" sz="800">
              <a:solidFill>
                <a:sysClr val="windowText" lastClr="000000"/>
              </a:solidFill>
            </a:rPr>
            <a:t>Miera odhaľovania nezrovnalostí: 1,13 %</a:t>
          </a:r>
        </a:p>
        <a:p>
          <a:r>
            <a:rPr lang="sk-SK" sz="800">
              <a:solidFill>
                <a:sysClr val="windowText" lastClr="000000"/>
              </a:solidFill>
            </a:rPr>
            <a:t>Spolu: 1,4 %</a:t>
          </a:r>
        </a:p>
      </dgm:t>
    </dgm:pt>
    <dgm:pt modelId="{427529CC-C259-4B22-B30F-269B20DC7AA3}" type="parTrans" cxnId="{D771F6C6-78FB-4825-BBD7-9591BE2EADC0}">
      <dgm:prSet/>
      <dgm:spPr/>
      <dgm:t>
        <a:bodyPr/>
        <a:lstStyle/>
        <a:p>
          <a:endParaRPr lang="en-GB" sz="1600"/>
        </a:p>
      </dgm:t>
    </dgm:pt>
    <dgm:pt modelId="{373EC2EB-CE2C-4FE0-8B39-6E351680DC46}" type="sibTrans" cxnId="{D771F6C6-78FB-4825-BBD7-9591BE2EADC0}">
      <dgm:prSet/>
      <dgm:spPr/>
      <dgm:t>
        <a:bodyPr/>
        <a:lstStyle/>
        <a:p>
          <a:endParaRPr lang="en-GB" sz="1600"/>
        </a:p>
      </dgm:t>
    </dgm:pt>
    <dgm:pt modelId="{5D6856CE-29A4-4F60-81C8-AB5942765FB6}" type="pres">
      <dgm:prSet presAssocID="{F8511BEE-A677-475A-BA62-E57C1697752E}" presName="composite" presStyleCnt="0">
        <dgm:presLayoutVars>
          <dgm:chMax val="1"/>
          <dgm:dir/>
          <dgm:resizeHandles val="exact"/>
        </dgm:presLayoutVars>
      </dgm:prSet>
      <dgm:spPr/>
      <dgm:t>
        <a:bodyPr/>
        <a:lstStyle/>
        <a:p>
          <a:endParaRPr lang="en-GB"/>
        </a:p>
      </dgm:t>
    </dgm:pt>
    <dgm:pt modelId="{E75D8856-CFA1-45B6-B558-9ACB90964218}" type="pres">
      <dgm:prSet presAssocID="{B990EC63-EE46-447E-AEC9-35E3379382CE}" presName="roof" presStyleLbl="dkBgShp" presStyleIdx="0" presStyleCnt="2"/>
      <dgm:spPr/>
      <dgm:t>
        <a:bodyPr/>
        <a:lstStyle/>
        <a:p>
          <a:endParaRPr lang="en-GB"/>
        </a:p>
      </dgm:t>
    </dgm:pt>
    <dgm:pt modelId="{D03B1C56-6121-43E6-8DB7-6FAB39A58BC6}" type="pres">
      <dgm:prSet presAssocID="{B990EC63-EE46-447E-AEC9-35E3379382CE}" presName="pillars" presStyleCnt="0"/>
      <dgm:spPr/>
    </dgm:pt>
    <dgm:pt modelId="{EFFC9CF4-0532-4E71-9ECB-8D76EA871050}" type="pres">
      <dgm:prSet presAssocID="{B990EC63-EE46-447E-AEC9-35E3379382CE}" presName="pillar1" presStyleLbl="node1" presStyleIdx="0" presStyleCnt="3" custScaleY="107724">
        <dgm:presLayoutVars>
          <dgm:bulletEnabled val="1"/>
        </dgm:presLayoutVars>
      </dgm:prSet>
      <dgm:spPr/>
      <dgm:t>
        <a:bodyPr/>
        <a:lstStyle/>
        <a:p>
          <a:endParaRPr lang="en-GB"/>
        </a:p>
      </dgm:t>
    </dgm:pt>
    <dgm:pt modelId="{EDC0C0E7-9ED1-46D0-AE5F-EC3004A75025}" type="pres">
      <dgm:prSet presAssocID="{8848EF80-A382-4167-8389-49386E1DA3CF}" presName="pillarX" presStyleLbl="node1" presStyleIdx="1" presStyleCnt="3" custScaleY="107617">
        <dgm:presLayoutVars>
          <dgm:bulletEnabled val="1"/>
        </dgm:presLayoutVars>
      </dgm:prSet>
      <dgm:spPr/>
      <dgm:t>
        <a:bodyPr/>
        <a:lstStyle/>
        <a:p>
          <a:endParaRPr lang="en-GB"/>
        </a:p>
      </dgm:t>
    </dgm:pt>
    <dgm:pt modelId="{435D7AD4-8208-44D8-B97A-C1E09BAFD971}" type="pres">
      <dgm:prSet presAssocID="{D28064FC-AFA2-46F7-91E7-3A7388D45472}" presName="pillarX" presStyleLbl="node1" presStyleIdx="2" presStyleCnt="3" custScaleY="106131">
        <dgm:presLayoutVars>
          <dgm:bulletEnabled val="1"/>
        </dgm:presLayoutVars>
      </dgm:prSet>
      <dgm:spPr/>
      <dgm:t>
        <a:bodyPr/>
        <a:lstStyle/>
        <a:p>
          <a:endParaRPr lang="en-GB"/>
        </a:p>
      </dgm:t>
    </dgm:pt>
    <dgm:pt modelId="{308C5C45-CFFE-4E58-8973-67C51A10C1DB}" type="pres">
      <dgm:prSet presAssocID="{B990EC63-EE46-447E-AEC9-35E3379382CE}" presName="base" presStyleLbl="dkBgShp" presStyleIdx="1" presStyleCnt="2"/>
      <dgm:spPr>
        <a:solidFill>
          <a:schemeClr val="accent3">
            <a:lumMod val="75000"/>
          </a:schemeClr>
        </a:solidFill>
      </dgm:spPr>
    </dgm:pt>
  </dgm:ptLst>
  <dgm:cxnLst>
    <dgm:cxn modelId="{D918A8FB-2D4C-4F70-AE8E-0019A82688B7}" srcId="{B990EC63-EE46-447E-AEC9-35E3379382CE}" destId="{8848EF80-A382-4167-8389-49386E1DA3CF}" srcOrd="1" destOrd="0" parTransId="{BE546938-0920-4D07-92FC-DB7779DC3A86}" sibTransId="{A7352B2A-F4FD-48FB-8E6C-8A681703DD52}"/>
    <dgm:cxn modelId="{D771F6C6-78FB-4825-BBD7-9591BE2EADC0}" srcId="{B990EC63-EE46-447E-AEC9-35E3379382CE}" destId="{D28064FC-AFA2-46F7-91E7-3A7388D45472}" srcOrd="2" destOrd="0" parTransId="{427529CC-C259-4B22-B30F-269B20DC7AA3}" sibTransId="{373EC2EB-CE2C-4FE0-8B39-6E351680DC46}"/>
    <dgm:cxn modelId="{EE564B56-CFA4-40AE-B0B9-0E32145AE730}" type="presOf" srcId="{B990EC63-EE46-447E-AEC9-35E3379382CE}" destId="{E75D8856-CFA1-45B6-B558-9ACB90964218}" srcOrd="0" destOrd="0" presId="urn:microsoft.com/office/officeart/2005/8/layout/hList3"/>
    <dgm:cxn modelId="{89A4D832-77E8-4664-A6B4-E33FE57E2E3C}" srcId="{F8511BEE-A677-475A-BA62-E57C1697752E}" destId="{B990EC63-EE46-447E-AEC9-35E3379382CE}" srcOrd="0" destOrd="0" parTransId="{37FBD545-48B0-4EE3-BD7D-9F30BC1D52DD}" sibTransId="{9C7F4065-3601-4C13-9394-5299B6DD350E}"/>
    <dgm:cxn modelId="{B0279C7F-F4D2-4F36-A68C-1DC2C33BAF4E}" type="presOf" srcId="{8848EF80-A382-4167-8389-49386E1DA3CF}" destId="{EDC0C0E7-9ED1-46D0-AE5F-EC3004A75025}" srcOrd="0" destOrd="0" presId="urn:microsoft.com/office/officeart/2005/8/layout/hList3"/>
    <dgm:cxn modelId="{613EBD51-0234-4188-8CEE-5C69ACE3F18C}" type="presOf" srcId="{8AA1DCFE-4744-4370-986E-328C2CAD0E89}" destId="{EFFC9CF4-0532-4E71-9ECB-8D76EA871050}" srcOrd="0" destOrd="0" presId="urn:microsoft.com/office/officeart/2005/8/layout/hList3"/>
    <dgm:cxn modelId="{D04186F1-4C5A-4E34-A8D6-DC912490FDFA}" srcId="{B990EC63-EE46-447E-AEC9-35E3379382CE}" destId="{8AA1DCFE-4744-4370-986E-328C2CAD0E89}" srcOrd="0" destOrd="0" parTransId="{E400D8CF-206D-495B-A979-64A7F29C81DE}" sibTransId="{FEE3F770-A9DF-4711-865B-9A8FA1D1AC44}"/>
    <dgm:cxn modelId="{B7B295C9-A780-4FB9-B317-8D1DD209B886}" type="presOf" srcId="{F8511BEE-A677-475A-BA62-E57C1697752E}" destId="{5D6856CE-29A4-4F60-81C8-AB5942765FB6}" srcOrd="0" destOrd="0" presId="urn:microsoft.com/office/officeart/2005/8/layout/hList3"/>
    <dgm:cxn modelId="{C5AA4872-6AC2-450C-9F91-AE079914707E}" type="presOf" srcId="{D28064FC-AFA2-46F7-91E7-3A7388D45472}" destId="{435D7AD4-8208-44D8-B97A-C1E09BAFD971}" srcOrd="0" destOrd="0" presId="urn:microsoft.com/office/officeart/2005/8/layout/hList3"/>
    <dgm:cxn modelId="{20A59CB6-B4CF-43F4-9223-03E72A13834C}" type="presParOf" srcId="{5D6856CE-29A4-4F60-81C8-AB5942765FB6}" destId="{E75D8856-CFA1-45B6-B558-9ACB90964218}" srcOrd="0" destOrd="0" presId="urn:microsoft.com/office/officeart/2005/8/layout/hList3"/>
    <dgm:cxn modelId="{4A0558A2-EC2E-4B13-A5C3-BD25D08265B6}" type="presParOf" srcId="{5D6856CE-29A4-4F60-81C8-AB5942765FB6}" destId="{D03B1C56-6121-43E6-8DB7-6FAB39A58BC6}" srcOrd="1" destOrd="0" presId="urn:microsoft.com/office/officeart/2005/8/layout/hList3"/>
    <dgm:cxn modelId="{9A502E3E-37B8-473D-901A-78E569C22F6E}" type="presParOf" srcId="{D03B1C56-6121-43E6-8DB7-6FAB39A58BC6}" destId="{EFFC9CF4-0532-4E71-9ECB-8D76EA871050}" srcOrd="0" destOrd="0" presId="urn:microsoft.com/office/officeart/2005/8/layout/hList3"/>
    <dgm:cxn modelId="{258D2831-62A7-4805-8192-73FC70CBA634}" type="presParOf" srcId="{D03B1C56-6121-43E6-8DB7-6FAB39A58BC6}" destId="{EDC0C0E7-9ED1-46D0-AE5F-EC3004A75025}" srcOrd="1" destOrd="0" presId="urn:microsoft.com/office/officeart/2005/8/layout/hList3"/>
    <dgm:cxn modelId="{495B0CE4-2A21-4D20-BCDE-A2915D3538CD}" type="presParOf" srcId="{D03B1C56-6121-43E6-8DB7-6FAB39A58BC6}" destId="{435D7AD4-8208-44D8-B97A-C1E09BAFD971}" srcOrd="2" destOrd="0" presId="urn:microsoft.com/office/officeart/2005/8/layout/hList3"/>
    <dgm:cxn modelId="{952324E4-2C10-4731-8564-6364D17471AA}" type="presParOf" srcId="{5D6856CE-29A4-4F60-81C8-AB5942765FB6}" destId="{308C5C45-CFFE-4E58-8973-67C51A10C1DB}" srcOrd="2" destOrd="0" presId="urn:microsoft.com/office/officeart/2005/8/layout/hList3"/>
  </dgm:cxnLst>
  <dgm:bg/>
  <dgm:whole/>
  <dgm:extLst>
    <a:ext uri="http://schemas.microsoft.com/office/drawing/2008/diagram">
      <dsp:dataModelExt xmlns:dsp="http://schemas.microsoft.com/office/drawing/2008/diagram" relId="rId13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D8F587C-411B-4F52-B8AD-1465E83B47E0}" type="doc">
      <dgm:prSet loTypeId="urn:microsoft.com/office/officeart/2005/8/layout/hList7" loCatId="list" qsTypeId="urn:microsoft.com/office/officeart/2005/8/quickstyle/simple1" qsCatId="simple" csTypeId="urn:microsoft.com/office/officeart/2005/8/colors/accent1_2" csCatId="accent1" phldr="1"/>
      <dgm:spPr/>
      <dgm:t>
        <a:bodyPr/>
        <a:lstStyle/>
        <a:p>
          <a:endParaRPr lang="en-GB"/>
        </a:p>
      </dgm:t>
    </dgm:pt>
    <dgm:pt modelId="{713EA491-F6AC-4FA9-8E4A-A248313B5A2E}">
      <dgm:prSet phldrT="[Text]" custT="1"/>
      <dgm:spPr>
        <a:solidFill>
          <a:schemeClr val="accent3">
            <a:lumMod val="75000"/>
          </a:schemeClr>
        </a:solidFill>
      </dgm:spPr>
      <dgm:t>
        <a:bodyPr/>
        <a:lstStyle/>
        <a:p>
          <a:r>
            <a:rPr lang="sk-SK" sz="1000"/>
            <a:t>Zložky SPP</a:t>
          </a:r>
        </a:p>
      </dgm:t>
    </dgm:pt>
    <dgm:pt modelId="{42DA80B4-868D-4DCA-B92B-233720105FB5}" type="parTrans" cxnId="{F2C6FFAB-0911-4839-8F92-C3E01B40A980}">
      <dgm:prSet/>
      <dgm:spPr/>
      <dgm:t>
        <a:bodyPr/>
        <a:lstStyle/>
        <a:p>
          <a:endParaRPr lang="en-GB"/>
        </a:p>
      </dgm:t>
    </dgm:pt>
    <dgm:pt modelId="{EB9D372A-CD4B-4C7A-9D19-0DBABD9725F8}" type="sibTrans" cxnId="{F2C6FFAB-0911-4839-8F92-C3E01B40A980}">
      <dgm:prSet/>
      <dgm:spPr/>
      <dgm:t>
        <a:bodyPr/>
        <a:lstStyle/>
        <a:p>
          <a:endParaRPr lang="en-GB"/>
        </a:p>
      </dgm:t>
    </dgm:pt>
    <dgm:pt modelId="{F665FDBF-4FAA-48D8-8417-6C47FB9FE12E}">
      <dgm:prSet phldrT="[Text]" custT="1"/>
      <dgm:spPr>
        <a:solidFill>
          <a:schemeClr val="accent3">
            <a:lumMod val="75000"/>
          </a:schemeClr>
        </a:solidFill>
      </dgm:spPr>
      <dgm:t>
        <a:bodyPr/>
        <a:lstStyle/>
        <a:p>
          <a:r>
            <a:rPr lang="sk-SK" sz="800"/>
            <a:t>Priame platby a trhová podpora </a:t>
          </a:r>
          <a:r>
            <a:rPr lang="sk-SK" sz="800">
              <a:latin typeface="+mn-lt"/>
            </a:rPr>
            <a:t>(</a:t>
          </a:r>
          <a:r>
            <a:rPr lang="sk-SK" sz="800">
              <a:latin typeface="+mn-lt"/>
              <a:cs typeface="Times New Roman"/>
            </a:rPr>
            <a:t>≈28 % z rozpočtu EÚ na rok 2018)</a:t>
          </a:r>
        </a:p>
      </dgm:t>
    </dgm:pt>
    <dgm:pt modelId="{7EEBA6FD-625F-4719-8DCA-40FCF00BA831}" type="parTrans" cxnId="{3A5CD4D0-675F-4932-97F7-F8D295D5FD51}">
      <dgm:prSet/>
      <dgm:spPr/>
      <dgm:t>
        <a:bodyPr/>
        <a:lstStyle/>
        <a:p>
          <a:endParaRPr lang="en-GB"/>
        </a:p>
      </dgm:t>
    </dgm:pt>
    <dgm:pt modelId="{0F0E9C1B-1F86-4686-ADEE-FA3BFDCA721C}" type="sibTrans" cxnId="{3A5CD4D0-675F-4932-97F7-F8D295D5FD51}">
      <dgm:prSet/>
      <dgm:spPr/>
      <dgm:t>
        <a:bodyPr/>
        <a:lstStyle/>
        <a:p>
          <a:endParaRPr lang="en-GB"/>
        </a:p>
      </dgm:t>
    </dgm:pt>
    <dgm:pt modelId="{6CEC9194-60CD-40BD-A872-AD382409C3E5}">
      <dgm:prSet phldrT="[Text]" custT="1"/>
      <dgm:spPr>
        <a:solidFill>
          <a:schemeClr val="accent3">
            <a:lumMod val="75000"/>
          </a:schemeClr>
        </a:solidFill>
      </dgm:spPr>
      <dgm:t>
        <a:bodyPr/>
        <a:lstStyle/>
        <a:p>
          <a:r>
            <a:rPr lang="sk-SK" sz="800"/>
            <a:t>Rozvoj vidieka (</a:t>
          </a:r>
          <a:r>
            <a:rPr lang="sk-SK" sz="800">
              <a:latin typeface="+mn-lt"/>
              <a:cs typeface="Times New Roman"/>
            </a:rPr>
            <a:t>≈10 % z rozpočtu EÚ na rok 2018)</a:t>
          </a:r>
        </a:p>
      </dgm:t>
    </dgm:pt>
    <dgm:pt modelId="{6D565090-DA21-40D1-AED2-C9DF9761498B}" type="parTrans" cxnId="{D268AA73-C520-4564-9BC3-70F30DBBC3F3}">
      <dgm:prSet/>
      <dgm:spPr/>
      <dgm:t>
        <a:bodyPr/>
        <a:lstStyle/>
        <a:p>
          <a:endParaRPr lang="en-GB"/>
        </a:p>
      </dgm:t>
    </dgm:pt>
    <dgm:pt modelId="{635A2A26-7E70-42D3-AAB8-76CA33F89829}" type="sibTrans" cxnId="{D268AA73-C520-4564-9BC3-70F30DBBC3F3}">
      <dgm:prSet/>
      <dgm:spPr/>
      <dgm:t>
        <a:bodyPr/>
        <a:lstStyle/>
        <a:p>
          <a:endParaRPr lang="en-GB"/>
        </a:p>
      </dgm:t>
    </dgm:pt>
    <dgm:pt modelId="{E5878767-B086-47D2-A255-D21E4979ABC7}">
      <dgm:prSet phldrT="[Text]" custT="1"/>
      <dgm:spPr>
        <a:solidFill>
          <a:schemeClr val="accent2">
            <a:lumMod val="75000"/>
          </a:schemeClr>
        </a:solidFill>
      </dgm:spPr>
      <dgm:t>
        <a:bodyPr/>
        <a:lstStyle/>
        <a:p>
          <a:r>
            <a:rPr lang="sk-SK" sz="1050"/>
            <a:t>Oznámené nezrovnalosti</a:t>
          </a:r>
        </a:p>
      </dgm:t>
    </dgm:pt>
    <dgm:pt modelId="{031B0CBC-E91E-4ACF-8DA1-71752CA9ECCE}" type="parTrans" cxnId="{DA804C76-39EE-43ED-8339-D177F82E15E1}">
      <dgm:prSet/>
      <dgm:spPr/>
      <dgm:t>
        <a:bodyPr/>
        <a:lstStyle/>
        <a:p>
          <a:endParaRPr lang="en-GB"/>
        </a:p>
      </dgm:t>
    </dgm:pt>
    <dgm:pt modelId="{9D1241BA-2A21-41F5-ADD5-C0BFE20E3626}" type="sibTrans" cxnId="{DA804C76-39EE-43ED-8339-D177F82E15E1}">
      <dgm:prSet/>
      <dgm:spPr/>
      <dgm:t>
        <a:bodyPr/>
        <a:lstStyle/>
        <a:p>
          <a:endParaRPr lang="en-GB"/>
        </a:p>
      </dgm:t>
    </dgm:pt>
    <dgm:pt modelId="{ED301B7F-980C-40FC-92C4-4EDCB74F27F6}">
      <dgm:prSet phldrT="[Text]" custT="1"/>
      <dgm:spPr>
        <a:solidFill>
          <a:schemeClr val="accent2">
            <a:lumMod val="75000"/>
          </a:schemeClr>
        </a:solidFill>
      </dgm:spPr>
      <dgm:t>
        <a:bodyPr/>
        <a:lstStyle/>
        <a:p>
          <a:r>
            <a:rPr lang="sk-SK" sz="800"/>
            <a:t>249 nezrovnalostí odhalených a oznámených ako </a:t>
          </a:r>
          <a:r>
            <a:rPr lang="sk-SK" sz="800" b="1"/>
            <a:t>podvodné</a:t>
          </a:r>
          <a:r>
            <a:rPr lang="sk-SK" sz="800"/>
            <a:t> v roku 2018 (-6 %); 63,3 milióna EUR (+10 %)</a:t>
          </a:r>
        </a:p>
      </dgm:t>
    </dgm:pt>
    <dgm:pt modelId="{3FAAEAE4-A5B4-400B-B840-7418B3B60322}" type="parTrans" cxnId="{61D42AB9-0A21-41EA-8A95-02F1781B80D4}">
      <dgm:prSet/>
      <dgm:spPr/>
      <dgm:t>
        <a:bodyPr/>
        <a:lstStyle/>
        <a:p>
          <a:endParaRPr lang="en-GB"/>
        </a:p>
      </dgm:t>
    </dgm:pt>
    <dgm:pt modelId="{B6AF5D99-BDD2-4ACF-8068-34FD21A0EA98}" type="sibTrans" cxnId="{61D42AB9-0A21-41EA-8A95-02F1781B80D4}">
      <dgm:prSet/>
      <dgm:spPr/>
      <dgm:t>
        <a:bodyPr/>
        <a:lstStyle/>
        <a:p>
          <a:endParaRPr lang="en-GB"/>
        </a:p>
      </dgm:t>
    </dgm:pt>
    <dgm:pt modelId="{5CF29496-F76F-4913-9E68-201879BBB555}">
      <dgm:prSet phldrT="[Text]" custT="1"/>
      <dgm:spPr>
        <a:solidFill>
          <a:schemeClr val="accent5">
            <a:lumMod val="75000"/>
          </a:schemeClr>
        </a:solidFill>
      </dgm:spPr>
      <dgm:t>
        <a:bodyPr/>
        <a:lstStyle/>
        <a:p>
          <a:r>
            <a:rPr lang="sk-SK" sz="1000" b="1" i="0"/>
            <a:t>Modus operandi</a:t>
          </a:r>
        </a:p>
      </dgm:t>
    </dgm:pt>
    <dgm:pt modelId="{CB5D0D42-7DC2-4AE1-A9CC-A07DD21AD2F0}" type="parTrans" cxnId="{63506489-97AE-401B-9D7E-3F7861FAA093}">
      <dgm:prSet/>
      <dgm:spPr/>
      <dgm:t>
        <a:bodyPr/>
        <a:lstStyle/>
        <a:p>
          <a:endParaRPr lang="en-GB"/>
        </a:p>
      </dgm:t>
    </dgm:pt>
    <dgm:pt modelId="{DDE17223-96A2-4108-96B7-B21B6A4BB4F0}" type="sibTrans" cxnId="{63506489-97AE-401B-9D7E-3F7861FAA093}">
      <dgm:prSet/>
      <dgm:spPr/>
      <dgm:t>
        <a:bodyPr/>
        <a:lstStyle/>
        <a:p>
          <a:endParaRPr lang="en-GB"/>
        </a:p>
      </dgm:t>
    </dgm:pt>
    <dgm:pt modelId="{31A2C6EC-EFAD-461E-9127-32D1CA23FA00}">
      <dgm:prSet phldrT="[Text]" custT="1"/>
      <dgm:spPr>
        <a:solidFill>
          <a:schemeClr val="accent5">
            <a:lumMod val="75000"/>
          </a:schemeClr>
        </a:solidFill>
      </dgm:spPr>
      <dgm:t>
        <a:bodyPr/>
        <a:lstStyle/>
        <a:p>
          <a:r>
            <a:rPr lang="sk-SK" sz="800"/>
            <a:t>Podvodné: neoprávnená manipulácia s písomným dôkazom (falošný alebo falšovaný) a etika a integrita (umelo vytvorené podmienky)</a:t>
          </a:r>
        </a:p>
      </dgm:t>
    </dgm:pt>
    <dgm:pt modelId="{A6CFF851-58DE-4021-A1E2-D9F00CFD5619}" type="parTrans" cxnId="{5AD023B5-04AD-4C70-9504-9ECF816075AC}">
      <dgm:prSet/>
      <dgm:spPr/>
      <dgm:t>
        <a:bodyPr/>
        <a:lstStyle/>
        <a:p>
          <a:endParaRPr lang="en-GB"/>
        </a:p>
      </dgm:t>
    </dgm:pt>
    <dgm:pt modelId="{9EA95530-EB1E-4BFA-901A-8552CC335BA9}" type="sibTrans" cxnId="{5AD023B5-04AD-4C70-9504-9ECF816075AC}">
      <dgm:prSet/>
      <dgm:spPr/>
      <dgm:t>
        <a:bodyPr/>
        <a:lstStyle/>
        <a:p>
          <a:endParaRPr lang="en-GB"/>
        </a:p>
      </dgm:t>
    </dgm:pt>
    <dgm:pt modelId="{8D89E774-6205-46EB-B390-156C1EB623C1}">
      <dgm:prSet phldrT="[Text]" custT="1"/>
      <dgm:spPr>
        <a:solidFill>
          <a:schemeClr val="accent5">
            <a:lumMod val="75000"/>
          </a:schemeClr>
        </a:solidFill>
      </dgm:spPr>
      <dgm:t>
        <a:bodyPr/>
        <a:lstStyle/>
        <a:p>
          <a:r>
            <a:rPr lang="sk-SK" sz="800"/>
            <a:t>Nepodvodné: (ne)konanie príjemcu, porušenia týkajúce sa pohľadávok/písomného dôkazu</a:t>
          </a:r>
        </a:p>
      </dgm:t>
    </dgm:pt>
    <dgm:pt modelId="{BE1CF92A-8C46-4F4B-B7F5-FA6B6F9B9508}" type="parTrans" cxnId="{2F3C4593-DDBD-409F-8A81-2FFAD3DF1AAC}">
      <dgm:prSet/>
      <dgm:spPr/>
      <dgm:t>
        <a:bodyPr/>
        <a:lstStyle/>
        <a:p>
          <a:endParaRPr lang="en-GB"/>
        </a:p>
      </dgm:t>
    </dgm:pt>
    <dgm:pt modelId="{1EF81DEA-51BE-4A18-9A6A-3A21CEF855F4}" type="sibTrans" cxnId="{2F3C4593-DDBD-409F-8A81-2FFAD3DF1AAC}">
      <dgm:prSet/>
      <dgm:spPr/>
      <dgm:t>
        <a:bodyPr/>
        <a:lstStyle/>
        <a:p>
          <a:endParaRPr lang="en-GB"/>
        </a:p>
      </dgm:t>
    </dgm:pt>
    <dgm:pt modelId="{D52C3D73-BF18-4B01-9C28-5AD7165A0F98}">
      <dgm:prSet phldrT="[Text]" custT="1"/>
      <dgm:spPr>
        <a:solidFill>
          <a:schemeClr val="accent2">
            <a:lumMod val="75000"/>
          </a:schemeClr>
        </a:solidFill>
      </dgm:spPr>
      <dgm:t>
        <a:bodyPr/>
        <a:lstStyle/>
        <a:p>
          <a:r>
            <a:rPr lang="sk-SK" sz="800"/>
            <a:t>2 832 nezrovnalostí odhalených a oznámených ako nepodvodné v roku 2018 (-5 %); 210,4 milióna EUR (-21 %)</a:t>
          </a:r>
        </a:p>
      </dgm:t>
    </dgm:pt>
    <dgm:pt modelId="{88011822-FDC1-40ED-877D-AD6ECA918FB2}" type="parTrans" cxnId="{D5FDF03C-BDA4-4E9F-BD9A-2B8D88B3FA03}">
      <dgm:prSet/>
      <dgm:spPr/>
      <dgm:t>
        <a:bodyPr/>
        <a:lstStyle/>
        <a:p>
          <a:endParaRPr lang="en-GB"/>
        </a:p>
      </dgm:t>
    </dgm:pt>
    <dgm:pt modelId="{93C50C45-D930-4E09-9CE6-77FF913E3674}" type="sibTrans" cxnId="{D5FDF03C-BDA4-4E9F-BD9A-2B8D88B3FA03}">
      <dgm:prSet/>
      <dgm:spPr/>
      <dgm:t>
        <a:bodyPr/>
        <a:lstStyle/>
        <a:p>
          <a:endParaRPr lang="en-GB"/>
        </a:p>
      </dgm:t>
    </dgm:pt>
    <dgm:pt modelId="{49D1B309-746F-419B-8348-82120AE515B7}">
      <dgm:prSet phldrT="[Text]" custT="1"/>
      <dgm:spPr>
        <a:solidFill>
          <a:schemeClr val="accent2">
            <a:lumMod val="75000"/>
          </a:schemeClr>
        </a:solidFill>
      </dgm:spPr>
      <dgm:t>
        <a:bodyPr/>
        <a:lstStyle/>
        <a:p>
          <a:r>
            <a:rPr lang="sk-SK" sz="800"/>
            <a:t>Miera odhaľovania podvodov: 0,11 % Miera odhaľovania nezrovnalostí: 0,37 % </a:t>
          </a:r>
        </a:p>
      </dgm:t>
    </dgm:pt>
    <dgm:pt modelId="{3BCB74DE-88C3-4F66-B22C-04A2272DA206}" type="parTrans" cxnId="{52C34CAC-755C-4354-98A3-04CADF2D1A23}">
      <dgm:prSet/>
      <dgm:spPr/>
      <dgm:t>
        <a:bodyPr/>
        <a:lstStyle/>
        <a:p>
          <a:endParaRPr lang="en-GB"/>
        </a:p>
      </dgm:t>
    </dgm:pt>
    <dgm:pt modelId="{0BA0AEDA-08DA-458C-9B13-A7D2FC675E08}" type="sibTrans" cxnId="{52C34CAC-755C-4354-98A3-04CADF2D1A23}">
      <dgm:prSet/>
      <dgm:spPr/>
      <dgm:t>
        <a:bodyPr/>
        <a:lstStyle/>
        <a:p>
          <a:endParaRPr lang="en-GB"/>
        </a:p>
      </dgm:t>
    </dgm:pt>
    <dgm:pt modelId="{DFC46358-05D4-4EB6-958B-68A0B7A97CD4}">
      <dgm:prSet phldrT="[Text]" custT="1"/>
      <dgm:spPr>
        <a:solidFill>
          <a:schemeClr val="accent2">
            <a:lumMod val="75000"/>
          </a:schemeClr>
        </a:solidFill>
      </dgm:spPr>
      <dgm:t>
        <a:bodyPr/>
        <a:lstStyle/>
        <a:p>
          <a:r>
            <a:rPr lang="sk-SK" sz="800"/>
            <a:t>Úroveň frekvencie podvodov: 10 % Úroveň sumy podvodov: 23 %</a:t>
          </a:r>
        </a:p>
      </dgm:t>
    </dgm:pt>
    <dgm:pt modelId="{B7C0864B-B619-4685-83E1-2CB205CF5C8B}" type="parTrans" cxnId="{3C732046-67E3-4F0A-9922-3993EB5D1C51}">
      <dgm:prSet/>
      <dgm:spPr/>
      <dgm:t>
        <a:bodyPr/>
        <a:lstStyle/>
        <a:p>
          <a:endParaRPr lang="en-GB"/>
        </a:p>
      </dgm:t>
    </dgm:pt>
    <dgm:pt modelId="{7B3B60C2-CE26-4271-813C-8C93304DFA92}" type="sibTrans" cxnId="{3C732046-67E3-4F0A-9922-3993EB5D1C51}">
      <dgm:prSet/>
      <dgm:spPr/>
      <dgm:t>
        <a:bodyPr/>
        <a:lstStyle/>
        <a:p>
          <a:endParaRPr lang="en-GB"/>
        </a:p>
      </dgm:t>
    </dgm:pt>
    <dgm:pt modelId="{CE476CDA-B9BD-4682-885D-61301A3EFDEA}">
      <dgm:prSet phldrT="[Text]" custT="1"/>
      <dgm:spPr>
        <a:solidFill>
          <a:schemeClr val="accent2">
            <a:lumMod val="75000"/>
          </a:schemeClr>
        </a:solidFill>
      </dgm:spPr>
      <dgm:t>
        <a:bodyPr/>
        <a:lstStyle/>
        <a:p>
          <a:r>
            <a:rPr lang="sk-SK" sz="800" b="1"/>
            <a:t>Hlavné ukazovatele </a:t>
          </a:r>
          <a:r>
            <a:rPr lang="sk-SK" sz="800"/>
            <a:t>(2014 – 2018):</a:t>
          </a:r>
        </a:p>
      </dgm:t>
    </dgm:pt>
    <dgm:pt modelId="{4832B850-7DA8-408E-9252-C42DECB912F1}" type="parTrans" cxnId="{7C3366AA-9BB1-429B-93C6-57D51454AAB0}">
      <dgm:prSet/>
      <dgm:spPr/>
      <dgm:t>
        <a:bodyPr/>
        <a:lstStyle/>
        <a:p>
          <a:endParaRPr lang="en-GB"/>
        </a:p>
      </dgm:t>
    </dgm:pt>
    <dgm:pt modelId="{66265DBD-3F2F-448F-82C4-BCDC5D881CF2}" type="sibTrans" cxnId="{7C3366AA-9BB1-429B-93C6-57D51454AAB0}">
      <dgm:prSet/>
      <dgm:spPr/>
      <dgm:t>
        <a:bodyPr/>
        <a:lstStyle/>
        <a:p>
          <a:endParaRPr lang="en-GB"/>
        </a:p>
      </dgm:t>
    </dgm:pt>
    <dgm:pt modelId="{BCC2BBC8-D397-49C8-8FCD-ECF0AD367829}" type="pres">
      <dgm:prSet presAssocID="{2D8F587C-411B-4F52-B8AD-1465E83B47E0}" presName="Name0" presStyleCnt="0">
        <dgm:presLayoutVars>
          <dgm:dir/>
          <dgm:resizeHandles val="exact"/>
        </dgm:presLayoutVars>
      </dgm:prSet>
      <dgm:spPr/>
      <dgm:t>
        <a:bodyPr/>
        <a:lstStyle/>
        <a:p>
          <a:endParaRPr lang="en-GB"/>
        </a:p>
      </dgm:t>
    </dgm:pt>
    <dgm:pt modelId="{05E9CDE7-4B88-46F9-8F8D-2C9F3BEF17E4}" type="pres">
      <dgm:prSet presAssocID="{2D8F587C-411B-4F52-B8AD-1465E83B47E0}" presName="fgShape" presStyleLbl="fgShp" presStyleIdx="0" presStyleCnt="1" custScaleX="100470" custScaleY="27679" custLinFactNeighborX="-551" custLinFactNeighborY="58894"/>
      <dgm:spPr/>
    </dgm:pt>
    <dgm:pt modelId="{4C2724CC-38CF-4F53-9F48-DC578AB69A48}" type="pres">
      <dgm:prSet presAssocID="{2D8F587C-411B-4F52-B8AD-1465E83B47E0}" presName="linComp" presStyleCnt="0"/>
      <dgm:spPr/>
    </dgm:pt>
    <dgm:pt modelId="{8D1C2331-1F47-4197-8CB0-82635CF0BBA0}" type="pres">
      <dgm:prSet presAssocID="{713EA491-F6AC-4FA9-8E4A-A248313B5A2E}" presName="compNode" presStyleCnt="0"/>
      <dgm:spPr/>
    </dgm:pt>
    <dgm:pt modelId="{315F596E-DDD3-4814-B6BD-28EE7419A29C}" type="pres">
      <dgm:prSet presAssocID="{713EA491-F6AC-4FA9-8E4A-A248313B5A2E}" presName="bkgdShape" presStyleLbl="node1" presStyleIdx="0" presStyleCnt="3" custScaleX="111984" custLinFactNeighborY="224"/>
      <dgm:spPr/>
      <dgm:t>
        <a:bodyPr/>
        <a:lstStyle/>
        <a:p>
          <a:endParaRPr lang="en-GB"/>
        </a:p>
      </dgm:t>
    </dgm:pt>
    <dgm:pt modelId="{3CC83213-762F-43E8-8263-6AFA77281D5D}" type="pres">
      <dgm:prSet presAssocID="{713EA491-F6AC-4FA9-8E4A-A248313B5A2E}" presName="nodeTx" presStyleLbl="node1" presStyleIdx="0" presStyleCnt="3">
        <dgm:presLayoutVars>
          <dgm:bulletEnabled val="1"/>
        </dgm:presLayoutVars>
      </dgm:prSet>
      <dgm:spPr/>
      <dgm:t>
        <a:bodyPr/>
        <a:lstStyle/>
        <a:p>
          <a:endParaRPr lang="en-GB"/>
        </a:p>
      </dgm:t>
    </dgm:pt>
    <dgm:pt modelId="{DF99600F-1CE3-45AB-9AEB-5F85C6E035F4}" type="pres">
      <dgm:prSet presAssocID="{713EA491-F6AC-4FA9-8E4A-A248313B5A2E}" presName="invisiNode" presStyleLbl="node1" presStyleIdx="0" presStyleCnt="3"/>
      <dgm:spPr/>
    </dgm:pt>
    <dgm:pt modelId="{8B93A43E-5298-4173-B4B9-015980C2D876}" type="pres">
      <dgm:prSet presAssocID="{713EA491-F6AC-4FA9-8E4A-A248313B5A2E}" presName="imagNode" presStyleLbl="fgImgPlace1" presStyleIdx="0" presStyleCnt="3" custScaleX="87948" custScaleY="79931"/>
      <dgm:spPr>
        <a:blipFill rotWithShape="1">
          <a:blip xmlns:r="http://schemas.openxmlformats.org/officeDocument/2006/relationships" r:embed="rId1"/>
          <a:stretch>
            <a:fillRect/>
          </a:stretch>
        </a:blipFill>
      </dgm:spPr>
      <dgm:t>
        <a:bodyPr/>
        <a:lstStyle/>
        <a:p>
          <a:endParaRPr lang="en-GB"/>
        </a:p>
      </dgm:t>
    </dgm:pt>
    <dgm:pt modelId="{42F2C4AC-2C9E-460B-B89A-3793EEF6BFC5}" type="pres">
      <dgm:prSet presAssocID="{EB9D372A-CD4B-4C7A-9D19-0DBABD9725F8}" presName="sibTrans" presStyleLbl="sibTrans2D1" presStyleIdx="0" presStyleCnt="0"/>
      <dgm:spPr/>
      <dgm:t>
        <a:bodyPr/>
        <a:lstStyle/>
        <a:p>
          <a:endParaRPr lang="en-GB"/>
        </a:p>
      </dgm:t>
    </dgm:pt>
    <dgm:pt modelId="{9E887971-1014-46CF-8203-05E6350C98E3}" type="pres">
      <dgm:prSet presAssocID="{E5878767-B086-47D2-A255-D21E4979ABC7}" presName="compNode" presStyleCnt="0"/>
      <dgm:spPr/>
    </dgm:pt>
    <dgm:pt modelId="{0050988B-148F-48E4-851F-80E511074A79}" type="pres">
      <dgm:prSet presAssocID="{E5878767-B086-47D2-A255-D21E4979ABC7}" presName="bkgdShape" presStyleLbl="node1" presStyleIdx="1" presStyleCnt="3"/>
      <dgm:spPr/>
      <dgm:t>
        <a:bodyPr/>
        <a:lstStyle/>
        <a:p>
          <a:endParaRPr lang="en-GB"/>
        </a:p>
      </dgm:t>
    </dgm:pt>
    <dgm:pt modelId="{8646506C-440A-473C-8289-8EC36DAAD6D1}" type="pres">
      <dgm:prSet presAssocID="{E5878767-B086-47D2-A255-D21E4979ABC7}" presName="nodeTx" presStyleLbl="node1" presStyleIdx="1" presStyleCnt="3">
        <dgm:presLayoutVars>
          <dgm:bulletEnabled val="1"/>
        </dgm:presLayoutVars>
      </dgm:prSet>
      <dgm:spPr/>
      <dgm:t>
        <a:bodyPr/>
        <a:lstStyle/>
        <a:p>
          <a:endParaRPr lang="en-GB"/>
        </a:p>
      </dgm:t>
    </dgm:pt>
    <dgm:pt modelId="{06E64825-8855-48C9-ABB7-B9C396C5E11B}" type="pres">
      <dgm:prSet presAssocID="{E5878767-B086-47D2-A255-D21E4979ABC7}" presName="invisiNode" presStyleLbl="node1" presStyleIdx="1" presStyleCnt="3"/>
      <dgm:spPr/>
    </dgm:pt>
    <dgm:pt modelId="{22FD2ECC-A966-499C-BE3C-1A27DDB1EBD2}" type="pres">
      <dgm:prSet presAssocID="{E5878767-B086-47D2-A255-D21E4979ABC7}" presName="imagNode" presStyleLbl="fgImgPlace1" presStyleIdx="1" presStyleCnt="3" custScaleX="91706" custScaleY="86321"/>
      <dgm:spPr>
        <a:blipFill rotWithShape="1">
          <a:blip xmlns:r="http://schemas.openxmlformats.org/officeDocument/2006/relationships" r:embed="rId2"/>
          <a:stretch>
            <a:fillRect/>
          </a:stretch>
        </a:blipFill>
      </dgm:spPr>
      <dgm:t>
        <a:bodyPr/>
        <a:lstStyle/>
        <a:p>
          <a:endParaRPr lang="en-GB"/>
        </a:p>
      </dgm:t>
    </dgm:pt>
    <dgm:pt modelId="{D7671FB3-A56F-4EF9-B8E1-A8B13D17A2A0}" type="pres">
      <dgm:prSet presAssocID="{9D1241BA-2A21-41F5-ADD5-C0BFE20E3626}" presName="sibTrans" presStyleLbl="sibTrans2D1" presStyleIdx="0" presStyleCnt="0"/>
      <dgm:spPr/>
      <dgm:t>
        <a:bodyPr/>
        <a:lstStyle/>
        <a:p>
          <a:endParaRPr lang="en-GB"/>
        </a:p>
      </dgm:t>
    </dgm:pt>
    <dgm:pt modelId="{4F0D9BDE-934E-44D2-A82C-3AB291B07117}" type="pres">
      <dgm:prSet presAssocID="{5CF29496-F76F-4913-9E68-201879BBB555}" presName="compNode" presStyleCnt="0"/>
      <dgm:spPr/>
    </dgm:pt>
    <dgm:pt modelId="{3585E626-9480-4EEC-8782-6998BF3A7A8A}" type="pres">
      <dgm:prSet presAssocID="{5CF29496-F76F-4913-9E68-201879BBB555}" presName="bkgdShape" presStyleLbl="node1" presStyleIdx="2" presStyleCnt="3"/>
      <dgm:spPr/>
      <dgm:t>
        <a:bodyPr/>
        <a:lstStyle/>
        <a:p>
          <a:endParaRPr lang="en-GB"/>
        </a:p>
      </dgm:t>
    </dgm:pt>
    <dgm:pt modelId="{968400A4-7E0C-4305-AD15-CDB31AE28892}" type="pres">
      <dgm:prSet presAssocID="{5CF29496-F76F-4913-9E68-201879BBB555}" presName="nodeTx" presStyleLbl="node1" presStyleIdx="2" presStyleCnt="3">
        <dgm:presLayoutVars>
          <dgm:bulletEnabled val="1"/>
        </dgm:presLayoutVars>
      </dgm:prSet>
      <dgm:spPr/>
      <dgm:t>
        <a:bodyPr/>
        <a:lstStyle/>
        <a:p>
          <a:endParaRPr lang="en-GB"/>
        </a:p>
      </dgm:t>
    </dgm:pt>
    <dgm:pt modelId="{8219B7AB-FE9B-4DCA-8F16-BEA9E4CE1CCF}" type="pres">
      <dgm:prSet presAssocID="{5CF29496-F76F-4913-9E68-201879BBB555}" presName="invisiNode" presStyleLbl="node1" presStyleIdx="2" presStyleCnt="3"/>
      <dgm:spPr/>
    </dgm:pt>
    <dgm:pt modelId="{F55A8290-3351-4A9C-A950-187358E72258}" type="pres">
      <dgm:prSet presAssocID="{5CF29496-F76F-4913-9E68-201879BBB555}" presName="imagNode" presStyleLbl="fgImgPlace1" presStyleIdx="2" presStyleCnt="3" custScaleX="86162" custScaleY="81209"/>
      <dgm:spPr>
        <a:blipFill rotWithShape="1">
          <a:blip xmlns:r="http://schemas.openxmlformats.org/officeDocument/2006/relationships" r:embed="rId3"/>
          <a:stretch>
            <a:fillRect/>
          </a:stretch>
        </a:blipFill>
      </dgm:spPr>
      <dgm:t>
        <a:bodyPr/>
        <a:lstStyle/>
        <a:p>
          <a:endParaRPr lang="en-GB"/>
        </a:p>
      </dgm:t>
    </dgm:pt>
  </dgm:ptLst>
  <dgm:cxnLst>
    <dgm:cxn modelId="{52C34CAC-755C-4354-98A3-04CADF2D1A23}" srcId="{CE476CDA-B9BD-4682-885D-61301A3EFDEA}" destId="{49D1B309-746F-419B-8348-82120AE515B7}" srcOrd="0" destOrd="0" parTransId="{3BCB74DE-88C3-4F66-B22C-04A2272DA206}" sibTransId="{0BA0AEDA-08DA-458C-9B13-A7D2FC675E08}"/>
    <dgm:cxn modelId="{6E012E93-79DE-4CD6-93AB-8F071C3A8931}" type="presOf" srcId="{6CEC9194-60CD-40BD-A872-AD382409C3E5}" destId="{315F596E-DDD3-4814-B6BD-28EE7419A29C}" srcOrd="0" destOrd="2" presId="urn:microsoft.com/office/officeart/2005/8/layout/hList7"/>
    <dgm:cxn modelId="{61D42AB9-0A21-41EA-8A95-02F1781B80D4}" srcId="{E5878767-B086-47D2-A255-D21E4979ABC7}" destId="{ED301B7F-980C-40FC-92C4-4EDCB74F27F6}" srcOrd="0" destOrd="0" parTransId="{3FAAEAE4-A5B4-400B-B840-7418B3B60322}" sibTransId="{B6AF5D99-BDD2-4ACF-8068-34FD21A0EA98}"/>
    <dgm:cxn modelId="{F07FC947-C48D-4E59-972E-F5163346D93D}" type="presOf" srcId="{CE476CDA-B9BD-4682-885D-61301A3EFDEA}" destId="{0050988B-148F-48E4-851F-80E511074A79}" srcOrd="0" destOrd="3" presId="urn:microsoft.com/office/officeart/2005/8/layout/hList7"/>
    <dgm:cxn modelId="{DA804C76-39EE-43ED-8339-D177F82E15E1}" srcId="{2D8F587C-411B-4F52-B8AD-1465E83B47E0}" destId="{E5878767-B086-47D2-A255-D21E4979ABC7}" srcOrd="1" destOrd="0" parTransId="{031B0CBC-E91E-4ACF-8DA1-71752CA9ECCE}" sibTransId="{9D1241BA-2A21-41F5-ADD5-C0BFE20E3626}"/>
    <dgm:cxn modelId="{C469E7C3-9F7D-41A8-A66A-52A9DCF5E914}" type="presOf" srcId="{713EA491-F6AC-4FA9-8E4A-A248313B5A2E}" destId="{3CC83213-762F-43E8-8263-6AFA77281D5D}" srcOrd="1" destOrd="0" presId="urn:microsoft.com/office/officeart/2005/8/layout/hList7"/>
    <dgm:cxn modelId="{5687DEA2-8A7F-459B-9E07-DA784EB0BF74}" type="presOf" srcId="{5CF29496-F76F-4913-9E68-201879BBB555}" destId="{968400A4-7E0C-4305-AD15-CDB31AE28892}" srcOrd="1" destOrd="0" presId="urn:microsoft.com/office/officeart/2005/8/layout/hList7"/>
    <dgm:cxn modelId="{D58C488D-5586-46F5-9AAE-9A0493396EB6}" type="presOf" srcId="{F665FDBF-4FAA-48D8-8417-6C47FB9FE12E}" destId="{3CC83213-762F-43E8-8263-6AFA77281D5D}" srcOrd="1" destOrd="1" presId="urn:microsoft.com/office/officeart/2005/8/layout/hList7"/>
    <dgm:cxn modelId="{DBF91557-31C8-465F-BB79-B6E09AF66664}" type="presOf" srcId="{EB9D372A-CD4B-4C7A-9D19-0DBABD9725F8}" destId="{42F2C4AC-2C9E-460B-B89A-3793EEF6BFC5}" srcOrd="0" destOrd="0" presId="urn:microsoft.com/office/officeart/2005/8/layout/hList7"/>
    <dgm:cxn modelId="{5AD023B5-04AD-4C70-9504-9ECF816075AC}" srcId="{5CF29496-F76F-4913-9E68-201879BBB555}" destId="{31A2C6EC-EFAD-461E-9127-32D1CA23FA00}" srcOrd="0" destOrd="0" parTransId="{A6CFF851-58DE-4021-A1E2-D9F00CFD5619}" sibTransId="{9EA95530-EB1E-4BFA-901A-8552CC335BA9}"/>
    <dgm:cxn modelId="{FB757D02-DC03-4764-BA39-30E616B0D5B9}" type="presOf" srcId="{49D1B309-746F-419B-8348-82120AE515B7}" destId="{8646506C-440A-473C-8289-8EC36DAAD6D1}" srcOrd="1" destOrd="4" presId="urn:microsoft.com/office/officeart/2005/8/layout/hList7"/>
    <dgm:cxn modelId="{1235F42E-3A63-4422-9658-67B322CF6453}" type="presOf" srcId="{713EA491-F6AC-4FA9-8E4A-A248313B5A2E}" destId="{315F596E-DDD3-4814-B6BD-28EE7419A29C}" srcOrd="0" destOrd="0" presId="urn:microsoft.com/office/officeart/2005/8/layout/hList7"/>
    <dgm:cxn modelId="{2F3C4593-DDBD-409F-8A81-2FFAD3DF1AAC}" srcId="{5CF29496-F76F-4913-9E68-201879BBB555}" destId="{8D89E774-6205-46EB-B390-156C1EB623C1}" srcOrd="1" destOrd="0" parTransId="{BE1CF92A-8C46-4F4B-B7F5-FA6B6F9B9508}" sibTransId="{1EF81DEA-51BE-4A18-9A6A-3A21CEF855F4}"/>
    <dgm:cxn modelId="{F65F3690-8F5D-4A91-91EC-B782109D2DBA}" type="presOf" srcId="{ED301B7F-980C-40FC-92C4-4EDCB74F27F6}" destId="{8646506C-440A-473C-8289-8EC36DAAD6D1}" srcOrd="1" destOrd="1" presId="urn:microsoft.com/office/officeart/2005/8/layout/hList7"/>
    <dgm:cxn modelId="{035DAB3D-1546-4703-BA9B-38BADFB32CA6}" type="presOf" srcId="{8D89E774-6205-46EB-B390-156C1EB623C1}" destId="{968400A4-7E0C-4305-AD15-CDB31AE28892}" srcOrd="1" destOrd="2" presId="urn:microsoft.com/office/officeart/2005/8/layout/hList7"/>
    <dgm:cxn modelId="{D268AA73-C520-4564-9BC3-70F30DBBC3F3}" srcId="{713EA491-F6AC-4FA9-8E4A-A248313B5A2E}" destId="{6CEC9194-60CD-40BD-A872-AD382409C3E5}" srcOrd="1" destOrd="0" parTransId="{6D565090-DA21-40D1-AED2-C9DF9761498B}" sibTransId="{635A2A26-7E70-42D3-AAB8-76CA33F89829}"/>
    <dgm:cxn modelId="{498FBFE7-5C4C-4ADE-9FDD-E803230565F4}" type="presOf" srcId="{D52C3D73-BF18-4B01-9C28-5AD7165A0F98}" destId="{0050988B-148F-48E4-851F-80E511074A79}" srcOrd="0" destOrd="2" presId="urn:microsoft.com/office/officeart/2005/8/layout/hList7"/>
    <dgm:cxn modelId="{F2C6FFAB-0911-4839-8F92-C3E01B40A980}" srcId="{2D8F587C-411B-4F52-B8AD-1465E83B47E0}" destId="{713EA491-F6AC-4FA9-8E4A-A248313B5A2E}" srcOrd="0" destOrd="0" parTransId="{42DA80B4-868D-4DCA-B92B-233720105FB5}" sibTransId="{EB9D372A-CD4B-4C7A-9D19-0DBABD9725F8}"/>
    <dgm:cxn modelId="{3C732046-67E3-4F0A-9922-3993EB5D1C51}" srcId="{CE476CDA-B9BD-4682-885D-61301A3EFDEA}" destId="{DFC46358-05D4-4EB6-958B-68A0B7A97CD4}" srcOrd="1" destOrd="0" parTransId="{B7C0864B-B619-4685-83E1-2CB205CF5C8B}" sibTransId="{7B3B60C2-CE26-4271-813C-8C93304DFA92}"/>
    <dgm:cxn modelId="{DE71BA87-E4B9-43A4-AC6B-A68A9BA85343}" type="presOf" srcId="{31A2C6EC-EFAD-461E-9127-32D1CA23FA00}" destId="{3585E626-9480-4EEC-8782-6998BF3A7A8A}" srcOrd="0" destOrd="1" presId="urn:microsoft.com/office/officeart/2005/8/layout/hList7"/>
    <dgm:cxn modelId="{3FCDC9C9-D099-4EDF-82EF-84995DE7DD21}" type="presOf" srcId="{D52C3D73-BF18-4B01-9C28-5AD7165A0F98}" destId="{8646506C-440A-473C-8289-8EC36DAAD6D1}" srcOrd="1" destOrd="2" presId="urn:microsoft.com/office/officeart/2005/8/layout/hList7"/>
    <dgm:cxn modelId="{75033769-4E82-4B90-84B9-762BB66DAEA8}" type="presOf" srcId="{9D1241BA-2A21-41F5-ADD5-C0BFE20E3626}" destId="{D7671FB3-A56F-4EF9-B8E1-A8B13D17A2A0}" srcOrd="0" destOrd="0" presId="urn:microsoft.com/office/officeart/2005/8/layout/hList7"/>
    <dgm:cxn modelId="{02F79BE8-4E81-46CF-B459-DE933A85B010}" type="presOf" srcId="{DFC46358-05D4-4EB6-958B-68A0B7A97CD4}" destId="{8646506C-440A-473C-8289-8EC36DAAD6D1}" srcOrd="1" destOrd="5" presId="urn:microsoft.com/office/officeart/2005/8/layout/hList7"/>
    <dgm:cxn modelId="{436094F9-0ACA-492E-96D9-8D88A2BCB986}" type="presOf" srcId="{E5878767-B086-47D2-A255-D21E4979ABC7}" destId="{8646506C-440A-473C-8289-8EC36DAAD6D1}" srcOrd="1" destOrd="0" presId="urn:microsoft.com/office/officeart/2005/8/layout/hList7"/>
    <dgm:cxn modelId="{D1DAE47E-53D6-4CA6-8119-C890770BDA7A}" type="presOf" srcId="{31A2C6EC-EFAD-461E-9127-32D1CA23FA00}" destId="{968400A4-7E0C-4305-AD15-CDB31AE28892}" srcOrd="1" destOrd="1" presId="urn:microsoft.com/office/officeart/2005/8/layout/hList7"/>
    <dgm:cxn modelId="{0035879B-296E-4919-BCC5-88ACE79398BD}" type="presOf" srcId="{CE476CDA-B9BD-4682-885D-61301A3EFDEA}" destId="{8646506C-440A-473C-8289-8EC36DAAD6D1}" srcOrd="1" destOrd="3" presId="urn:microsoft.com/office/officeart/2005/8/layout/hList7"/>
    <dgm:cxn modelId="{1770B7E4-363F-4E44-BF9A-8EC1295F9D0E}" type="presOf" srcId="{F665FDBF-4FAA-48D8-8417-6C47FB9FE12E}" destId="{315F596E-DDD3-4814-B6BD-28EE7419A29C}" srcOrd="0" destOrd="1" presId="urn:microsoft.com/office/officeart/2005/8/layout/hList7"/>
    <dgm:cxn modelId="{8B574648-F0EB-498F-9CFF-43FC46F9E2F0}" type="presOf" srcId="{6CEC9194-60CD-40BD-A872-AD382409C3E5}" destId="{3CC83213-762F-43E8-8263-6AFA77281D5D}" srcOrd="1" destOrd="2" presId="urn:microsoft.com/office/officeart/2005/8/layout/hList7"/>
    <dgm:cxn modelId="{3A5CD4D0-675F-4932-97F7-F8D295D5FD51}" srcId="{713EA491-F6AC-4FA9-8E4A-A248313B5A2E}" destId="{F665FDBF-4FAA-48D8-8417-6C47FB9FE12E}" srcOrd="0" destOrd="0" parTransId="{7EEBA6FD-625F-4719-8DCA-40FCF00BA831}" sibTransId="{0F0E9C1B-1F86-4686-ADEE-FA3BFDCA721C}"/>
    <dgm:cxn modelId="{7C3366AA-9BB1-429B-93C6-57D51454AAB0}" srcId="{E5878767-B086-47D2-A255-D21E4979ABC7}" destId="{CE476CDA-B9BD-4682-885D-61301A3EFDEA}" srcOrd="2" destOrd="0" parTransId="{4832B850-7DA8-408E-9252-C42DECB912F1}" sibTransId="{66265DBD-3F2F-448F-82C4-BCDC5D881CF2}"/>
    <dgm:cxn modelId="{63506489-97AE-401B-9D7E-3F7861FAA093}" srcId="{2D8F587C-411B-4F52-B8AD-1465E83B47E0}" destId="{5CF29496-F76F-4913-9E68-201879BBB555}" srcOrd="2" destOrd="0" parTransId="{CB5D0D42-7DC2-4AE1-A9CC-A07DD21AD2F0}" sibTransId="{DDE17223-96A2-4108-96B7-B21B6A4BB4F0}"/>
    <dgm:cxn modelId="{09A5E657-A942-466A-8D45-BEB69266B110}" type="presOf" srcId="{8D89E774-6205-46EB-B390-156C1EB623C1}" destId="{3585E626-9480-4EEC-8782-6998BF3A7A8A}" srcOrd="0" destOrd="2" presId="urn:microsoft.com/office/officeart/2005/8/layout/hList7"/>
    <dgm:cxn modelId="{D5FDF03C-BDA4-4E9F-BD9A-2B8D88B3FA03}" srcId="{E5878767-B086-47D2-A255-D21E4979ABC7}" destId="{D52C3D73-BF18-4B01-9C28-5AD7165A0F98}" srcOrd="1" destOrd="0" parTransId="{88011822-FDC1-40ED-877D-AD6ECA918FB2}" sibTransId="{93C50C45-D930-4E09-9CE6-77FF913E3674}"/>
    <dgm:cxn modelId="{0F9361C2-668F-418B-B3B6-002F6E16B970}" type="presOf" srcId="{E5878767-B086-47D2-A255-D21E4979ABC7}" destId="{0050988B-148F-48E4-851F-80E511074A79}" srcOrd="0" destOrd="0" presId="urn:microsoft.com/office/officeart/2005/8/layout/hList7"/>
    <dgm:cxn modelId="{7D723F99-BB6C-4D51-93C9-2C550449A0CC}" type="presOf" srcId="{49D1B309-746F-419B-8348-82120AE515B7}" destId="{0050988B-148F-48E4-851F-80E511074A79}" srcOrd="0" destOrd="4" presId="urn:microsoft.com/office/officeart/2005/8/layout/hList7"/>
    <dgm:cxn modelId="{8DEE1652-B786-4F3C-83DE-034B35FAAF1E}" type="presOf" srcId="{ED301B7F-980C-40FC-92C4-4EDCB74F27F6}" destId="{0050988B-148F-48E4-851F-80E511074A79}" srcOrd="0" destOrd="1" presId="urn:microsoft.com/office/officeart/2005/8/layout/hList7"/>
    <dgm:cxn modelId="{0AD63F86-2F5C-421A-9E88-6E4E6FC54CDC}" type="presOf" srcId="{5CF29496-F76F-4913-9E68-201879BBB555}" destId="{3585E626-9480-4EEC-8782-6998BF3A7A8A}" srcOrd="0" destOrd="0" presId="urn:microsoft.com/office/officeart/2005/8/layout/hList7"/>
    <dgm:cxn modelId="{94AE6A30-6A2A-4BA0-874E-CE7597B233EF}" type="presOf" srcId="{DFC46358-05D4-4EB6-958B-68A0B7A97CD4}" destId="{0050988B-148F-48E4-851F-80E511074A79}" srcOrd="0" destOrd="5" presId="urn:microsoft.com/office/officeart/2005/8/layout/hList7"/>
    <dgm:cxn modelId="{6688EA19-459D-4E7C-ABE2-6987FD470163}" type="presOf" srcId="{2D8F587C-411B-4F52-B8AD-1465E83B47E0}" destId="{BCC2BBC8-D397-49C8-8FCD-ECF0AD367829}" srcOrd="0" destOrd="0" presId="urn:microsoft.com/office/officeart/2005/8/layout/hList7"/>
    <dgm:cxn modelId="{ACCE57AC-B28E-4381-B357-61D76C301209}" type="presParOf" srcId="{BCC2BBC8-D397-49C8-8FCD-ECF0AD367829}" destId="{05E9CDE7-4B88-46F9-8F8D-2C9F3BEF17E4}" srcOrd="0" destOrd="0" presId="urn:microsoft.com/office/officeart/2005/8/layout/hList7"/>
    <dgm:cxn modelId="{8054C0E2-10E9-4CCA-A818-32B27F6B95DC}" type="presParOf" srcId="{BCC2BBC8-D397-49C8-8FCD-ECF0AD367829}" destId="{4C2724CC-38CF-4F53-9F48-DC578AB69A48}" srcOrd="1" destOrd="0" presId="urn:microsoft.com/office/officeart/2005/8/layout/hList7"/>
    <dgm:cxn modelId="{540FB8FD-F4B6-48D7-96F1-B8CE263E1AB0}" type="presParOf" srcId="{4C2724CC-38CF-4F53-9F48-DC578AB69A48}" destId="{8D1C2331-1F47-4197-8CB0-82635CF0BBA0}" srcOrd="0" destOrd="0" presId="urn:microsoft.com/office/officeart/2005/8/layout/hList7"/>
    <dgm:cxn modelId="{24158615-A8C0-447E-AE81-962135428488}" type="presParOf" srcId="{8D1C2331-1F47-4197-8CB0-82635CF0BBA0}" destId="{315F596E-DDD3-4814-B6BD-28EE7419A29C}" srcOrd="0" destOrd="0" presId="urn:microsoft.com/office/officeart/2005/8/layout/hList7"/>
    <dgm:cxn modelId="{81B734C5-91E3-4BA3-9618-5F9EC13D41F0}" type="presParOf" srcId="{8D1C2331-1F47-4197-8CB0-82635CF0BBA0}" destId="{3CC83213-762F-43E8-8263-6AFA77281D5D}" srcOrd="1" destOrd="0" presId="urn:microsoft.com/office/officeart/2005/8/layout/hList7"/>
    <dgm:cxn modelId="{243971D0-E518-4908-B1B1-761B62A8E288}" type="presParOf" srcId="{8D1C2331-1F47-4197-8CB0-82635CF0BBA0}" destId="{DF99600F-1CE3-45AB-9AEB-5F85C6E035F4}" srcOrd="2" destOrd="0" presId="urn:microsoft.com/office/officeart/2005/8/layout/hList7"/>
    <dgm:cxn modelId="{4D85FAD1-73BB-478D-B71A-784F32015B23}" type="presParOf" srcId="{8D1C2331-1F47-4197-8CB0-82635CF0BBA0}" destId="{8B93A43E-5298-4173-B4B9-015980C2D876}" srcOrd="3" destOrd="0" presId="urn:microsoft.com/office/officeart/2005/8/layout/hList7"/>
    <dgm:cxn modelId="{56A32F11-436B-46E9-94DB-9B9057336A6E}" type="presParOf" srcId="{4C2724CC-38CF-4F53-9F48-DC578AB69A48}" destId="{42F2C4AC-2C9E-460B-B89A-3793EEF6BFC5}" srcOrd="1" destOrd="0" presId="urn:microsoft.com/office/officeart/2005/8/layout/hList7"/>
    <dgm:cxn modelId="{DE0885D0-4D49-42E5-8C1E-3AB4CE1F8ECF}" type="presParOf" srcId="{4C2724CC-38CF-4F53-9F48-DC578AB69A48}" destId="{9E887971-1014-46CF-8203-05E6350C98E3}" srcOrd="2" destOrd="0" presId="urn:microsoft.com/office/officeart/2005/8/layout/hList7"/>
    <dgm:cxn modelId="{DDD08ED1-E3A1-42AB-8FF1-0DBA1003032D}" type="presParOf" srcId="{9E887971-1014-46CF-8203-05E6350C98E3}" destId="{0050988B-148F-48E4-851F-80E511074A79}" srcOrd="0" destOrd="0" presId="urn:microsoft.com/office/officeart/2005/8/layout/hList7"/>
    <dgm:cxn modelId="{B2D048A7-7235-4E50-A060-F738BC2349E4}" type="presParOf" srcId="{9E887971-1014-46CF-8203-05E6350C98E3}" destId="{8646506C-440A-473C-8289-8EC36DAAD6D1}" srcOrd="1" destOrd="0" presId="urn:microsoft.com/office/officeart/2005/8/layout/hList7"/>
    <dgm:cxn modelId="{C95E6462-B77D-4FE0-B365-10DB77AF5739}" type="presParOf" srcId="{9E887971-1014-46CF-8203-05E6350C98E3}" destId="{06E64825-8855-48C9-ABB7-B9C396C5E11B}" srcOrd="2" destOrd="0" presId="urn:microsoft.com/office/officeart/2005/8/layout/hList7"/>
    <dgm:cxn modelId="{F5D2DB29-57FA-4F69-B42A-7635B9CC583D}" type="presParOf" srcId="{9E887971-1014-46CF-8203-05E6350C98E3}" destId="{22FD2ECC-A966-499C-BE3C-1A27DDB1EBD2}" srcOrd="3" destOrd="0" presId="urn:microsoft.com/office/officeart/2005/8/layout/hList7"/>
    <dgm:cxn modelId="{34FE56A7-27E7-45C8-A2CC-363E54E38D9F}" type="presParOf" srcId="{4C2724CC-38CF-4F53-9F48-DC578AB69A48}" destId="{D7671FB3-A56F-4EF9-B8E1-A8B13D17A2A0}" srcOrd="3" destOrd="0" presId="urn:microsoft.com/office/officeart/2005/8/layout/hList7"/>
    <dgm:cxn modelId="{120F5CF9-137E-40E1-835B-73F3B2B5C919}" type="presParOf" srcId="{4C2724CC-38CF-4F53-9F48-DC578AB69A48}" destId="{4F0D9BDE-934E-44D2-A82C-3AB291B07117}" srcOrd="4" destOrd="0" presId="urn:microsoft.com/office/officeart/2005/8/layout/hList7"/>
    <dgm:cxn modelId="{26444EC8-286F-419F-B78C-BC5EB3671C93}" type="presParOf" srcId="{4F0D9BDE-934E-44D2-A82C-3AB291B07117}" destId="{3585E626-9480-4EEC-8782-6998BF3A7A8A}" srcOrd="0" destOrd="0" presId="urn:microsoft.com/office/officeart/2005/8/layout/hList7"/>
    <dgm:cxn modelId="{F409D606-3EDF-4103-A8B1-7B62C3D817D0}" type="presParOf" srcId="{4F0D9BDE-934E-44D2-A82C-3AB291B07117}" destId="{968400A4-7E0C-4305-AD15-CDB31AE28892}" srcOrd="1" destOrd="0" presId="urn:microsoft.com/office/officeart/2005/8/layout/hList7"/>
    <dgm:cxn modelId="{54E24EBB-D23F-4302-8993-183EC73AB0F8}" type="presParOf" srcId="{4F0D9BDE-934E-44D2-A82C-3AB291B07117}" destId="{8219B7AB-FE9B-4DCA-8F16-BEA9E4CE1CCF}" srcOrd="2" destOrd="0" presId="urn:microsoft.com/office/officeart/2005/8/layout/hList7"/>
    <dgm:cxn modelId="{7ECAB854-8BB9-421D-A6FC-6BD0820DD162}" type="presParOf" srcId="{4F0D9BDE-934E-44D2-A82C-3AB291B07117}" destId="{F55A8290-3351-4A9C-A950-187358E72258}" srcOrd="3" destOrd="0" presId="urn:microsoft.com/office/officeart/2005/8/layout/hList7"/>
  </dgm:cxnLst>
  <dgm:bg/>
  <dgm:whole/>
  <dgm:extLst>
    <a:ext uri="http://schemas.microsoft.com/office/drawing/2008/diagram">
      <dsp:dataModelExt xmlns:dsp="http://schemas.microsoft.com/office/drawing/2008/diagram" relId="rId138"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F8511BEE-A677-475A-BA62-E57C1697752E}" type="doc">
      <dgm:prSet loTypeId="urn:microsoft.com/office/officeart/2005/8/layout/hList3" loCatId="list" qsTypeId="urn:microsoft.com/office/officeart/2005/8/quickstyle/simple1" qsCatId="simple" csTypeId="urn:microsoft.com/office/officeart/2005/8/colors/accent1_2" csCatId="accent1" phldr="1"/>
      <dgm:spPr/>
      <dgm:t>
        <a:bodyPr/>
        <a:lstStyle/>
        <a:p>
          <a:endParaRPr lang="en-GB"/>
        </a:p>
      </dgm:t>
    </dgm:pt>
    <dgm:pt modelId="{B990EC63-EE46-447E-AEC9-35E3379382CE}">
      <dgm:prSet phldrT="[Text]" custT="1"/>
      <dgm:spPr>
        <a:solidFill>
          <a:schemeClr val="accent3">
            <a:lumMod val="75000"/>
          </a:schemeClr>
        </a:solidFill>
      </dgm:spPr>
      <dgm:t>
        <a:bodyPr/>
        <a:lstStyle/>
        <a:p>
          <a:r>
            <a:rPr lang="sk-SK" sz="1400"/>
            <a:t>Dotknuté trhové opatrenia</a:t>
          </a:r>
        </a:p>
      </dgm:t>
    </dgm:pt>
    <dgm:pt modelId="{37FBD545-48B0-4EE3-BD7D-9F30BC1D52DD}" type="parTrans" cxnId="{89A4D832-77E8-4664-A6B4-E33FE57E2E3C}">
      <dgm:prSet/>
      <dgm:spPr/>
      <dgm:t>
        <a:bodyPr/>
        <a:lstStyle/>
        <a:p>
          <a:endParaRPr lang="en-GB"/>
        </a:p>
      </dgm:t>
    </dgm:pt>
    <dgm:pt modelId="{9C7F4065-3601-4C13-9394-5299B6DD350E}" type="sibTrans" cxnId="{89A4D832-77E8-4664-A6B4-E33FE57E2E3C}">
      <dgm:prSet/>
      <dgm:spPr/>
      <dgm:t>
        <a:bodyPr/>
        <a:lstStyle/>
        <a:p>
          <a:endParaRPr lang="en-GB"/>
        </a:p>
      </dgm:t>
    </dgm:pt>
    <dgm:pt modelId="{8AA1DCFE-4744-4370-986E-328C2CAD0E89}">
      <dgm:prSet phldrT="[Text]" custT="1"/>
      <dgm:spPr>
        <a:solidFill>
          <a:schemeClr val="accent3">
            <a:lumMod val="60000"/>
            <a:lumOff val="40000"/>
          </a:schemeClr>
        </a:solidFill>
      </dgm:spPr>
      <dgm:t>
        <a:bodyPr/>
        <a:lstStyle/>
        <a:p>
          <a:r>
            <a:rPr lang="sk-SK" sz="900">
              <a:solidFill>
                <a:sysClr val="windowText" lastClr="000000"/>
              </a:solidFill>
            </a:rPr>
            <a:t>Výrobky vinohradnícko-vinárskeho odvetvia</a:t>
          </a:r>
        </a:p>
      </dgm:t>
    </dgm:pt>
    <dgm:pt modelId="{E400D8CF-206D-495B-A979-64A7F29C81DE}" type="parTrans" cxnId="{D04186F1-4C5A-4E34-A8D6-DC912490FDFA}">
      <dgm:prSet/>
      <dgm:spPr/>
      <dgm:t>
        <a:bodyPr/>
        <a:lstStyle/>
        <a:p>
          <a:endParaRPr lang="en-GB"/>
        </a:p>
      </dgm:t>
    </dgm:pt>
    <dgm:pt modelId="{FEE3F770-A9DF-4711-865B-9A8FA1D1AC44}" type="sibTrans" cxnId="{D04186F1-4C5A-4E34-A8D6-DC912490FDFA}">
      <dgm:prSet/>
      <dgm:spPr/>
      <dgm:t>
        <a:bodyPr/>
        <a:lstStyle/>
        <a:p>
          <a:endParaRPr lang="en-GB"/>
        </a:p>
      </dgm:t>
    </dgm:pt>
    <dgm:pt modelId="{8848EF80-A382-4167-8389-49386E1DA3CF}">
      <dgm:prSet phldrT="[Text]" custT="1"/>
      <dgm:spPr>
        <a:solidFill>
          <a:schemeClr val="accent3">
            <a:lumMod val="20000"/>
            <a:lumOff val="80000"/>
          </a:schemeClr>
        </a:solidFill>
      </dgm:spPr>
      <dgm:t>
        <a:bodyPr/>
        <a:lstStyle/>
        <a:p>
          <a:r>
            <a:rPr lang="sk-SK" sz="900">
              <a:solidFill>
                <a:sysClr val="windowText" lastClr="000000"/>
              </a:solidFill>
            </a:rPr>
            <a:t>Ovocie a zelenina</a:t>
          </a:r>
        </a:p>
      </dgm:t>
    </dgm:pt>
    <dgm:pt modelId="{BE546938-0920-4D07-92FC-DB7779DC3A86}" type="parTrans" cxnId="{D918A8FB-2D4C-4F70-AE8E-0019A82688B7}">
      <dgm:prSet/>
      <dgm:spPr/>
      <dgm:t>
        <a:bodyPr/>
        <a:lstStyle/>
        <a:p>
          <a:endParaRPr lang="en-GB"/>
        </a:p>
      </dgm:t>
    </dgm:pt>
    <dgm:pt modelId="{A7352B2A-F4FD-48FB-8E6C-8A681703DD52}" type="sibTrans" cxnId="{D918A8FB-2D4C-4F70-AE8E-0019A82688B7}">
      <dgm:prSet/>
      <dgm:spPr/>
      <dgm:t>
        <a:bodyPr/>
        <a:lstStyle/>
        <a:p>
          <a:endParaRPr lang="en-GB"/>
        </a:p>
      </dgm:t>
    </dgm:pt>
    <dgm:pt modelId="{D28064FC-AFA2-46F7-91E7-3A7388D45472}">
      <dgm:prSet phldrT="[Text]" custT="1"/>
      <dgm:spPr>
        <a:solidFill>
          <a:schemeClr val="accent3">
            <a:lumMod val="40000"/>
            <a:lumOff val="60000"/>
          </a:schemeClr>
        </a:solidFill>
      </dgm:spPr>
      <dgm:t>
        <a:bodyPr/>
        <a:lstStyle/>
        <a:p>
          <a:r>
            <a:rPr lang="sk-SK" sz="900">
              <a:solidFill>
                <a:sysClr val="windowText" lastClr="000000"/>
              </a:solidFill>
            </a:rPr>
            <a:t>Bravčové mäso, vajcia a hydina, včelárske a iné živočíšne výrobky</a:t>
          </a:r>
        </a:p>
      </dgm:t>
    </dgm:pt>
    <dgm:pt modelId="{427529CC-C259-4B22-B30F-269B20DC7AA3}" type="parTrans" cxnId="{D771F6C6-78FB-4825-BBD7-9591BE2EADC0}">
      <dgm:prSet/>
      <dgm:spPr/>
      <dgm:t>
        <a:bodyPr/>
        <a:lstStyle/>
        <a:p>
          <a:endParaRPr lang="en-GB"/>
        </a:p>
      </dgm:t>
    </dgm:pt>
    <dgm:pt modelId="{373EC2EB-CE2C-4FE0-8B39-6E351680DC46}" type="sibTrans" cxnId="{D771F6C6-78FB-4825-BBD7-9591BE2EADC0}">
      <dgm:prSet/>
      <dgm:spPr/>
      <dgm:t>
        <a:bodyPr/>
        <a:lstStyle/>
        <a:p>
          <a:endParaRPr lang="en-GB"/>
        </a:p>
      </dgm:t>
    </dgm:pt>
    <dgm:pt modelId="{5D6856CE-29A4-4F60-81C8-AB5942765FB6}" type="pres">
      <dgm:prSet presAssocID="{F8511BEE-A677-475A-BA62-E57C1697752E}" presName="composite" presStyleCnt="0">
        <dgm:presLayoutVars>
          <dgm:chMax val="1"/>
          <dgm:dir/>
          <dgm:resizeHandles val="exact"/>
        </dgm:presLayoutVars>
      </dgm:prSet>
      <dgm:spPr/>
      <dgm:t>
        <a:bodyPr/>
        <a:lstStyle/>
        <a:p>
          <a:endParaRPr lang="en-GB"/>
        </a:p>
      </dgm:t>
    </dgm:pt>
    <dgm:pt modelId="{E75D8856-CFA1-45B6-B558-9ACB90964218}" type="pres">
      <dgm:prSet presAssocID="{B990EC63-EE46-447E-AEC9-35E3379382CE}" presName="roof" presStyleLbl="dkBgShp" presStyleIdx="0" presStyleCnt="2"/>
      <dgm:spPr/>
      <dgm:t>
        <a:bodyPr/>
        <a:lstStyle/>
        <a:p>
          <a:endParaRPr lang="en-GB"/>
        </a:p>
      </dgm:t>
    </dgm:pt>
    <dgm:pt modelId="{D03B1C56-6121-43E6-8DB7-6FAB39A58BC6}" type="pres">
      <dgm:prSet presAssocID="{B990EC63-EE46-447E-AEC9-35E3379382CE}" presName="pillars" presStyleCnt="0"/>
      <dgm:spPr/>
    </dgm:pt>
    <dgm:pt modelId="{EFFC9CF4-0532-4E71-9ECB-8D76EA871050}" type="pres">
      <dgm:prSet presAssocID="{B990EC63-EE46-447E-AEC9-35E3379382CE}" presName="pillar1" presStyleLbl="node1" presStyleIdx="0" presStyleCnt="3">
        <dgm:presLayoutVars>
          <dgm:bulletEnabled val="1"/>
        </dgm:presLayoutVars>
      </dgm:prSet>
      <dgm:spPr/>
      <dgm:t>
        <a:bodyPr/>
        <a:lstStyle/>
        <a:p>
          <a:endParaRPr lang="en-GB"/>
        </a:p>
      </dgm:t>
    </dgm:pt>
    <dgm:pt modelId="{EDC0C0E7-9ED1-46D0-AE5F-EC3004A75025}" type="pres">
      <dgm:prSet presAssocID="{8848EF80-A382-4167-8389-49386E1DA3CF}" presName="pillarX" presStyleLbl="node1" presStyleIdx="1" presStyleCnt="3">
        <dgm:presLayoutVars>
          <dgm:bulletEnabled val="1"/>
        </dgm:presLayoutVars>
      </dgm:prSet>
      <dgm:spPr/>
      <dgm:t>
        <a:bodyPr/>
        <a:lstStyle/>
        <a:p>
          <a:endParaRPr lang="en-GB"/>
        </a:p>
      </dgm:t>
    </dgm:pt>
    <dgm:pt modelId="{435D7AD4-8208-44D8-B97A-C1E09BAFD971}" type="pres">
      <dgm:prSet presAssocID="{D28064FC-AFA2-46F7-91E7-3A7388D45472}" presName="pillarX" presStyleLbl="node1" presStyleIdx="2" presStyleCnt="3">
        <dgm:presLayoutVars>
          <dgm:bulletEnabled val="1"/>
        </dgm:presLayoutVars>
      </dgm:prSet>
      <dgm:spPr/>
      <dgm:t>
        <a:bodyPr/>
        <a:lstStyle/>
        <a:p>
          <a:endParaRPr lang="en-GB"/>
        </a:p>
      </dgm:t>
    </dgm:pt>
    <dgm:pt modelId="{308C5C45-CFFE-4E58-8973-67C51A10C1DB}" type="pres">
      <dgm:prSet presAssocID="{B990EC63-EE46-447E-AEC9-35E3379382CE}" presName="base" presStyleLbl="dkBgShp" presStyleIdx="1" presStyleCnt="2"/>
      <dgm:spPr>
        <a:solidFill>
          <a:schemeClr val="accent3">
            <a:lumMod val="75000"/>
          </a:schemeClr>
        </a:solidFill>
      </dgm:spPr>
    </dgm:pt>
  </dgm:ptLst>
  <dgm:cxnLst>
    <dgm:cxn modelId="{D918A8FB-2D4C-4F70-AE8E-0019A82688B7}" srcId="{B990EC63-EE46-447E-AEC9-35E3379382CE}" destId="{8848EF80-A382-4167-8389-49386E1DA3CF}" srcOrd="1" destOrd="0" parTransId="{BE546938-0920-4D07-92FC-DB7779DC3A86}" sibTransId="{A7352B2A-F4FD-48FB-8E6C-8A681703DD52}"/>
    <dgm:cxn modelId="{D771F6C6-78FB-4825-BBD7-9591BE2EADC0}" srcId="{B990EC63-EE46-447E-AEC9-35E3379382CE}" destId="{D28064FC-AFA2-46F7-91E7-3A7388D45472}" srcOrd="2" destOrd="0" parTransId="{427529CC-C259-4B22-B30F-269B20DC7AA3}" sibTransId="{373EC2EB-CE2C-4FE0-8B39-6E351680DC46}"/>
    <dgm:cxn modelId="{0C1EE6FB-1B6C-485B-BA29-E82E51EC1C01}" type="presOf" srcId="{F8511BEE-A677-475A-BA62-E57C1697752E}" destId="{5D6856CE-29A4-4F60-81C8-AB5942765FB6}" srcOrd="0" destOrd="0" presId="urn:microsoft.com/office/officeart/2005/8/layout/hList3"/>
    <dgm:cxn modelId="{A1E34D32-97F8-4CF6-B21B-896005694FEC}" type="presOf" srcId="{D28064FC-AFA2-46F7-91E7-3A7388D45472}" destId="{435D7AD4-8208-44D8-B97A-C1E09BAFD971}" srcOrd="0" destOrd="0" presId="urn:microsoft.com/office/officeart/2005/8/layout/hList3"/>
    <dgm:cxn modelId="{EE180BF1-FAD9-4F09-991F-3DF15AFCF0A5}" type="presOf" srcId="{8848EF80-A382-4167-8389-49386E1DA3CF}" destId="{EDC0C0E7-9ED1-46D0-AE5F-EC3004A75025}" srcOrd="0" destOrd="0" presId="urn:microsoft.com/office/officeart/2005/8/layout/hList3"/>
    <dgm:cxn modelId="{89A4D832-77E8-4664-A6B4-E33FE57E2E3C}" srcId="{F8511BEE-A677-475A-BA62-E57C1697752E}" destId="{B990EC63-EE46-447E-AEC9-35E3379382CE}" srcOrd="0" destOrd="0" parTransId="{37FBD545-48B0-4EE3-BD7D-9F30BC1D52DD}" sibTransId="{9C7F4065-3601-4C13-9394-5299B6DD350E}"/>
    <dgm:cxn modelId="{20FA8D59-4037-49DB-96C9-36C49B130BF2}" type="presOf" srcId="{8AA1DCFE-4744-4370-986E-328C2CAD0E89}" destId="{EFFC9CF4-0532-4E71-9ECB-8D76EA871050}" srcOrd="0" destOrd="0" presId="urn:microsoft.com/office/officeart/2005/8/layout/hList3"/>
    <dgm:cxn modelId="{D04186F1-4C5A-4E34-A8D6-DC912490FDFA}" srcId="{B990EC63-EE46-447E-AEC9-35E3379382CE}" destId="{8AA1DCFE-4744-4370-986E-328C2CAD0E89}" srcOrd="0" destOrd="0" parTransId="{E400D8CF-206D-495B-A979-64A7F29C81DE}" sibTransId="{FEE3F770-A9DF-4711-865B-9A8FA1D1AC44}"/>
    <dgm:cxn modelId="{2D16E717-6136-41E9-8C2D-304B088EBCE5}" type="presOf" srcId="{B990EC63-EE46-447E-AEC9-35E3379382CE}" destId="{E75D8856-CFA1-45B6-B558-9ACB90964218}" srcOrd="0" destOrd="0" presId="urn:microsoft.com/office/officeart/2005/8/layout/hList3"/>
    <dgm:cxn modelId="{C0F82F2D-5433-4D3E-A327-B7E51CCF209F}" type="presParOf" srcId="{5D6856CE-29A4-4F60-81C8-AB5942765FB6}" destId="{E75D8856-CFA1-45B6-B558-9ACB90964218}" srcOrd="0" destOrd="0" presId="urn:microsoft.com/office/officeart/2005/8/layout/hList3"/>
    <dgm:cxn modelId="{4DE3322D-89B9-4C51-9887-D148CBDAB9AD}" type="presParOf" srcId="{5D6856CE-29A4-4F60-81C8-AB5942765FB6}" destId="{D03B1C56-6121-43E6-8DB7-6FAB39A58BC6}" srcOrd="1" destOrd="0" presId="urn:microsoft.com/office/officeart/2005/8/layout/hList3"/>
    <dgm:cxn modelId="{C40F3A63-C9C9-47D3-8F88-B89AF22FDF87}" type="presParOf" srcId="{D03B1C56-6121-43E6-8DB7-6FAB39A58BC6}" destId="{EFFC9CF4-0532-4E71-9ECB-8D76EA871050}" srcOrd="0" destOrd="0" presId="urn:microsoft.com/office/officeart/2005/8/layout/hList3"/>
    <dgm:cxn modelId="{7D5478E8-857B-42CA-9B1E-54185AAE4970}" type="presParOf" srcId="{D03B1C56-6121-43E6-8DB7-6FAB39A58BC6}" destId="{EDC0C0E7-9ED1-46D0-AE5F-EC3004A75025}" srcOrd="1" destOrd="0" presId="urn:microsoft.com/office/officeart/2005/8/layout/hList3"/>
    <dgm:cxn modelId="{181E922C-6650-4E64-B2F0-ACEF0F3D711F}" type="presParOf" srcId="{D03B1C56-6121-43E6-8DB7-6FAB39A58BC6}" destId="{435D7AD4-8208-44D8-B97A-C1E09BAFD971}" srcOrd="2" destOrd="0" presId="urn:microsoft.com/office/officeart/2005/8/layout/hList3"/>
    <dgm:cxn modelId="{6DDF9FAC-5825-49D2-98EB-B06BFB79D3C2}" type="presParOf" srcId="{5D6856CE-29A4-4F60-81C8-AB5942765FB6}" destId="{308C5C45-CFFE-4E58-8973-67C51A10C1DB}" srcOrd="2" destOrd="0" presId="urn:microsoft.com/office/officeart/2005/8/layout/hList3"/>
  </dgm:cxnLst>
  <dgm:bg/>
  <dgm:whole/>
  <dgm:extLst>
    <a:ext uri="http://schemas.microsoft.com/office/drawing/2008/diagram">
      <dsp:dataModelExt xmlns:dsp="http://schemas.microsoft.com/office/drawing/2008/diagram" relId="rId149"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17E954C7-95AE-4AB8-B543-919A26F56FEB}" type="doc">
      <dgm:prSet loTypeId="urn:microsoft.com/office/officeart/2008/layout/TitlePictureLineup" loCatId="picture" qsTypeId="urn:microsoft.com/office/officeart/2005/8/quickstyle/simple1" qsCatId="simple" csTypeId="urn:microsoft.com/office/officeart/2005/8/colors/accent1_2" csCatId="accent1" phldr="1"/>
      <dgm:spPr/>
      <dgm:t>
        <a:bodyPr/>
        <a:lstStyle/>
        <a:p>
          <a:endParaRPr lang="en-US"/>
        </a:p>
      </dgm:t>
    </dgm:pt>
    <dgm:pt modelId="{F9BD23C1-1E32-4344-A973-09400BDC2A0B}">
      <dgm:prSet phldrT="[Text]" custT="1"/>
      <dgm:spPr/>
      <dgm:t>
        <a:bodyPr/>
        <a:lstStyle/>
        <a:p>
          <a:r>
            <a:rPr lang="sk-SK" sz="900"/>
            <a:t>Arachne, nové IT nástroje alebo rozšírená dostupnosť</a:t>
          </a:r>
        </a:p>
      </dgm:t>
    </dgm:pt>
    <dgm:pt modelId="{6B9F6321-7850-4E8F-94F5-6071A8838EF6}" type="parTrans" cxnId="{FC2BB907-4221-4D2E-B9BB-B51A602D43E8}">
      <dgm:prSet/>
      <dgm:spPr/>
      <dgm:t>
        <a:bodyPr/>
        <a:lstStyle/>
        <a:p>
          <a:endParaRPr lang="en-US"/>
        </a:p>
      </dgm:t>
    </dgm:pt>
    <dgm:pt modelId="{FB8BC371-EB58-4A68-8449-61DF9B23DA37}" type="sibTrans" cxnId="{FC2BB907-4221-4D2E-B9BB-B51A602D43E8}">
      <dgm:prSet/>
      <dgm:spPr/>
      <dgm:t>
        <a:bodyPr/>
        <a:lstStyle/>
        <a:p>
          <a:endParaRPr lang="en-US"/>
        </a:p>
      </dgm:t>
    </dgm:pt>
    <dgm:pt modelId="{35606157-4786-4747-A311-A276213F0699}">
      <dgm:prSet phldrT="[Text]" custT="1"/>
      <dgm:spPr/>
      <dgm:t>
        <a:bodyPr/>
        <a:lstStyle/>
        <a:p>
          <a:pPr algn="l"/>
          <a:r>
            <a:rPr lang="sk-SK" sz="1050"/>
            <a:t> </a:t>
          </a:r>
          <a:r>
            <a:rPr lang="sk-SK" sz="1000"/>
            <a:t>Zavedenie nástroja na hodnotenie rizika Arachne: BE, HU, IE</a:t>
          </a:r>
        </a:p>
        <a:p>
          <a:pPr algn="l"/>
          <a:r>
            <a:rPr lang="sk-SK" sz="1000"/>
            <a:t>Vývoj metodiky na používanie varovných signálov ARACHNE: NL</a:t>
          </a:r>
        </a:p>
        <a:p>
          <a:pPr algn="l"/>
          <a:r>
            <a:rPr lang="sk-SK" sz="1000"/>
            <a:t>Ďalšie IT nástroje: FI, HU, LU</a:t>
          </a:r>
        </a:p>
        <a:p>
          <a:pPr algn="l"/>
          <a:r>
            <a:rPr lang="sk-SK" sz="1000"/>
            <a:t>Nástroj pre oznamovateľov: PT</a:t>
          </a:r>
        </a:p>
      </dgm:t>
    </dgm:pt>
    <dgm:pt modelId="{4A147075-57B8-43E8-8519-8A2592566A98}" type="parTrans" cxnId="{833E9025-E9EC-46D0-A21A-2A13941ECCF7}">
      <dgm:prSet/>
      <dgm:spPr/>
      <dgm:t>
        <a:bodyPr/>
        <a:lstStyle/>
        <a:p>
          <a:endParaRPr lang="en-US"/>
        </a:p>
      </dgm:t>
    </dgm:pt>
    <dgm:pt modelId="{D7CE38D3-C698-488B-B694-E65A0229090E}" type="sibTrans" cxnId="{833E9025-E9EC-46D0-A21A-2A13941ECCF7}">
      <dgm:prSet/>
      <dgm:spPr/>
      <dgm:t>
        <a:bodyPr/>
        <a:lstStyle/>
        <a:p>
          <a:endParaRPr lang="en-US"/>
        </a:p>
      </dgm:t>
    </dgm:pt>
    <dgm:pt modelId="{DC3C1FB0-DA34-40AB-B80E-269F786DAA9E}">
      <dgm:prSet phldrT="[Text]" custT="1"/>
      <dgm:spPr/>
      <dgm:t>
        <a:bodyPr/>
        <a:lstStyle/>
        <a:p>
          <a:r>
            <a:rPr lang="sk-SK" sz="900"/>
            <a:t>Sektorové alebo regionálne stratégie, národná koordinácia</a:t>
          </a:r>
        </a:p>
      </dgm:t>
    </dgm:pt>
    <dgm:pt modelId="{5CD68AC6-3C56-4602-AED8-07703D69EBAA}" type="parTrans" cxnId="{95D3E816-02C3-4D2C-9D10-217CA7A45EC3}">
      <dgm:prSet/>
      <dgm:spPr/>
      <dgm:t>
        <a:bodyPr/>
        <a:lstStyle/>
        <a:p>
          <a:endParaRPr lang="en-US"/>
        </a:p>
      </dgm:t>
    </dgm:pt>
    <dgm:pt modelId="{23FB978D-022F-4EBD-81FF-EEFBB8635CCF}" type="sibTrans" cxnId="{95D3E816-02C3-4D2C-9D10-217CA7A45EC3}">
      <dgm:prSet/>
      <dgm:spPr/>
      <dgm:t>
        <a:bodyPr/>
        <a:lstStyle/>
        <a:p>
          <a:endParaRPr lang="en-US"/>
        </a:p>
      </dgm:t>
    </dgm:pt>
    <dgm:pt modelId="{1C5110CC-BC66-4AED-AE41-27C3EC96CA0A}">
      <dgm:prSet phldrT="[Text]" custT="1"/>
      <dgm:spPr/>
      <dgm:t>
        <a:bodyPr/>
        <a:lstStyle/>
        <a:p>
          <a:pPr algn="l"/>
          <a:r>
            <a:rPr lang="sk-SK" sz="1050"/>
            <a:t>Regionálne stratégie: DE (3)</a:t>
          </a:r>
        </a:p>
        <a:p>
          <a:pPr algn="l"/>
          <a:r>
            <a:rPr lang="sk-SK" sz="1050"/>
            <a:t>Sektorová stratégia: PT</a:t>
          </a:r>
        </a:p>
        <a:p>
          <a:pPr algn="l"/>
          <a:r>
            <a:rPr lang="sk-SK" sz="1050"/>
            <a:t>Memorandum o porozumení medzi vnútroštátnymi orgánmi (boj proti korupcii): IT</a:t>
          </a:r>
        </a:p>
      </dgm:t>
    </dgm:pt>
    <dgm:pt modelId="{978FECA3-1112-465E-95FE-AFD644A67C8B}" type="parTrans" cxnId="{A0C01244-1130-4129-91D3-EDBE65E4AE3B}">
      <dgm:prSet/>
      <dgm:spPr/>
      <dgm:t>
        <a:bodyPr/>
        <a:lstStyle/>
        <a:p>
          <a:endParaRPr lang="en-US"/>
        </a:p>
      </dgm:t>
    </dgm:pt>
    <dgm:pt modelId="{0B4EE46F-13D2-4DD1-B022-B1C94D2B3284}" type="sibTrans" cxnId="{A0C01244-1130-4129-91D3-EDBE65E4AE3B}">
      <dgm:prSet/>
      <dgm:spPr/>
      <dgm:t>
        <a:bodyPr/>
        <a:lstStyle/>
        <a:p>
          <a:endParaRPr lang="en-US"/>
        </a:p>
      </dgm:t>
    </dgm:pt>
    <dgm:pt modelId="{121A5768-612D-41D8-9802-2FB867B29D3E}">
      <dgm:prSet phldrT="[Text]" custT="1"/>
      <dgm:spPr/>
      <dgm:t>
        <a:bodyPr/>
        <a:lstStyle/>
        <a:p>
          <a:r>
            <a:rPr lang="sk-SK" sz="900"/>
            <a:t>Ďalšie opatrenia</a:t>
          </a:r>
        </a:p>
      </dgm:t>
    </dgm:pt>
    <dgm:pt modelId="{F4B608A3-FF6A-4112-81CB-1A4A95078207}" type="parTrans" cxnId="{35D12E6D-1E37-4044-862F-72FC312942A5}">
      <dgm:prSet/>
      <dgm:spPr/>
      <dgm:t>
        <a:bodyPr/>
        <a:lstStyle/>
        <a:p>
          <a:endParaRPr lang="en-US"/>
        </a:p>
      </dgm:t>
    </dgm:pt>
    <dgm:pt modelId="{BEEDD731-9DA0-4563-AD1A-CA1149EBA7D5}" type="sibTrans" cxnId="{35D12E6D-1E37-4044-862F-72FC312942A5}">
      <dgm:prSet/>
      <dgm:spPr/>
      <dgm:t>
        <a:bodyPr/>
        <a:lstStyle/>
        <a:p>
          <a:endParaRPr lang="en-US"/>
        </a:p>
      </dgm:t>
    </dgm:pt>
    <dgm:pt modelId="{3054AE1A-E9A5-490D-8F0C-A15159B7A1AD}">
      <dgm:prSet phldrT="[Text]" custT="1"/>
      <dgm:spPr/>
      <dgm:t>
        <a:bodyPr/>
        <a:lstStyle/>
        <a:p>
          <a:pPr algn="l"/>
          <a:r>
            <a:rPr lang="sk-SK" sz="1100"/>
            <a:t>Mechanizmus overovania bankových záruk: PL</a:t>
          </a:r>
        </a:p>
        <a:p>
          <a:pPr algn="l"/>
          <a:r>
            <a:rPr lang="sk-SK" sz="1100"/>
            <a:t>Školenie zamerané na zvýšenie kapacít auditu: EL </a:t>
          </a:r>
        </a:p>
      </dgm:t>
    </dgm:pt>
    <dgm:pt modelId="{72C885D7-E59E-4C65-B1C8-D1E04C3270FD}" type="parTrans" cxnId="{67FB0002-9415-4203-9DFD-B6BF1F10B90C}">
      <dgm:prSet/>
      <dgm:spPr/>
      <dgm:t>
        <a:bodyPr/>
        <a:lstStyle/>
        <a:p>
          <a:endParaRPr lang="en-US"/>
        </a:p>
      </dgm:t>
    </dgm:pt>
    <dgm:pt modelId="{66FB8CEA-A3E0-4B63-86AC-1A6C0491CA27}" type="sibTrans" cxnId="{67FB0002-9415-4203-9DFD-B6BF1F10B90C}">
      <dgm:prSet/>
      <dgm:spPr/>
      <dgm:t>
        <a:bodyPr/>
        <a:lstStyle/>
        <a:p>
          <a:endParaRPr lang="en-US"/>
        </a:p>
      </dgm:t>
    </dgm:pt>
    <dgm:pt modelId="{371523FC-120D-47B5-8D77-5DC4D4EEE60E}" type="pres">
      <dgm:prSet presAssocID="{17E954C7-95AE-4AB8-B543-919A26F56FEB}" presName="Name0" presStyleCnt="0">
        <dgm:presLayoutVars>
          <dgm:dir/>
        </dgm:presLayoutVars>
      </dgm:prSet>
      <dgm:spPr/>
      <dgm:t>
        <a:bodyPr/>
        <a:lstStyle/>
        <a:p>
          <a:endParaRPr lang="en-GB"/>
        </a:p>
      </dgm:t>
    </dgm:pt>
    <dgm:pt modelId="{0E6A99B5-91F3-44D1-B095-C8DFA6B1A42D}" type="pres">
      <dgm:prSet presAssocID="{F9BD23C1-1E32-4344-A973-09400BDC2A0B}" presName="composite" presStyleCnt="0"/>
      <dgm:spPr/>
    </dgm:pt>
    <dgm:pt modelId="{6B4BF4FE-D52D-457C-B7AB-ECB4CC1B7AEF}" type="pres">
      <dgm:prSet presAssocID="{F9BD23C1-1E32-4344-A973-09400BDC2A0B}" presName="Accent" presStyleLbl="alignAcc1" presStyleIdx="0" presStyleCnt="3"/>
      <dgm:spPr/>
    </dgm:pt>
    <dgm:pt modelId="{50868B87-0CB9-4BBC-ABB2-7F744050E6FD}" type="pres">
      <dgm:prSet presAssocID="{F9BD23C1-1E32-4344-A973-09400BDC2A0B}" presName="Image" presStyleLbl="node1" presStyleIdx="0" presStyleCnt="3"/>
      <dgm:spPr>
        <a:blipFill rotWithShape="1">
          <a:blip xmlns:r="http://schemas.openxmlformats.org/officeDocument/2006/relationships" r:embed="rId1"/>
          <a:stretch>
            <a:fillRect/>
          </a:stretch>
        </a:blipFill>
      </dgm:spPr>
    </dgm:pt>
    <dgm:pt modelId="{49DAB9D5-25DE-4C87-A72A-A62A3AFFE5DA}" type="pres">
      <dgm:prSet presAssocID="{F9BD23C1-1E32-4344-A973-09400BDC2A0B}" presName="Child" presStyleLbl="revTx" presStyleIdx="0" presStyleCnt="3" custScaleX="139601" custScaleY="95279" custLinFactNeighborX="23088" custLinFactNeighborY="2136">
        <dgm:presLayoutVars>
          <dgm:bulletEnabled val="1"/>
        </dgm:presLayoutVars>
      </dgm:prSet>
      <dgm:spPr/>
      <dgm:t>
        <a:bodyPr/>
        <a:lstStyle/>
        <a:p>
          <a:endParaRPr lang="en-US"/>
        </a:p>
      </dgm:t>
    </dgm:pt>
    <dgm:pt modelId="{24BC57B7-DC47-4A4A-97C6-12EFDF9D1367}" type="pres">
      <dgm:prSet presAssocID="{F9BD23C1-1E32-4344-A973-09400BDC2A0B}" presName="Parent" presStyleLbl="alignNode1" presStyleIdx="0" presStyleCnt="3" custScaleX="108756" custScaleY="84186" custLinFactNeighborX="4968" custLinFactNeighborY="-2484">
        <dgm:presLayoutVars>
          <dgm:bulletEnabled val="1"/>
        </dgm:presLayoutVars>
      </dgm:prSet>
      <dgm:spPr/>
      <dgm:t>
        <a:bodyPr/>
        <a:lstStyle/>
        <a:p>
          <a:endParaRPr lang="en-US"/>
        </a:p>
      </dgm:t>
    </dgm:pt>
    <dgm:pt modelId="{1223DA77-A3F3-4285-A3CD-2C9E83E31291}" type="pres">
      <dgm:prSet presAssocID="{FB8BC371-EB58-4A68-8449-61DF9B23DA37}" presName="sibTrans" presStyleCnt="0"/>
      <dgm:spPr/>
    </dgm:pt>
    <dgm:pt modelId="{308DD4BC-88B8-4E23-BE7E-86C13D6F3B26}" type="pres">
      <dgm:prSet presAssocID="{DC3C1FB0-DA34-40AB-B80E-269F786DAA9E}" presName="composite" presStyleCnt="0"/>
      <dgm:spPr/>
    </dgm:pt>
    <dgm:pt modelId="{4BCBB3D2-6CB3-4B2B-B33A-1D4C3BF7E319}" type="pres">
      <dgm:prSet presAssocID="{DC3C1FB0-DA34-40AB-B80E-269F786DAA9E}" presName="Accent" presStyleLbl="alignAcc1" presStyleIdx="1" presStyleCnt="3"/>
      <dgm:spPr/>
    </dgm:pt>
    <dgm:pt modelId="{47251DA3-82C1-45BB-88C0-B6C111B1171B}" type="pres">
      <dgm:prSet presAssocID="{DC3C1FB0-DA34-40AB-B80E-269F786DAA9E}" presName="Image" presStyleLbl="node1" presStyleIdx="1" presStyleCnt="3"/>
      <dgm:spPr>
        <a:blipFill rotWithShape="1">
          <a:blip xmlns:r="http://schemas.openxmlformats.org/officeDocument/2006/relationships" r:embed="rId2"/>
          <a:stretch>
            <a:fillRect/>
          </a:stretch>
        </a:blipFill>
      </dgm:spPr>
    </dgm:pt>
    <dgm:pt modelId="{A87E4363-14C8-4AB1-9F68-60DDE4C1BA19}" type="pres">
      <dgm:prSet presAssocID="{DC3C1FB0-DA34-40AB-B80E-269F786DAA9E}" presName="Child" presStyleLbl="revTx" presStyleIdx="1" presStyleCnt="3" custScaleX="104766" custLinFactNeighborX="7346" custLinFactNeighborY="-1068">
        <dgm:presLayoutVars>
          <dgm:bulletEnabled val="1"/>
        </dgm:presLayoutVars>
      </dgm:prSet>
      <dgm:spPr/>
      <dgm:t>
        <a:bodyPr/>
        <a:lstStyle/>
        <a:p>
          <a:endParaRPr lang="en-US"/>
        </a:p>
      </dgm:t>
    </dgm:pt>
    <dgm:pt modelId="{2C7DDE1A-8B28-454E-98A3-1EAB8D8BE7B6}" type="pres">
      <dgm:prSet presAssocID="{DC3C1FB0-DA34-40AB-B80E-269F786DAA9E}" presName="Parent" presStyleLbl="alignNode1" presStyleIdx="1" presStyleCnt="3" custScaleX="111216" custScaleY="102705" custLinFactNeighborX="7948" custLinFactNeighborY="187">
        <dgm:presLayoutVars>
          <dgm:bulletEnabled val="1"/>
        </dgm:presLayoutVars>
      </dgm:prSet>
      <dgm:spPr/>
      <dgm:t>
        <a:bodyPr/>
        <a:lstStyle/>
        <a:p>
          <a:endParaRPr lang="en-GB"/>
        </a:p>
      </dgm:t>
    </dgm:pt>
    <dgm:pt modelId="{FEBDDF6C-6F42-4E11-8397-D16134B53174}" type="pres">
      <dgm:prSet presAssocID="{23FB978D-022F-4EBD-81FF-EEFBB8635CCF}" presName="sibTrans" presStyleCnt="0"/>
      <dgm:spPr/>
    </dgm:pt>
    <dgm:pt modelId="{89BB0910-0C37-497C-A060-F9194A824E44}" type="pres">
      <dgm:prSet presAssocID="{121A5768-612D-41D8-9802-2FB867B29D3E}" presName="composite" presStyleCnt="0"/>
      <dgm:spPr/>
    </dgm:pt>
    <dgm:pt modelId="{970CA68F-AEF1-4F30-B8AC-B88A008697D4}" type="pres">
      <dgm:prSet presAssocID="{121A5768-612D-41D8-9802-2FB867B29D3E}" presName="Accent" presStyleLbl="alignAcc1" presStyleIdx="2" presStyleCnt="3"/>
      <dgm:spPr/>
    </dgm:pt>
    <dgm:pt modelId="{6966D759-D6BF-4B38-9BEA-2AA93C734900}" type="pres">
      <dgm:prSet presAssocID="{121A5768-612D-41D8-9802-2FB867B29D3E}" presName="Image" presStyleLbl="node1" presStyleIdx="2" presStyleCnt="3"/>
      <dgm:spPr>
        <a:blipFill rotWithShape="1">
          <a:blip xmlns:r="http://schemas.openxmlformats.org/officeDocument/2006/relationships" r:embed="rId3"/>
          <a:stretch>
            <a:fillRect/>
          </a:stretch>
        </a:blipFill>
      </dgm:spPr>
    </dgm:pt>
    <dgm:pt modelId="{C0344BE5-105F-4507-94F5-567F702D0C92}" type="pres">
      <dgm:prSet presAssocID="{121A5768-612D-41D8-9802-2FB867B29D3E}" presName="Child" presStyleLbl="revTx" presStyleIdx="2" presStyleCnt="3" custScaleY="91027">
        <dgm:presLayoutVars>
          <dgm:bulletEnabled val="1"/>
        </dgm:presLayoutVars>
      </dgm:prSet>
      <dgm:spPr/>
      <dgm:t>
        <a:bodyPr/>
        <a:lstStyle/>
        <a:p>
          <a:endParaRPr lang="en-US"/>
        </a:p>
      </dgm:t>
    </dgm:pt>
    <dgm:pt modelId="{1E11B893-5018-4A2D-8DC7-9B9607F34C08}" type="pres">
      <dgm:prSet presAssocID="{121A5768-612D-41D8-9802-2FB867B29D3E}" presName="Parent" presStyleLbl="alignNode1" presStyleIdx="2" presStyleCnt="3">
        <dgm:presLayoutVars>
          <dgm:bulletEnabled val="1"/>
        </dgm:presLayoutVars>
      </dgm:prSet>
      <dgm:spPr/>
      <dgm:t>
        <a:bodyPr/>
        <a:lstStyle/>
        <a:p>
          <a:endParaRPr lang="en-US"/>
        </a:p>
      </dgm:t>
    </dgm:pt>
  </dgm:ptLst>
  <dgm:cxnLst>
    <dgm:cxn modelId="{B88CAA5D-4677-4CB9-B442-CFEE3D55C4BB}" type="presOf" srcId="{121A5768-612D-41D8-9802-2FB867B29D3E}" destId="{1E11B893-5018-4A2D-8DC7-9B9607F34C08}" srcOrd="0" destOrd="0" presId="urn:microsoft.com/office/officeart/2008/layout/TitlePictureLineup"/>
    <dgm:cxn modelId="{09C05122-FA42-4139-8A6F-F27C3F9CFEF0}" type="presOf" srcId="{F9BD23C1-1E32-4344-A973-09400BDC2A0B}" destId="{24BC57B7-DC47-4A4A-97C6-12EFDF9D1367}" srcOrd="0" destOrd="0" presId="urn:microsoft.com/office/officeart/2008/layout/TitlePictureLineup"/>
    <dgm:cxn modelId="{67FB0002-9415-4203-9DFD-B6BF1F10B90C}" srcId="{121A5768-612D-41D8-9802-2FB867B29D3E}" destId="{3054AE1A-E9A5-490D-8F0C-A15159B7A1AD}" srcOrd="0" destOrd="0" parTransId="{72C885D7-E59E-4C65-B1C8-D1E04C3270FD}" sibTransId="{66FB8CEA-A3E0-4B63-86AC-1A6C0491CA27}"/>
    <dgm:cxn modelId="{09F3894A-0C80-422D-A520-31747ADEE0EE}" type="presOf" srcId="{3054AE1A-E9A5-490D-8F0C-A15159B7A1AD}" destId="{C0344BE5-105F-4507-94F5-567F702D0C92}" srcOrd="0" destOrd="0" presId="urn:microsoft.com/office/officeart/2008/layout/TitlePictureLineup"/>
    <dgm:cxn modelId="{ADC0900F-C1F1-408C-AE94-0F1D82FF3864}" type="presOf" srcId="{1C5110CC-BC66-4AED-AE41-27C3EC96CA0A}" destId="{A87E4363-14C8-4AB1-9F68-60DDE4C1BA19}" srcOrd="0" destOrd="0" presId="urn:microsoft.com/office/officeart/2008/layout/TitlePictureLineup"/>
    <dgm:cxn modelId="{833E9025-E9EC-46D0-A21A-2A13941ECCF7}" srcId="{F9BD23C1-1E32-4344-A973-09400BDC2A0B}" destId="{35606157-4786-4747-A311-A276213F0699}" srcOrd="0" destOrd="0" parTransId="{4A147075-57B8-43E8-8519-8A2592566A98}" sibTransId="{D7CE38D3-C698-488B-B694-E65A0229090E}"/>
    <dgm:cxn modelId="{95D3E816-02C3-4D2C-9D10-217CA7A45EC3}" srcId="{17E954C7-95AE-4AB8-B543-919A26F56FEB}" destId="{DC3C1FB0-DA34-40AB-B80E-269F786DAA9E}" srcOrd="1" destOrd="0" parTransId="{5CD68AC6-3C56-4602-AED8-07703D69EBAA}" sibTransId="{23FB978D-022F-4EBD-81FF-EEFBB8635CCF}"/>
    <dgm:cxn modelId="{71DA5132-5072-4C58-AB49-E41E54F9BB5F}" type="presOf" srcId="{DC3C1FB0-DA34-40AB-B80E-269F786DAA9E}" destId="{2C7DDE1A-8B28-454E-98A3-1EAB8D8BE7B6}" srcOrd="0" destOrd="0" presId="urn:microsoft.com/office/officeart/2008/layout/TitlePictureLineup"/>
    <dgm:cxn modelId="{C6642701-1967-4B72-991B-EE2521038BFF}" type="presOf" srcId="{17E954C7-95AE-4AB8-B543-919A26F56FEB}" destId="{371523FC-120D-47B5-8D77-5DC4D4EEE60E}" srcOrd="0" destOrd="0" presId="urn:microsoft.com/office/officeart/2008/layout/TitlePictureLineup"/>
    <dgm:cxn modelId="{FC2BB907-4221-4D2E-B9BB-B51A602D43E8}" srcId="{17E954C7-95AE-4AB8-B543-919A26F56FEB}" destId="{F9BD23C1-1E32-4344-A973-09400BDC2A0B}" srcOrd="0" destOrd="0" parTransId="{6B9F6321-7850-4E8F-94F5-6071A8838EF6}" sibTransId="{FB8BC371-EB58-4A68-8449-61DF9B23DA37}"/>
    <dgm:cxn modelId="{A0C01244-1130-4129-91D3-EDBE65E4AE3B}" srcId="{DC3C1FB0-DA34-40AB-B80E-269F786DAA9E}" destId="{1C5110CC-BC66-4AED-AE41-27C3EC96CA0A}" srcOrd="0" destOrd="0" parTransId="{978FECA3-1112-465E-95FE-AFD644A67C8B}" sibTransId="{0B4EE46F-13D2-4DD1-B022-B1C94D2B3284}"/>
    <dgm:cxn modelId="{394E1257-51FE-430D-A128-F42D9C67FB31}" type="presOf" srcId="{35606157-4786-4747-A311-A276213F0699}" destId="{49DAB9D5-25DE-4C87-A72A-A62A3AFFE5DA}" srcOrd="0" destOrd="0" presId="urn:microsoft.com/office/officeart/2008/layout/TitlePictureLineup"/>
    <dgm:cxn modelId="{35D12E6D-1E37-4044-862F-72FC312942A5}" srcId="{17E954C7-95AE-4AB8-B543-919A26F56FEB}" destId="{121A5768-612D-41D8-9802-2FB867B29D3E}" srcOrd="2" destOrd="0" parTransId="{F4B608A3-FF6A-4112-81CB-1A4A95078207}" sibTransId="{BEEDD731-9DA0-4563-AD1A-CA1149EBA7D5}"/>
    <dgm:cxn modelId="{F80B8D62-3C45-4C47-AD7F-756AC3878CAF}" type="presParOf" srcId="{371523FC-120D-47B5-8D77-5DC4D4EEE60E}" destId="{0E6A99B5-91F3-44D1-B095-C8DFA6B1A42D}" srcOrd="0" destOrd="0" presId="urn:microsoft.com/office/officeart/2008/layout/TitlePictureLineup"/>
    <dgm:cxn modelId="{E231E42F-F5E1-4AA8-BD39-FFE53F6007B3}" type="presParOf" srcId="{0E6A99B5-91F3-44D1-B095-C8DFA6B1A42D}" destId="{6B4BF4FE-D52D-457C-B7AB-ECB4CC1B7AEF}" srcOrd="0" destOrd="0" presId="urn:microsoft.com/office/officeart/2008/layout/TitlePictureLineup"/>
    <dgm:cxn modelId="{B4287844-9E4F-4739-9725-EEB45E8D0CE7}" type="presParOf" srcId="{0E6A99B5-91F3-44D1-B095-C8DFA6B1A42D}" destId="{50868B87-0CB9-4BBC-ABB2-7F744050E6FD}" srcOrd="1" destOrd="0" presId="urn:microsoft.com/office/officeart/2008/layout/TitlePictureLineup"/>
    <dgm:cxn modelId="{1ED493E6-22AC-4CC6-9FEA-42B736248045}" type="presParOf" srcId="{0E6A99B5-91F3-44D1-B095-C8DFA6B1A42D}" destId="{49DAB9D5-25DE-4C87-A72A-A62A3AFFE5DA}" srcOrd="2" destOrd="0" presId="urn:microsoft.com/office/officeart/2008/layout/TitlePictureLineup"/>
    <dgm:cxn modelId="{DD85B011-7DFD-47B8-904F-7B71D640585E}" type="presParOf" srcId="{0E6A99B5-91F3-44D1-B095-C8DFA6B1A42D}" destId="{24BC57B7-DC47-4A4A-97C6-12EFDF9D1367}" srcOrd="3" destOrd="0" presId="urn:microsoft.com/office/officeart/2008/layout/TitlePictureLineup"/>
    <dgm:cxn modelId="{731594C5-8357-4C5F-A2FC-AB3B6D65E879}" type="presParOf" srcId="{371523FC-120D-47B5-8D77-5DC4D4EEE60E}" destId="{1223DA77-A3F3-4285-A3CD-2C9E83E31291}" srcOrd="1" destOrd="0" presId="urn:microsoft.com/office/officeart/2008/layout/TitlePictureLineup"/>
    <dgm:cxn modelId="{AF896CFC-2846-4CED-97DB-C9726ACDEA1C}" type="presParOf" srcId="{371523FC-120D-47B5-8D77-5DC4D4EEE60E}" destId="{308DD4BC-88B8-4E23-BE7E-86C13D6F3B26}" srcOrd="2" destOrd="0" presId="urn:microsoft.com/office/officeart/2008/layout/TitlePictureLineup"/>
    <dgm:cxn modelId="{52D7C0B1-32BE-47A0-880D-64782C26032E}" type="presParOf" srcId="{308DD4BC-88B8-4E23-BE7E-86C13D6F3B26}" destId="{4BCBB3D2-6CB3-4B2B-B33A-1D4C3BF7E319}" srcOrd="0" destOrd="0" presId="urn:microsoft.com/office/officeart/2008/layout/TitlePictureLineup"/>
    <dgm:cxn modelId="{319518E9-49C4-4BDD-A8CA-5657794B6A33}" type="presParOf" srcId="{308DD4BC-88B8-4E23-BE7E-86C13D6F3B26}" destId="{47251DA3-82C1-45BB-88C0-B6C111B1171B}" srcOrd="1" destOrd="0" presId="urn:microsoft.com/office/officeart/2008/layout/TitlePictureLineup"/>
    <dgm:cxn modelId="{B27B8183-33CA-4F50-8E46-43B4365D4DC9}" type="presParOf" srcId="{308DD4BC-88B8-4E23-BE7E-86C13D6F3B26}" destId="{A87E4363-14C8-4AB1-9F68-60DDE4C1BA19}" srcOrd="2" destOrd="0" presId="urn:microsoft.com/office/officeart/2008/layout/TitlePictureLineup"/>
    <dgm:cxn modelId="{80DEFD9D-0E9D-4722-8B97-BAE4438EE28B}" type="presParOf" srcId="{308DD4BC-88B8-4E23-BE7E-86C13D6F3B26}" destId="{2C7DDE1A-8B28-454E-98A3-1EAB8D8BE7B6}" srcOrd="3" destOrd="0" presId="urn:microsoft.com/office/officeart/2008/layout/TitlePictureLineup"/>
    <dgm:cxn modelId="{77D8A12B-1165-4F99-9D6E-D8C643F8E495}" type="presParOf" srcId="{371523FC-120D-47B5-8D77-5DC4D4EEE60E}" destId="{FEBDDF6C-6F42-4E11-8397-D16134B53174}" srcOrd="3" destOrd="0" presId="urn:microsoft.com/office/officeart/2008/layout/TitlePictureLineup"/>
    <dgm:cxn modelId="{CB09B3BE-5C9F-42D4-B1E0-4B0FCE88989F}" type="presParOf" srcId="{371523FC-120D-47B5-8D77-5DC4D4EEE60E}" destId="{89BB0910-0C37-497C-A060-F9194A824E44}" srcOrd="4" destOrd="0" presId="urn:microsoft.com/office/officeart/2008/layout/TitlePictureLineup"/>
    <dgm:cxn modelId="{6CDFA0AB-CBE2-462F-9F88-524D2FC20AD6}" type="presParOf" srcId="{89BB0910-0C37-497C-A060-F9194A824E44}" destId="{970CA68F-AEF1-4F30-B8AC-B88A008697D4}" srcOrd="0" destOrd="0" presId="urn:microsoft.com/office/officeart/2008/layout/TitlePictureLineup"/>
    <dgm:cxn modelId="{434D4442-D962-4A53-9858-116ABF19D611}" type="presParOf" srcId="{89BB0910-0C37-497C-A060-F9194A824E44}" destId="{6966D759-D6BF-4B38-9BEA-2AA93C734900}" srcOrd="1" destOrd="0" presId="urn:microsoft.com/office/officeart/2008/layout/TitlePictureLineup"/>
    <dgm:cxn modelId="{C71D7127-B747-428A-A35B-7B87871CEF26}" type="presParOf" srcId="{89BB0910-0C37-497C-A060-F9194A824E44}" destId="{C0344BE5-105F-4507-94F5-567F702D0C92}" srcOrd="2" destOrd="0" presId="urn:microsoft.com/office/officeart/2008/layout/TitlePictureLineup"/>
    <dgm:cxn modelId="{3A8FE4B7-B492-4E22-894F-4D87712DF230}" type="presParOf" srcId="{89BB0910-0C37-497C-A060-F9194A824E44}" destId="{1E11B893-5018-4A2D-8DC7-9B9607F34C08}" srcOrd="3" destOrd="0" presId="urn:microsoft.com/office/officeart/2008/layout/TitlePictureLineup"/>
  </dgm:cxnLst>
  <dgm:bg/>
  <dgm:whole/>
  <dgm:extLst>
    <a:ext uri="http://schemas.microsoft.com/office/drawing/2008/diagram">
      <dsp:dataModelExt xmlns:dsp="http://schemas.microsoft.com/office/drawing/2008/diagram" relId="rId154"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2D8F587C-411B-4F52-B8AD-1465E83B47E0}" type="doc">
      <dgm:prSet loTypeId="urn:microsoft.com/office/officeart/2005/8/layout/hList7" loCatId="list" qsTypeId="urn:microsoft.com/office/officeart/2005/8/quickstyle/simple1" qsCatId="simple" csTypeId="urn:microsoft.com/office/officeart/2005/8/colors/accent1_2" csCatId="accent1" phldr="1"/>
      <dgm:spPr/>
      <dgm:t>
        <a:bodyPr/>
        <a:lstStyle/>
        <a:p>
          <a:endParaRPr lang="en-GB"/>
        </a:p>
      </dgm:t>
    </dgm:pt>
    <dgm:pt modelId="{E5878767-B086-47D2-A255-D21E4979ABC7}">
      <dgm:prSet phldrT="[Text]" custT="1"/>
      <dgm:spPr>
        <a:solidFill>
          <a:schemeClr val="accent2">
            <a:lumMod val="75000"/>
          </a:schemeClr>
        </a:solidFill>
      </dgm:spPr>
      <dgm:t>
        <a:bodyPr/>
        <a:lstStyle/>
        <a:p>
          <a:r>
            <a:rPr lang="sk-SK" sz="1000"/>
            <a:t>Oznámené nezrovnalosti</a:t>
          </a:r>
        </a:p>
      </dgm:t>
    </dgm:pt>
    <dgm:pt modelId="{031B0CBC-E91E-4ACF-8DA1-71752CA9ECCE}" type="parTrans" cxnId="{DA804C76-39EE-43ED-8339-D177F82E15E1}">
      <dgm:prSet/>
      <dgm:spPr/>
      <dgm:t>
        <a:bodyPr/>
        <a:lstStyle/>
        <a:p>
          <a:endParaRPr lang="en-GB" sz="2000"/>
        </a:p>
      </dgm:t>
    </dgm:pt>
    <dgm:pt modelId="{9D1241BA-2A21-41F5-ADD5-C0BFE20E3626}" type="sibTrans" cxnId="{DA804C76-39EE-43ED-8339-D177F82E15E1}">
      <dgm:prSet/>
      <dgm:spPr/>
      <dgm:t>
        <a:bodyPr/>
        <a:lstStyle/>
        <a:p>
          <a:endParaRPr lang="en-GB" sz="2000"/>
        </a:p>
      </dgm:t>
    </dgm:pt>
    <dgm:pt modelId="{ED301B7F-980C-40FC-92C4-4EDCB74F27F6}">
      <dgm:prSet phldrT="[Text]" custT="1"/>
      <dgm:spPr>
        <a:solidFill>
          <a:schemeClr val="accent2">
            <a:lumMod val="75000"/>
          </a:schemeClr>
        </a:solidFill>
      </dgm:spPr>
      <dgm:t>
        <a:bodyPr/>
        <a:lstStyle/>
        <a:p>
          <a:r>
            <a:rPr lang="sk-SK" sz="800"/>
            <a:t>363 nezrovnalostí odhalených a oznámených ako podvodné v roku 2018 (+5 %); 959,6 milióna EUR (+199 %)</a:t>
          </a:r>
        </a:p>
      </dgm:t>
    </dgm:pt>
    <dgm:pt modelId="{3FAAEAE4-A5B4-400B-B840-7418B3B60322}" type="parTrans" cxnId="{61D42AB9-0A21-41EA-8A95-02F1781B80D4}">
      <dgm:prSet/>
      <dgm:spPr/>
      <dgm:t>
        <a:bodyPr/>
        <a:lstStyle/>
        <a:p>
          <a:endParaRPr lang="en-GB" sz="2000"/>
        </a:p>
      </dgm:t>
    </dgm:pt>
    <dgm:pt modelId="{B6AF5D99-BDD2-4ACF-8068-34FD21A0EA98}" type="sibTrans" cxnId="{61D42AB9-0A21-41EA-8A95-02F1781B80D4}">
      <dgm:prSet/>
      <dgm:spPr/>
      <dgm:t>
        <a:bodyPr/>
        <a:lstStyle/>
        <a:p>
          <a:endParaRPr lang="en-GB" sz="2000"/>
        </a:p>
      </dgm:t>
    </dgm:pt>
    <dgm:pt modelId="{5CF29496-F76F-4913-9E68-201879BBB555}">
      <dgm:prSet phldrT="[Text]" custT="1"/>
      <dgm:spPr>
        <a:solidFill>
          <a:schemeClr val="accent5">
            <a:lumMod val="75000"/>
          </a:schemeClr>
        </a:solidFill>
      </dgm:spPr>
      <dgm:t>
        <a:bodyPr/>
        <a:lstStyle/>
        <a:p>
          <a:r>
            <a:rPr lang="sk-SK" sz="1000" b="1" i="0"/>
            <a:t>Modus operandi</a:t>
          </a:r>
        </a:p>
      </dgm:t>
    </dgm:pt>
    <dgm:pt modelId="{CB5D0D42-7DC2-4AE1-A9CC-A07DD21AD2F0}" type="parTrans" cxnId="{63506489-97AE-401B-9D7E-3F7861FAA093}">
      <dgm:prSet/>
      <dgm:spPr/>
      <dgm:t>
        <a:bodyPr/>
        <a:lstStyle/>
        <a:p>
          <a:endParaRPr lang="en-GB" sz="2000"/>
        </a:p>
      </dgm:t>
    </dgm:pt>
    <dgm:pt modelId="{DDE17223-96A2-4108-96B7-B21B6A4BB4F0}" type="sibTrans" cxnId="{63506489-97AE-401B-9D7E-3F7861FAA093}">
      <dgm:prSet/>
      <dgm:spPr/>
      <dgm:t>
        <a:bodyPr/>
        <a:lstStyle/>
        <a:p>
          <a:endParaRPr lang="en-GB" sz="2000"/>
        </a:p>
      </dgm:t>
    </dgm:pt>
    <dgm:pt modelId="{31A2C6EC-EFAD-461E-9127-32D1CA23FA00}">
      <dgm:prSet phldrT="[Text]" custT="1"/>
      <dgm:spPr>
        <a:solidFill>
          <a:schemeClr val="accent5">
            <a:lumMod val="75000"/>
          </a:schemeClr>
        </a:solidFill>
      </dgm:spPr>
      <dgm:t>
        <a:bodyPr/>
        <a:lstStyle/>
        <a:p>
          <a:r>
            <a:rPr lang="sk-SK" sz="800"/>
            <a:t>Podvodné: neoprávnená manipulácia s písomným dôkazom (falošným alebo falšovaným)</a:t>
          </a:r>
        </a:p>
      </dgm:t>
    </dgm:pt>
    <dgm:pt modelId="{A6CFF851-58DE-4021-A1E2-D9F00CFD5619}" type="parTrans" cxnId="{5AD023B5-04AD-4C70-9504-9ECF816075AC}">
      <dgm:prSet/>
      <dgm:spPr/>
      <dgm:t>
        <a:bodyPr/>
        <a:lstStyle/>
        <a:p>
          <a:endParaRPr lang="en-GB" sz="2000"/>
        </a:p>
      </dgm:t>
    </dgm:pt>
    <dgm:pt modelId="{9EA95530-EB1E-4BFA-901A-8552CC335BA9}" type="sibTrans" cxnId="{5AD023B5-04AD-4C70-9504-9ECF816075AC}">
      <dgm:prSet/>
      <dgm:spPr/>
      <dgm:t>
        <a:bodyPr/>
        <a:lstStyle/>
        <a:p>
          <a:endParaRPr lang="en-GB" sz="2000"/>
        </a:p>
      </dgm:t>
    </dgm:pt>
    <dgm:pt modelId="{8D89E774-6205-46EB-B390-156C1EB623C1}">
      <dgm:prSet phldrT="[Text]" custT="1"/>
      <dgm:spPr>
        <a:solidFill>
          <a:schemeClr val="accent5">
            <a:lumMod val="75000"/>
          </a:schemeClr>
        </a:solidFill>
      </dgm:spPr>
      <dgm:t>
        <a:bodyPr/>
        <a:lstStyle/>
        <a:p>
          <a:r>
            <a:rPr lang="sk-SK" sz="800"/>
            <a:t>Nepodvodné: porušenia pravidiel verejného obstarávania, oprávnenosť výdavkov</a:t>
          </a:r>
        </a:p>
      </dgm:t>
    </dgm:pt>
    <dgm:pt modelId="{BE1CF92A-8C46-4F4B-B7F5-FA6B6F9B9508}" type="parTrans" cxnId="{2F3C4593-DDBD-409F-8A81-2FFAD3DF1AAC}">
      <dgm:prSet/>
      <dgm:spPr/>
      <dgm:t>
        <a:bodyPr/>
        <a:lstStyle/>
        <a:p>
          <a:endParaRPr lang="en-GB" sz="2000"/>
        </a:p>
      </dgm:t>
    </dgm:pt>
    <dgm:pt modelId="{1EF81DEA-51BE-4A18-9A6A-3A21CEF855F4}" type="sibTrans" cxnId="{2F3C4593-DDBD-409F-8A81-2FFAD3DF1AAC}">
      <dgm:prSet/>
      <dgm:spPr/>
      <dgm:t>
        <a:bodyPr/>
        <a:lstStyle/>
        <a:p>
          <a:endParaRPr lang="en-GB" sz="2000"/>
        </a:p>
      </dgm:t>
    </dgm:pt>
    <dgm:pt modelId="{6A5B9A52-0472-41BE-9DBE-5D3800BFF57D}">
      <dgm:prSet phldrT="[Text]" custT="1"/>
      <dgm:spPr>
        <a:solidFill>
          <a:srgbClr val="0070C0"/>
        </a:solidFill>
      </dgm:spPr>
      <dgm:t>
        <a:bodyPr/>
        <a:lstStyle/>
        <a:p>
          <a:r>
            <a:rPr lang="sk-SK" sz="1000"/>
            <a:t>Politika súdržnosti a rybárstvo</a:t>
          </a:r>
        </a:p>
      </dgm:t>
    </dgm:pt>
    <dgm:pt modelId="{3CD95411-4FCD-4340-8CFE-55D1A464B503}" type="parTrans" cxnId="{86DCA9B8-69A2-49ED-9ACA-47AB54410DE0}">
      <dgm:prSet/>
      <dgm:spPr/>
      <dgm:t>
        <a:bodyPr/>
        <a:lstStyle/>
        <a:p>
          <a:endParaRPr lang="en-GB" sz="2000"/>
        </a:p>
      </dgm:t>
    </dgm:pt>
    <dgm:pt modelId="{3019CCA2-9D76-4D66-AACA-0C21C8F523F9}" type="sibTrans" cxnId="{86DCA9B8-69A2-49ED-9ACA-47AB54410DE0}">
      <dgm:prSet/>
      <dgm:spPr/>
      <dgm:t>
        <a:bodyPr/>
        <a:lstStyle/>
        <a:p>
          <a:endParaRPr lang="en-GB" sz="2000"/>
        </a:p>
      </dgm:t>
    </dgm:pt>
    <dgm:pt modelId="{30A5135D-34EE-4723-9A6B-AE550BA1A9A3}">
      <dgm:prSet phldrT="[Text]" custT="1"/>
      <dgm:spPr>
        <a:solidFill>
          <a:srgbClr val="0070C0"/>
        </a:solidFill>
      </dgm:spPr>
      <dgm:t>
        <a:bodyPr/>
        <a:lstStyle/>
        <a:p>
          <a:r>
            <a:rPr lang="sk-SK" sz="800"/>
            <a:t>Viacročný rámec</a:t>
          </a:r>
        </a:p>
      </dgm:t>
    </dgm:pt>
    <dgm:pt modelId="{51D4551B-2D5E-42A0-B45D-E365EFCD5992}" type="parTrans" cxnId="{8FD6E5BE-0A8C-4B62-B337-FEB32347C590}">
      <dgm:prSet/>
      <dgm:spPr/>
      <dgm:t>
        <a:bodyPr/>
        <a:lstStyle/>
        <a:p>
          <a:endParaRPr lang="en-GB" sz="2000"/>
        </a:p>
      </dgm:t>
    </dgm:pt>
    <dgm:pt modelId="{487342BE-7E6E-4AC7-B6E1-456084CD7C56}" type="sibTrans" cxnId="{8FD6E5BE-0A8C-4B62-B337-FEB32347C590}">
      <dgm:prSet/>
      <dgm:spPr/>
      <dgm:t>
        <a:bodyPr/>
        <a:lstStyle/>
        <a:p>
          <a:endParaRPr lang="en-GB" sz="2000"/>
        </a:p>
      </dgm:t>
    </dgm:pt>
    <dgm:pt modelId="{3D6A6363-ADB7-40AD-BB85-5436CCFE7FD0}">
      <dgm:prSet phldrT="[Text]" custT="1"/>
      <dgm:spPr>
        <a:solidFill>
          <a:srgbClr val="0070C0"/>
        </a:solidFill>
      </dgm:spPr>
      <dgm:t>
        <a:bodyPr/>
        <a:lstStyle/>
        <a:p>
          <a:r>
            <a:rPr lang="sk-SK" sz="800"/>
            <a:t>Nezrovnalosti sa týkali niekoľkých programových období, ale najmä obdobia 2014 – 2020</a:t>
          </a:r>
        </a:p>
      </dgm:t>
    </dgm:pt>
    <dgm:pt modelId="{692D40A2-457E-4263-8BE3-03D424D6030D}" type="parTrans" cxnId="{87FB666D-C476-4760-81A7-E66546EE926F}">
      <dgm:prSet/>
      <dgm:spPr/>
      <dgm:t>
        <a:bodyPr/>
        <a:lstStyle/>
        <a:p>
          <a:endParaRPr lang="en-GB" sz="2000"/>
        </a:p>
      </dgm:t>
    </dgm:pt>
    <dgm:pt modelId="{E383BB73-3584-4467-BC3E-AC3B863C35C5}" type="sibTrans" cxnId="{87FB666D-C476-4760-81A7-E66546EE926F}">
      <dgm:prSet/>
      <dgm:spPr/>
      <dgm:t>
        <a:bodyPr/>
        <a:lstStyle/>
        <a:p>
          <a:endParaRPr lang="en-GB" sz="2000"/>
        </a:p>
      </dgm:t>
    </dgm:pt>
    <dgm:pt modelId="{E5AB1173-702D-4BF0-A1DF-A0975DFB4AC8}">
      <dgm:prSet phldrT="[Text]" custT="1"/>
      <dgm:spPr>
        <a:solidFill>
          <a:srgbClr val="0070C0"/>
        </a:solidFill>
      </dgm:spPr>
      <dgm:t>
        <a:bodyPr/>
        <a:lstStyle/>
        <a:p>
          <a:r>
            <a:rPr lang="sk-SK" sz="800"/>
            <a:t>Približne 34 % rozpočtu EÚ na rok 2018</a:t>
          </a:r>
        </a:p>
      </dgm:t>
    </dgm:pt>
    <dgm:pt modelId="{052BEEDA-3F14-4540-9672-C841EF6C1706}" type="parTrans" cxnId="{57149689-DE8B-4B7D-B29D-730D157BD7D3}">
      <dgm:prSet/>
      <dgm:spPr/>
      <dgm:t>
        <a:bodyPr/>
        <a:lstStyle/>
        <a:p>
          <a:endParaRPr lang="en-GB" sz="2000"/>
        </a:p>
      </dgm:t>
    </dgm:pt>
    <dgm:pt modelId="{85206B3F-14C8-415A-8945-601F220F80F8}" type="sibTrans" cxnId="{57149689-DE8B-4B7D-B29D-730D157BD7D3}">
      <dgm:prSet/>
      <dgm:spPr/>
      <dgm:t>
        <a:bodyPr/>
        <a:lstStyle/>
        <a:p>
          <a:endParaRPr lang="en-GB" sz="2000"/>
        </a:p>
      </dgm:t>
    </dgm:pt>
    <dgm:pt modelId="{471F2E1A-C64B-4E40-AC83-31A143E9D0DC}">
      <dgm:prSet phldrT="[Text]" custT="1"/>
      <dgm:spPr>
        <a:solidFill>
          <a:schemeClr val="accent2">
            <a:lumMod val="75000"/>
          </a:schemeClr>
        </a:solidFill>
      </dgm:spPr>
      <dgm:t>
        <a:bodyPr/>
        <a:lstStyle/>
        <a:p>
          <a:r>
            <a:rPr lang="sk-SK" sz="800"/>
            <a:t>1 939 nezrovnalostí odhalených a oznámených ako nepodvodné v roku 2018 (−64 %); 599,6 milióna EUR (−57 %)</a:t>
          </a:r>
        </a:p>
      </dgm:t>
    </dgm:pt>
    <dgm:pt modelId="{B952B15A-B4C6-4115-9B7E-3D8195D7E7AF}" type="parTrans" cxnId="{A06CE9AA-9938-49F0-A0B7-FD3C3493F030}">
      <dgm:prSet/>
      <dgm:spPr/>
      <dgm:t>
        <a:bodyPr/>
        <a:lstStyle/>
        <a:p>
          <a:endParaRPr lang="en-GB" sz="2000"/>
        </a:p>
      </dgm:t>
    </dgm:pt>
    <dgm:pt modelId="{15C6A901-94AF-4E2D-A5ED-CC7BC698A1A2}" type="sibTrans" cxnId="{A06CE9AA-9938-49F0-A0B7-FD3C3493F030}">
      <dgm:prSet/>
      <dgm:spPr/>
      <dgm:t>
        <a:bodyPr/>
        <a:lstStyle/>
        <a:p>
          <a:endParaRPr lang="en-GB" sz="2000"/>
        </a:p>
      </dgm:t>
    </dgm:pt>
    <dgm:pt modelId="{156ECDD9-9EF0-49F2-B58E-C0EE0895064E}">
      <dgm:prSet phldrT="[Text]" custT="1"/>
      <dgm:spPr>
        <a:solidFill>
          <a:schemeClr val="accent2">
            <a:lumMod val="75000"/>
          </a:schemeClr>
        </a:solidFill>
      </dgm:spPr>
      <dgm:t>
        <a:bodyPr/>
        <a:lstStyle/>
        <a:p>
          <a:r>
            <a:rPr lang="sk-SK" sz="800" b="1"/>
            <a:t>Hlavné ukazovatele:</a:t>
          </a:r>
        </a:p>
      </dgm:t>
    </dgm:pt>
    <dgm:pt modelId="{98AD5F94-D518-4872-B0C9-15DBDB83D544}" type="parTrans" cxnId="{17AA1F72-3D7E-482F-A4FC-57C52185D314}">
      <dgm:prSet/>
      <dgm:spPr/>
      <dgm:t>
        <a:bodyPr/>
        <a:lstStyle/>
        <a:p>
          <a:endParaRPr lang="en-GB" sz="2000"/>
        </a:p>
      </dgm:t>
    </dgm:pt>
    <dgm:pt modelId="{079AA7E3-0E1A-4F1D-84F4-1BE622C6D11F}" type="sibTrans" cxnId="{17AA1F72-3D7E-482F-A4FC-57C52185D314}">
      <dgm:prSet/>
      <dgm:spPr/>
      <dgm:t>
        <a:bodyPr/>
        <a:lstStyle/>
        <a:p>
          <a:endParaRPr lang="en-GB" sz="2000"/>
        </a:p>
      </dgm:t>
    </dgm:pt>
    <dgm:pt modelId="{D4017BBD-57B1-4435-A652-666ACFB6D230}">
      <dgm:prSet phldrT="[Text]" custT="1"/>
      <dgm:spPr>
        <a:solidFill>
          <a:schemeClr val="accent2">
            <a:lumMod val="75000"/>
          </a:schemeClr>
        </a:solidFill>
      </dgm:spPr>
      <dgm:t>
        <a:bodyPr/>
        <a:lstStyle/>
        <a:p>
          <a:r>
            <a:rPr lang="sk-SK" sz="800" b="1"/>
            <a:t>Miera odhaľovania podvodov: </a:t>
          </a:r>
          <a:r>
            <a:rPr lang="sk-SK" sz="800" b="0"/>
            <a:t>0,47 % (programové obdobie 2007 – 2013); 0,86 % (programové obdobie 2014 – 2020)</a:t>
          </a:r>
        </a:p>
      </dgm:t>
    </dgm:pt>
    <dgm:pt modelId="{66DD2BE0-424B-4375-BD6D-4C546F8AC5DA}" type="parTrans" cxnId="{74A487F0-71A9-4475-94F7-A268E34E8282}">
      <dgm:prSet/>
      <dgm:spPr/>
      <dgm:t>
        <a:bodyPr/>
        <a:lstStyle/>
        <a:p>
          <a:endParaRPr lang="en-GB" sz="2000"/>
        </a:p>
      </dgm:t>
    </dgm:pt>
    <dgm:pt modelId="{568E5644-E036-4664-96AA-ECDC0DC241C4}" type="sibTrans" cxnId="{74A487F0-71A9-4475-94F7-A268E34E8282}">
      <dgm:prSet/>
      <dgm:spPr/>
      <dgm:t>
        <a:bodyPr/>
        <a:lstStyle/>
        <a:p>
          <a:endParaRPr lang="en-GB" sz="2000"/>
        </a:p>
      </dgm:t>
    </dgm:pt>
    <dgm:pt modelId="{BE8BE0F1-D554-466D-87CA-2BEA5FAFF980}">
      <dgm:prSet phldrT="[Text]" custT="1"/>
      <dgm:spPr>
        <a:solidFill>
          <a:schemeClr val="accent2">
            <a:lumMod val="75000"/>
          </a:schemeClr>
        </a:solidFill>
      </dgm:spPr>
      <dgm:t>
        <a:bodyPr/>
        <a:lstStyle/>
        <a:p>
          <a:r>
            <a:rPr lang="sk-SK" sz="800" b="1"/>
            <a:t>Miera odhaľovania nezrovnalostí: </a:t>
          </a:r>
          <a:r>
            <a:rPr lang="sk-SK" sz="800" b="0"/>
            <a:t>2,52 % (programové obdobie 2007 – 2013); 0,34 % (programové obdobie 2014 – 2020)</a:t>
          </a:r>
        </a:p>
      </dgm:t>
    </dgm:pt>
    <dgm:pt modelId="{8108730B-10E9-45FD-B2BA-E99C94FC3C2A}" type="parTrans" cxnId="{CBC17ABC-2C56-4C61-A725-4BF6B3781D0E}">
      <dgm:prSet/>
      <dgm:spPr/>
      <dgm:t>
        <a:bodyPr/>
        <a:lstStyle/>
        <a:p>
          <a:endParaRPr lang="en-GB" sz="2000"/>
        </a:p>
      </dgm:t>
    </dgm:pt>
    <dgm:pt modelId="{B169CE90-46A0-42BB-B38B-E3A0979DBCE0}" type="sibTrans" cxnId="{CBC17ABC-2C56-4C61-A725-4BF6B3781D0E}">
      <dgm:prSet/>
      <dgm:spPr/>
      <dgm:t>
        <a:bodyPr/>
        <a:lstStyle/>
        <a:p>
          <a:endParaRPr lang="en-GB" sz="2000"/>
        </a:p>
      </dgm:t>
    </dgm:pt>
    <dgm:pt modelId="{BCC2BBC8-D397-49C8-8FCD-ECF0AD367829}" type="pres">
      <dgm:prSet presAssocID="{2D8F587C-411B-4F52-B8AD-1465E83B47E0}" presName="Name0" presStyleCnt="0">
        <dgm:presLayoutVars>
          <dgm:dir/>
          <dgm:resizeHandles val="exact"/>
        </dgm:presLayoutVars>
      </dgm:prSet>
      <dgm:spPr/>
      <dgm:t>
        <a:bodyPr/>
        <a:lstStyle/>
        <a:p>
          <a:endParaRPr lang="en-GB"/>
        </a:p>
      </dgm:t>
    </dgm:pt>
    <dgm:pt modelId="{05E9CDE7-4B88-46F9-8F8D-2C9F3BEF17E4}" type="pres">
      <dgm:prSet presAssocID="{2D8F587C-411B-4F52-B8AD-1465E83B47E0}" presName="fgShape" presStyleLbl="fgShp" presStyleIdx="0" presStyleCnt="1" custScaleY="21858" custLinFactNeighborX="-416" custLinFactNeighborY="62189"/>
      <dgm:spPr/>
    </dgm:pt>
    <dgm:pt modelId="{4C2724CC-38CF-4F53-9F48-DC578AB69A48}" type="pres">
      <dgm:prSet presAssocID="{2D8F587C-411B-4F52-B8AD-1465E83B47E0}" presName="linComp" presStyleCnt="0"/>
      <dgm:spPr/>
    </dgm:pt>
    <dgm:pt modelId="{957DE1A4-69AA-40D9-B71E-6F97174648C6}" type="pres">
      <dgm:prSet presAssocID="{6A5B9A52-0472-41BE-9DBE-5D3800BFF57D}" presName="compNode" presStyleCnt="0"/>
      <dgm:spPr/>
    </dgm:pt>
    <dgm:pt modelId="{E5D142B1-191A-4B12-BA5E-1D683AF96300}" type="pres">
      <dgm:prSet presAssocID="{6A5B9A52-0472-41BE-9DBE-5D3800BFF57D}" presName="bkgdShape" presStyleLbl="node1" presStyleIdx="0" presStyleCnt="3"/>
      <dgm:spPr/>
      <dgm:t>
        <a:bodyPr/>
        <a:lstStyle/>
        <a:p>
          <a:endParaRPr lang="en-GB"/>
        </a:p>
      </dgm:t>
    </dgm:pt>
    <dgm:pt modelId="{2DFA39CB-924C-42CD-8996-D3031A5D2123}" type="pres">
      <dgm:prSet presAssocID="{6A5B9A52-0472-41BE-9DBE-5D3800BFF57D}" presName="nodeTx" presStyleLbl="node1" presStyleIdx="0" presStyleCnt="3">
        <dgm:presLayoutVars>
          <dgm:bulletEnabled val="1"/>
        </dgm:presLayoutVars>
      </dgm:prSet>
      <dgm:spPr/>
      <dgm:t>
        <a:bodyPr/>
        <a:lstStyle/>
        <a:p>
          <a:endParaRPr lang="en-GB"/>
        </a:p>
      </dgm:t>
    </dgm:pt>
    <dgm:pt modelId="{150F1D68-F4CE-4842-BD38-625D69080554}" type="pres">
      <dgm:prSet presAssocID="{6A5B9A52-0472-41BE-9DBE-5D3800BFF57D}" presName="invisiNode" presStyleLbl="node1" presStyleIdx="0" presStyleCnt="3"/>
      <dgm:spPr/>
    </dgm:pt>
    <dgm:pt modelId="{94BECB7A-D81C-4765-A807-1CEBBB9FE698}" type="pres">
      <dgm:prSet presAssocID="{6A5B9A52-0472-41BE-9DBE-5D3800BFF57D}" presName="imagNode" presStyleLbl="fgImgPlace1" presStyleIdx="0" presStyleCnt="3" custScaleX="82255" custScaleY="87234"/>
      <dgm:spPr>
        <a:blipFill rotWithShape="1">
          <a:blip xmlns:r="http://schemas.openxmlformats.org/officeDocument/2006/relationships" r:embed="rId1"/>
          <a:stretch>
            <a:fillRect/>
          </a:stretch>
        </a:blipFill>
      </dgm:spPr>
      <dgm:t>
        <a:bodyPr/>
        <a:lstStyle/>
        <a:p>
          <a:endParaRPr lang="en-GB"/>
        </a:p>
      </dgm:t>
    </dgm:pt>
    <dgm:pt modelId="{BA7ADE01-9F86-4B01-A5F8-75A31F75E8DC}" type="pres">
      <dgm:prSet presAssocID="{3019CCA2-9D76-4D66-AACA-0C21C8F523F9}" presName="sibTrans" presStyleLbl="sibTrans2D1" presStyleIdx="0" presStyleCnt="0"/>
      <dgm:spPr/>
      <dgm:t>
        <a:bodyPr/>
        <a:lstStyle/>
        <a:p>
          <a:endParaRPr lang="en-GB"/>
        </a:p>
      </dgm:t>
    </dgm:pt>
    <dgm:pt modelId="{9E887971-1014-46CF-8203-05E6350C98E3}" type="pres">
      <dgm:prSet presAssocID="{E5878767-B086-47D2-A255-D21E4979ABC7}" presName="compNode" presStyleCnt="0"/>
      <dgm:spPr/>
    </dgm:pt>
    <dgm:pt modelId="{0050988B-148F-48E4-851F-80E511074A79}" type="pres">
      <dgm:prSet presAssocID="{E5878767-B086-47D2-A255-D21E4979ABC7}" presName="bkgdShape" presStyleLbl="node1" presStyleIdx="1" presStyleCnt="3" custScaleX="109545"/>
      <dgm:spPr/>
      <dgm:t>
        <a:bodyPr/>
        <a:lstStyle/>
        <a:p>
          <a:endParaRPr lang="en-GB"/>
        </a:p>
      </dgm:t>
    </dgm:pt>
    <dgm:pt modelId="{8646506C-440A-473C-8289-8EC36DAAD6D1}" type="pres">
      <dgm:prSet presAssocID="{E5878767-B086-47D2-A255-D21E4979ABC7}" presName="nodeTx" presStyleLbl="node1" presStyleIdx="1" presStyleCnt="3">
        <dgm:presLayoutVars>
          <dgm:bulletEnabled val="1"/>
        </dgm:presLayoutVars>
      </dgm:prSet>
      <dgm:spPr/>
      <dgm:t>
        <a:bodyPr/>
        <a:lstStyle/>
        <a:p>
          <a:endParaRPr lang="en-GB"/>
        </a:p>
      </dgm:t>
    </dgm:pt>
    <dgm:pt modelId="{06E64825-8855-48C9-ABB7-B9C396C5E11B}" type="pres">
      <dgm:prSet presAssocID="{E5878767-B086-47D2-A255-D21E4979ABC7}" presName="invisiNode" presStyleLbl="node1" presStyleIdx="1" presStyleCnt="3"/>
      <dgm:spPr/>
    </dgm:pt>
    <dgm:pt modelId="{22FD2ECC-A966-499C-BE3C-1A27DDB1EBD2}" type="pres">
      <dgm:prSet presAssocID="{E5878767-B086-47D2-A255-D21E4979ABC7}" presName="imagNode" presStyleLbl="fgImgPlace1" presStyleIdx="1" presStyleCnt="3" custScaleX="90660" custScaleY="81027"/>
      <dgm:spPr>
        <a:blipFill rotWithShape="1">
          <a:blip xmlns:r="http://schemas.openxmlformats.org/officeDocument/2006/relationships" r:embed="rId2"/>
          <a:stretch>
            <a:fillRect/>
          </a:stretch>
        </a:blipFill>
      </dgm:spPr>
      <dgm:t>
        <a:bodyPr/>
        <a:lstStyle/>
        <a:p>
          <a:endParaRPr lang="en-GB"/>
        </a:p>
      </dgm:t>
    </dgm:pt>
    <dgm:pt modelId="{D7671FB3-A56F-4EF9-B8E1-A8B13D17A2A0}" type="pres">
      <dgm:prSet presAssocID="{9D1241BA-2A21-41F5-ADD5-C0BFE20E3626}" presName="sibTrans" presStyleLbl="sibTrans2D1" presStyleIdx="0" presStyleCnt="0"/>
      <dgm:spPr/>
      <dgm:t>
        <a:bodyPr/>
        <a:lstStyle/>
        <a:p>
          <a:endParaRPr lang="en-GB"/>
        </a:p>
      </dgm:t>
    </dgm:pt>
    <dgm:pt modelId="{4F0D9BDE-934E-44D2-A82C-3AB291B07117}" type="pres">
      <dgm:prSet presAssocID="{5CF29496-F76F-4913-9E68-201879BBB555}" presName="compNode" presStyleCnt="0"/>
      <dgm:spPr/>
    </dgm:pt>
    <dgm:pt modelId="{3585E626-9480-4EEC-8782-6998BF3A7A8A}" type="pres">
      <dgm:prSet presAssocID="{5CF29496-F76F-4913-9E68-201879BBB555}" presName="bkgdShape" presStyleLbl="node1" presStyleIdx="2" presStyleCnt="3"/>
      <dgm:spPr/>
      <dgm:t>
        <a:bodyPr/>
        <a:lstStyle/>
        <a:p>
          <a:endParaRPr lang="en-GB"/>
        </a:p>
      </dgm:t>
    </dgm:pt>
    <dgm:pt modelId="{968400A4-7E0C-4305-AD15-CDB31AE28892}" type="pres">
      <dgm:prSet presAssocID="{5CF29496-F76F-4913-9E68-201879BBB555}" presName="nodeTx" presStyleLbl="node1" presStyleIdx="2" presStyleCnt="3">
        <dgm:presLayoutVars>
          <dgm:bulletEnabled val="1"/>
        </dgm:presLayoutVars>
      </dgm:prSet>
      <dgm:spPr/>
      <dgm:t>
        <a:bodyPr/>
        <a:lstStyle/>
        <a:p>
          <a:endParaRPr lang="en-GB"/>
        </a:p>
      </dgm:t>
    </dgm:pt>
    <dgm:pt modelId="{8219B7AB-FE9B-4DCA-8F16-BEA9E4CE1CCF}" type="pres">
      <dgm:prSet presAssocID="{5CF29496-F76F-4913-9E68-201879BBB555}" presName="invisiNode" presStyleLbl="node1" presStyleIdx="2" presStyleCnt="3"/>
      <dgm:spPr/>
    </dgm:pt>
    <dgm:pt modelId="{F55A8290-3351-4A9C-A950-187358E72258}" type="pres">
      <dgm:prSet presAssocID="{5CF29496-F76F-4913-9E68-201879BBB555}" presName="imagNode" presStyleLbl="fgImgPlace1" presStyleIdx="2" presStyleCnt="3" custScaleX="78572" custScaleY="77527"/>
      <dgm:spPr>
        <a:blipFill rotWithShape="1">
          <a:blip xmlns:r="http://schemas.openxmlformats.org/officeDocument/2006/relationships" r:embed="rId3"/>
          <a:stretch>
            <a:fillRect/>
          </a:stretch>
        </a:blipFill>
      </dgm:spPr>
      <dgm:t>
        <a:bodyPr/>
        <a:lstStyle/>
        <a:p>
          <a:endParaRPr lang="en-GB"/>
        </a:p>
      </dgm:t>
    </dgm:pt>
  </dgm:ptLst>
  <dgm:cxnLst>
    <dgm:cxn modelId="{49A39F9B-7F65-4C4F-905C-1EF1653A1CE9}" type="presOf" srcId="{31A2C6EC-EFAD-461E-9127-32D1CA23FA00}" destId="{968400A4-7E0C-4305-AD15-CDB31AE28892}" srcOrd="1" destOrd="1" presId="urn:microsoft.com/office/officeart/2005/8/layout/hList7"/>
    <dgm:cxn modelId="{4A368535-829B-4641-8A56-B8C9F9CA24DA}" type="presOf" srcId="{471F2E1A-C64B-4E40-AC83-31A143E9D0DC}" destId="{8646506C-440A-473C-8289-8EC36DAAD6D1}" srcOrd="1" destOrd="2" presId="urn:microsoft.com/office/officeart/2005/8/layout/hList7"/>
    <dgm:cxn modelId="{1A090E43-2CE1-4330-9273-A038062EA1CD}" type="presOf" srcId="{30A5135D-34EE-4723-9A6B-AE550BA1A9A3}" destId="{E5D142B1-191A-4B12-BA5E-1D683AF96300}" srcOrd="0" destOrd="1" presId="urn:microsoft.com/office/officeart/2005/8/layout/hList7"/>
    <dgm:cxn modelId="{5AD023B5-04AD-4C70-9504-9ECF816075AC}" srcId="{5CF29496-F76F-4913-9E68-201879BBB555}" destId="{31A2C6EC-EFAD-461E-9127-32D1CA23FA00}" srcOrd="0" destOrd="0" parTransId="{A6CFF851-58DE-4021-A1E2-D9F00CFD5619}" sibTransId="{9EA95530-EB1E-4BFA-901A-8552CC335BA9}"/>
    <dgm:cxn modelId="{E75387DD-A094-4DE6-BD68-6E97E2576B17}" type="presOf" srcId="{156ECDD9-9EF0-49F2-B58E-C0EE0895064E}" destId="{8646506C-440A-473C-8289-8EC36DAAD6D1}" srcOrd="1" destOrd="3" presId="urn:microsoft.com/office/officeart/2005/8/layout/hList7"/>
    <dgm:cxn modelId="{A3846E37-E25E-43E4-BD71-F8A1B02C8392}" type="presOf" srcId="{E5AB1173-702D-4BF0-A1DF-A0975DFB4AC8}" destId="{2DFA39CB-924C-42CD-8996-D3031A5D2123}" srcOrd="1" destOrd="2" presId="urn:microsoft.com/office/officeart/2005/8/layout/hList7"/>
    <dgm:cxn modelId="{83C7D532-00AF-428B-BAB4-46BAB42C7BCC}" type="presOf" srcId="{3D6A6363-ADB7-40AD-BB85-5436CCFE7FD0}" destId="{2DFA39CB-924C-42CD-8996-D3031A5D2123}" srcOrd="1" destOrd="3" presId="urn:microsoft.com/office/officeart/2005/8/layout/hList7"/>
    <dgm:cxn modelId="{49BC93B6-3443-4546-9D53-C7F3F3AAEDAC}" type="presOf" srcId="{2D8F587C-411B-4F52-B8AD-1465E83B47E0}" destId="{BCC2BBC8-D397-49C8-8FCD-ECF0AD367829}" srcOrd="0" destOrd="0" presId="urn:microsoft.com/office/officeart/2005/8/layout/hList7"/>
    <dgm:cxn modelId="{DA804C76-39EE-43ED-8339-D177F82E15E1}" srcId="{2D8F587C-411B-4F52-B8AD-1465E83B47E0}" destId="{E5878767-B086-47D2-A255-D21E4979ABC7}" srcOrd="1" destOrd="0" parTransId="{031B0CBC-E91E-4ACF-8DA1-71752CA9ECCE}" sibTransId="{9D1241BA-2A21-41F5-ADD5-C0BFE20E3626}"/>
    <dgm:cxn modelId="{63A05430-E52F-4D61-8E1A-9613A2434C28}" type="presOf" srcId="{D4017BBD-57B1-4435-A652-666ACFB6D230}" destId="{0050988B-148F-48E4-851F-80E511074A79}" srcOrd="0" destOrd="4" presId="urn:microsoft.com/office/officeart/2005/8/layout/hList7"/>
    <dgm:cxn modelId="{87FB666D-C476-4760-81A7-E66546EE926F}" srcId="{6A5B9A52-0472-41BE-9DBE-5D3800BFF57D}" destId="{3D6A6363-ADB7-40AD-BB85-5436CCFE7FD0}" srcOrd="2" destOrd="0" parTransId="{692D40A2-457E-4263-8BE3-03D424D6030D}" sibTransId="{E383BB73-3584-4467-BC3E-AC3B863C35C5}"/>
    <dgm:cxn modelId="{B2E3AAE6-69B0-4D39-A311-9B0794601227}" type="presOf" srcId="{ED301B7F-980C-40FC-92C4-4EDCB74F27F6}" destId="{8646506C-440A-473C-8289-8EC36DAAD6D1}" srcOrd="1" destOrd="1" presId="urn:microsoft.com/office/officeart/2005/8/layout/hList7"/>
    <dgm:cxn modelId="{8FD6E5BE-0A8C-4B62-B337-FEB32347C590}" srcId="{6A5B9A52-0472-41BE-9DBE-5D3800BFF57D}" destId="{30A5135D-34EE-4723-9A6B-AE550BA1A9A3}" srcOrd="0" destOrd="0" parTransId="{51D4551B-2D5E-42A0-B45D-E365EFCD5992}" sibTransId="{487342BE-7E6E-4AC7-B6E1-456084CD7C56}"/>
    <dgm:cxn modelId="{61D42AB9-0A21-41EA-8A95-02F1781B80D4}" srcId="{E5878767-B086-47D2-A255-D21E4979ABC7}" destId="{ED301B7F-980C-40FC-92C4-4EDCB74F27F6}" srcOrd="0" destOrd="0" parTransId="{3FAAEAE4-A5B4-400B-B840-7418B3B60322}" sibTransId="{B6AF5D99-BDD2-4ACF-8068-34FD21A0EA98}"/>
    <dgm:cxn modelId="{F86761FD-1968-473C-8A2A-878E609EF08A}" type="presOf" srcId="{156ECDD9-9EF0-49F2-B58E-C0EE0895064E}" destId="{0050988B-148F-48E4-851F-80E511074A79}" srcOrd="0" destOrd="3" presId="urn:microsoft.com/office/officeart/2005/8/layout/hList7"/>
    <dgm:cxn modelId="{107E131B-90EE-4B04-9E9D-7D802F1E661F}" type="presOf" srcId="{6A5B9A52-0472-41BE-9DBE-5D3800BFF57D}" destId="{E5D142B1-191A-4B12-BA5E-1D683AF96300}" srcOrd="0" destOrd="0" presId="urn:microsoft.com/office/officeart/2005/8/layout/hList7"/>
    <dgm:cxn modelId="{2F1439FB-AA6C-4655-ABB5-A1D068D7DD2F}" type="presOf" srcId="{BE8BE0F1-D554-466D-87CA-2BEA5FAFF980}" destId="{0050988B-148F-48E4-851F-80E511074A79}" srcOrd="0" destOrd="5" presId="urn:microsoft.com/office/officeart/2005/8/layout/hList7"/>
    <dgm:cxn modelId="{046EFA00-0A7C-44D7-A2F3-AECDCEEF8001}" type="presOf" srcId="{471F2E1A-C64B-4E40-AC83-31A143E9D0DC}" destId="{0050988B-148F-48E4-851F-80E511074A79}" srcOrd="0" destOrd="2" presId="urn:microsoft.com/office/officeart/2005/8/layout/hList7"/>
    <dgm:cxn modelId="{6F4CB303-8D14-4697-A26B-446C110CB08F}" type="presOf" srcId="{9D1241BA-2A21-41F5-ADD5-C0BFE20E3626}" destId="{D7671FB3-A56F-4EF9-B8E1-A8B13D17A2A0}" srcOrd="0" destOrd="0" presId="urn:microsoft.com/office/officeart/2005/8/layout/hList7"/>
    <dgm:cxn modelId="{17AA1F72-3D7E-482F-A4FC-57C52185D314}" srcId="{E5878767-B086-47D2-A255-D21E4979ABC7}" destId="{156ECDD9-9EF0-49F2-B58E-C0EE0895064E}" srcOrd="2" destOrd="0" parTransId="{98AD5F94-D518-4872-B0C9-15DBDB83D544}" sibTransId="{079AA7E3-0E1A-4F1D-84F4-1BE622C6D11F}"/>
    <dgm:cxn modelId="{C82B2A36-7FBB-4456-835D-CFE114CFC033}" type="presOf" srcId="{ED301B7F-980C-40FC-92C4-4EDCB74F27F6}" destId="{0050988B-148F-48E4-851F-80E511074A79}" srcOrd="0" destOrd="1" presId="urn:microsoft.com/office/officeart/2005/8/layout/hList7"/>
    <dgm:cxn modelId="{26CBCB82-7177-4358-B09B-D93C7348D727}" type="presOf" srcId="{5CF29496-F76F-4913-9E68-201879BBB555}" destId="{968400A4-7E0C-4305-AD15-CDB31AE28892}" srcOrd="1" destOrd="0" presId="urn:microsoft.com/office/officeart/2005/8/layout/hList7"/>
    <dgm:cxn modelId="{26D353E4-6D92-40D4-8954-45CCC9CACFF5}" type="presOf" srcId="{30A5135D-34EE-4723-9A6B-AE550BA1A9A3}" destId="{2DFA39CB-924C-42CD-8996-D3031A5D2123}" srcOrd="1" destOrd="1" presId="urn:microsoft.com/office/officeart/2005/8/layout/hList7"/>
    <dgm:cxn modelId="{ED82FA42-E6D2-42A1-835B-8ECF8329427B}" type="presOf" srcId="{BE8BE0F1-D554-466D-87CA-2BEA5FAFF980}" destId="{8646506C-440A-473C-8289-8EC36DAAD6D1}" srcOrd="1" destOrd="5" presId="urn:microsoft.com/office/officeart/2005/8/layout/hList7"/>
    <dgm:cxn modelId="{3B4CBA1F-E02F-4822-B09F-7E1CD2545E0C}" type="presOf" srcId="{D4017BBD-57B1-4435-A652-666ACFB6D230}" destId="{8646506C-440A-473C-8289-8EC36DAAD6D1}" srcOrd="1" destOrd="4" presId="urn:microsoft.com/office/officeart/2005/8/layout/hList7"/>
    <dgm:cxn modelId="{90090C56-96BB-4E56-BD32-720CDD0A05FB}" type="presOf" srcId="{E5878767-B086-47D2-A255-D21E4979ABC7}" destId="{0050988B-148F-48E4-851F-80E511074A79}" srcOrd="0" destOrd="0" presId="urn:microsoft.com/office/officeart/2005/8/layout/hList7"/>
    <dgm:cxn modelId="{CBC17ABC-2C56-4C61-A725-4BF6B3781D0E}" srcId="{156ECDD9-9EF0-49F2-B58E-C0EE0895064E}" destId="{BE8BE0F1-D554-466D-87CA-2BEA5FAFF980}" srcOrd="1" destOrd="0" parTransId="{8108730B-10E9-45FD-B2BA-E99C94FC3C2A}" sibTransId="{B169CE90-46A0-42BB-B38B-E3A0979DBCE0}"/>
    <dgm:cxn modelId="{E370B7FB-0D74-4C30-8CD7-6BAF8781366C}" type="presOf" srcId="{5CF29496-F76F-4913-9E68-201879BBB555}" destId="{3585E626-9480-4EEC-8782-6998BF3A7A8A}" srcOrd="0" destOrd="0" presId="urn:microsoft.com/office/officeart/2005/8/layout/hList7"/>
    <dgm:cxn modelId="{D52E8F06-CE01-4D5B-ADFA-60D43CAF7FEA}" type="presOf" srcId="{8D89E774-6205-46EB-B390-156C1EB623C1}" destId="{968400A4-7E0C-4305-AD15-CDB31AE28892}" srcOrd="1" destOrd="2" presId="urn:microsoft.com/office/officeart/2005/8/layout/hList7"/>
    <dgm:cxn modelId="{9E821C0C-35E4-47D3-909E-FBFCC9985260}" type="presOf" srcId="{3019CCA2-9D76-4D66-AACA-0C21C8F523F9}" destId="{BA7ADE01-9F86-4B01-A5F8-75A31F75E8DC}" srcOrd="0" destOrd="0" presId="urn:microsoft.com/office/officeart/2005/8/layout/hList7"/>
    <dgm:cxn modelId="{57149689-DE8B-4B7D-B29D-730D157BD7D3}" srcId="{6A5B9A52-0472-41BE-9DBE-5D3800BFF57D}" destId="{E5AB1173-702D-4BF0-A1DF-A0975DFB4AC8}" srcOrd="1" destOrd="0" parTransId="{052BEEDA-3F14-4540-9672-C841EF6C1706}" sibTransId="{85206B3F-14C8-415A-8945-601F220F80F8}"/>
    <dgm:cxn modelId="{77D183A5-3F73-4EFF-A9DA-F7DDA6031655}" type="presOf" srcId="{6A5B9A52-0472-41BE-9DBE-5D3800BFF57D}" destId="{2DFA39CB-924C-42CD-8996-D3031A5D2123}" srcOrd="1" destOrd="0" presId="urn:microsoft.com/office/officeart/2005/8/layout/hList7"/>
    <dgm:cxn modelId="{86DCA9B8-69A2-49ED-9ACA-47AB54410DE0}" srcId="{2D8F587C-411B-4F52-B8AD-1465E83B47E0}" destId="{6A5B9A52-0472-41BE-9DBE-5D3800BFF57D}" srcOrd="0" destOrd="0" parTransId="{3CD95411-4FCD-4340-8CFE-55D1A464B503}" sibTransId="{3019CCA2-9D76-4D66-AACA-0C21C8F523F9}"/>
    <dgm:cxn modelId="{9596D958-786F-45CB-9E86-E44F6795B780}" type="presOf" srcId="{3D6A6363-ADB7-40AD-BB85-5436CCFE7FD0}" destId="{E5D142B1-191A-4B12-BA5E-1D683AF96300}" srcOrd="0" destOrd="3" presId="urn:microsoft.com/office/officeart/2005/8/layout/hList7"/>
    <dgm:cxn modelId="{79445EDB-D1C4-48FF-8AC5-7480AEFBC59E}" type="presOf" srcId="{31A2C6EC-EFAD-461E-9127-32D1CA23FA00}" destId="{3585E626-9480-4EEC-8782-6998BF3A7A8A}" srcOrd="0" destOrd="1" presId="urn:microsoft.com/office/officeart/2005/8/layout/hList7"/>
    <dgm:cxn modelId="{63506489-97AE-401B-9D7E-3F7861FAA093}" srcId="{2D8F587C-411B-4F52-B8AD-1465E83B47E0}" destId="{5CF29496-F76F-4913-9E68-201879BBB555}" srcOrd="2" destOrd="0" parTransId="{CB5D0D42-7DC2-4AE1-A9CC-A07DD21AD2F0}" sibTransId="{DDE17223-96A2-4108-96B7-B21B6A4BB4F0}"/>
    <dgm:cxn modelId="{A06CE9AA-9938-49F0-A0B7-FD3C3493F030}" srcId="{E5878767-B086-47D2-A255-D21E4979ABC7}" destId="{471F2E1A-C64B-4E40-AC83-31A143E9D0DC}" srcOrd="1" destOrd="0" parTransId="{B952B15A-B4C6-4115-9B7E-3D8195D7E7AF}" sibTransId="{15C6A901-94AF-4E2D-A5ED-CC7BC698A1A2}"/>
    <dgm:cxn modelId="{2F3C4593-DDBD-409F-8A81-2FFAD3DF1AAC}" srcId="{5CF29496-F76F-4913-9E68-201879BBB555}" destId="{8D89E774-6205-46EB-B390-156C1EB623C1}" srcOrd="1" destOrd="0" parTransId="{BE1CF92A-8C46-4F4B-B7F5-FA6B6F9B9508}" sibTransId="{1EF81DEA-51BE-4A18-9A6A-3A21CEF855F4}"/>
    <dgm:cxn modelId="{9F9666C7-4603-4B9F-9E81-B95FECF0C1EC}" type="presOf" srcId="{E5AB1173-702D-4BF0-A1DF-A0975DFB4AC8}" destId="{E5D142B1-191A-4B12-BA5E-1D683AF96300}" srcOrd="0" destOrd="2" presId="urn:microsoft.com/office/officeart/2005/8/layout/hList7"/>
    <dgm:cxn modelId="{42976C08-87D0-4E21-B8BC-C32EB8B91B2B}" type="presOf" srcId="{8D89E774-6205-46EB-B390-156C1EB623C1}" destId="{3585E626-9480-4EEC-8782-6998BF3A7A8A}" srcOrd="0" destOrd="2" presId="urn:microsoft.com/office/officeart/2005/8/layout/hList7"/>
    <dgm:cxn modelId="{74A487F0-71A9-4475-94F7-A268E34E8282}" srcId="{156ECDD9-9EF0-49F2-B58E-C0EE0895064E}" destId="{D4017BBD-57B1-4435-A652-666ACFB6D230}" srcOrd="0" destOrd="0" parTransId="{66DD2BE0-424B-4375-BD6D-4C546F8AC5DA}" sibTransId="{568E5644-E036-4664-96AA-ECDC0DC241C4}"/>
    <dgm:cxn modelId="{36B7F2F7-72FB-440B-BC2F-32FCDCDC1208}" type="presOf" srcId="{E5878767-B086-47D2-A255-D21E4979ABC7}" destId="{8646506C-440A-473C-8289-8EC36DAAD6D1}" srcOrd="1" destOrd="0" presId="urn:microsoft.com/office/officeart/2005/8/layout/hList7"/>
    <dgm:cxn modelId="{201EC2CB-F66D-4A25-8A43-20B335AEFE62}" type="presParOf" srcId="{BCC2BBC8-D397-49C8-8FCD-ECF0AD367829}" destId="{05E9CDE7-4B88-46F9-8F8D-2C9F3BEF17E4}" srcOrd="0" destOrd="0" presId="urn:microsoft.com/office/officeart/2005/8/layout/hList7"/>
    <dgm:cxn modelId="{F39518AD-D0A4-466B-A211-37D5D0A0B09C}" type="presParOf" srcId="{BCC2BBC8-D397-49C8-8FCD-ECF0AD367829}" destId="{4C2724CC-38CF-4F53-9F48-DC578AB69A48}" srcOrd="1" destOrd="0" presId="urn:microsoft.com/office/officeart/2005/8/layout/hList7"/>
    <dgm:cxn modelId="{0AE2C218-E0EA-4E4E-9D2C-03EBDF1833AE}" type="presParOf" srcId="{4C2724CC-38CF-4F53-9F48-DC578AB69A48}" destId="{957DE1A4-69AA-40D9-B71E-6F97174648C6}" srcOrd="0" destOrd="0" presId="urn:microsoft.com/office/officeart/2005/8/layout/hList7"/>
    <dgm:cxn modelId="{3E2BEEF7-0A96-488C-9CFA-EFCF05B852B2}" type="presParOf" srcId="{957DE1A4-69AA-40D9-B71E-6F97174648C6}" destId="{E5D142B1-191A-4B12-BA5E-1D683AF96300}" srcOrd="0" destOrd="0" presId="urn:microsoft.com/office/officeart/2005/8/layout/hList7"/>
    <dgm:cxn modelId="{9215B7E5-0882-4FA0-8BFA-BB5279043179}" type="presParOf" srcId="{957DE1A4-69AA-40D9-B71E-6F97174648C6}" destId="{2DFA39CB-924C-42CD-8996-D3031A5D2123}" srcOrd="1" destOrd="0" presId="urn:microsoft.com/office/officeart/2005/8/layout/hList7"/>
    <dgm:cxn modelId="{ADD81B74-DA93-4AAC-9244-BA7E2C49BC1B}" type="presParOf" srcId="{957DE1A4-69AA-40D9-B71E-6F97174648C6}" destId="{150F1D68-F4CE-4842-BD38-625D69080554}" srcOrd="2" destOrd="0" presId="urn:microsoft.com/office/officeart/2005/8/layout/hList7"/>
    <dgm:cxn modelId="{BD7C1E75-A332-4002-9153-4C950317AACC}" type="presParOf" srcId="{957DE1A4-69AA-40D9-B71E-6F97174648C6}" destId="{94BECB7A-D81C-4765-A807-1CEBBB9FE698}" srcOrd="3" destOrd="0" presId="urn:microsoft.com/office/officeart/2005/8/layout/hList7"/>
    <dgm:cxn modelId="{50F9A884-51BF-42BB-9D39-65A647A7D89E}" type="presParOf" srcId="{4C2724CC-38CF-4F53-9F48-DC578AB69A48}" destId="{BA7ADE01-9F86-4B01-A5F8-75A31F75E8DC}" srcOrd="1" destOrd="0" presId="urn:microsoft.com/office/officeart/2005/8/layout/hList7"/>
    <dgm:cxn modelId="{40A4A188-4830-4DB0-A980-C32FA0FF1875}" type="presParOf" srcId="{4C2724CC-38CF-4F53-9F48-DC578AB69A48}" destId="{9E887971-1014-46CF-8203-05E6350C98E3}" srcOrd="2" destOrd="0" presId="urn:microsoft.com/office/officeart/2005/8/layout/hList7"/>
    <dgm:cxn modelId="{5847C449-5707-42A6-B736-97ED3119C9D5}" type="presParOf" srcId="{9E887971-1014-46CF-8203-05E6350C98E3}" destId="{0050988B-148F-48E4-851F-80E511074A79}" srcOrd="0" destOrd="0" presId="urn:microsoft.com/office/officeart/2005/8/layout/hList7"/>
    <dgm:cxn modelId="{4F67056B-4A9E-4CB7-8895-0A2E8327DF89}" type="presParOf" srcId="{9E887971-1014-46CF-8203-05E6350C98E3}" destId="{8646506C-440A-473C-8289-8EC36DAAD6D1}" srcOrd="1" destOrd="0" presId="urn:microsoft.com/office/officeart/2005/8/layout/hList7"/>
    <dgm:cxn modelId="{ED324922-608B-4A78-B972-75FC6C4326D5}" type="presParOf" srcId="{9E887971-1014-46CF-8203-05E6350C98E3}" destId="{06E64825-8855-48C9-ABB7-B9C396C5E11B}" srcOrd="2" destOrd="0" presId="urn:microsoft.com/office/officeart/2005/8/layout/hList7"/>
    <dgm:cxn modelId="{3DEF8BB3-24B6-4488-9A7B-18B9644DAE1C}" type="presParOf" srcId="{9E887971-1014-46CF-8203-05E6350C98E3}" destId="{22FD2ECC-A966-499C-BE3C-1A27DDB1EBD2}" srcOrd="3" destOrd="0" presId="urn:microsoft.com/office/officeart/2005/8/layout/hList7"/>
    <dgm:cxn modelId="{7E4CA594-F1A8-4CFC-9290-20DE6A10CF01}" type="presParOf" srcId="{4C2724CC-38CF-4F53-9F48-DC578AB69A48}" destId="{D7671FB3-A56F-4EF9-B8E1-A8B13D17A2A0}" srcOrd="3" destOrd="0" presId="urn:microsoft.com/office/officeart/2005/8/layout/hList7"/>
    <dgm:cxn modelId="{1F00A7F1-183F-4917-B237-FC54DB39EED9}" type="presParOf" srcId="{4C2724CC-38CF-4F53-9F48-DC578AB69A48}" destId="{4F0D9BDE-934E-44D2-A82C-3AB291B07117}" srcOrd="4" destOrd="0" presId="urn:microsoft.com/office/officeart/2005/8/layout/hList7"/>
    <dgm:cxn modelId="{EAE8D403-8300-479F-A90C-5628769236CB}" type="presParOf" srcId="{4F0D9BDE-934E-44D2-A82C-3AB291B07117}" destId="{3585E626-9480-4EEC-8782-6998BF3A7A8A}" srcOrd="0" destOrd="0" presId="urn:microsoft.com/office/officeart/2005/8/layout/hList7"/>
    <dgm:cxn modelId="{5CF80E18-4295-43AA-8A9E-360AB73F5A58}" type="presParOf" srcId="{4F0D9BDE-934E-44D2-A82C-3AB291B07117}" destId="{968400A4-7E0C-4305-AD15-CDB31AE28892}" srcOrd="1" destOrd="0" presId="urn:microsoft.com/office/officeart/2005/8/layout/hList7"/>
    <dgm:cxn modelId="{AACE343B-77A2-4D90-85EA-AB98E335E9FF}" type="presParOf" srcId="{4F0D9BDE-934E-44D2-A82C-3AB291B07117}" destId="{8219B7AB-FE9B-4DCA-8F16-BEA9E4CE1CCF}" srcOrd="2" destOrd="0" presId="urn:microsoft.com/office/officeart/2005/8/layout/hList7"/>
    <dgm:cxn modelId="{BD999A8E-8BD3-4921-B681-5F9BC51BB5EE}" type="presParOf" srcId="{4F0D9BDE-934E-44D2-A82C-3AB291B07117}" destId="{F55A8290-3351-4A9C-A950-187358E72258}" srcOrd="3" destOrd="0" presId="urn:microsoft.com/office/officeart/2005/8/layout/hList7"/>
  </dgm:cxnLst>
  <dgm:bg/>
  <dgm:whole/>
  <dgm:extLst>
    <a:ext uri="http://schemas.microsoft.com/office/drawing/2008/diagram">
      <dsp:dataModelExt xmlns:dsp="http://schemas.microsoft.com/office/drawing/2008/diagram" relId="rId165"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2B6C3E5F-2295-4895-B84B-A984D2321CF3}"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en-GB"/>
        </a:p>
      </dgm:t>
    </dgm:pt>
    <dgm:pt modelId="{9BDEF3AD-81C0-44AA-9419-0ABE9C1E5F69}">
      <dgm:prSet phldrT="[Text]"/>
      <dgm:spPr/>
      <dgm:t>
        <a:bodyPr/>
        <a:lstStyle/>
        <a:p>
          <a:r>
            <a:rPr lang="sk-SK"/>
            <a:t>Plénum</a:t>
          </a:r>
        </a:p>
      </dgm:t>
    </dgm:pt>
    <dgm:pt modelId="{50F9E464-2BDD-4AEB-BD7B-6CC49100B6B1}" type="parTrans" cxnId="{E7FB9DC6-E94E-4039-9FC9-8F34C7A19FDC}">
      <dgm:prSet/>
      <dgm:spPr/>
      <dgm:t>
        <a:bodyPr/>
        <a:lstStyle/>
        <a:p>
          <a:endParaRPr lang="en-GB"/>
        </a:p>
      </dgm:t>
    </dgm:pt>
    <dgm:pt modelId="{2EB40B21-2E99-490D-957D-124251CBF6F3}" type="sibTrans" cxnId="{E7FB9DC6-E94E-4039-9FC9-8F34C7A19FDC}">
      <dgm:prSet/>
      <dgm:spPr/>
      <dgm:t>
        <a:bodyPr/>
        <a:lstStyle/>
        <a:p>
          <a:endParaRPr lang="en-GB"/>
        </a:p>
      </dgm:t>
    </dgm:pt>
    <dgm:pt modelId="{F91212EC-0D95-4DAA-ABE9-7D3C760B4763}">
      <dgm:prSet phldrT="[Text]" custT="1"/>
      <dgm:spPr/>
      <dgm:t>
        <a:bodyPr/>
        <a:lstStyle/>
        <a:p>
          <a:r>
            <a:rPr lang="sk-SK" sz="700" i="0"/>
            <a:t>Predchádzanie podvodom</a:t>
          </a:r>
        </a:p>
      </dgm:t>
    </dgm:pt>
    <dgm:pt modelId="{A2AFACA9-D0A4-4CB4-B915-835489A4A3D0}" type="parTrans" cxnId="{CEB2CE29-FA2B-4B92-8946-A0AB32AC4EBC}">
      <dgm:prSet/>
      <dgm:spPr/>
      <dgm:t>
        <a:bodyPr/>
        <a:lstStyle/>
        <a:p>
          <a:endParaRPr lang="en-GB"/>
        </a:p>
      </dgm:t>
    </dgm:pt>
    <dgm:pt modelId="{15700D57-7C1F-4E80-AB6A-22E48B85C69F}" type="sibTrans" cxnId="{CEB2CE29-FA2B-4B92-8946-A0AB32AC4EBC}">
      <dgm:prSet/>
      <dgm:spPr/>
      <dgm:t>
        <a:bodyPr/>
        <a:lstStyle/>
        <a:p>
          <a:endParaRPr lang="en-GB"/>
        </a:p>
      </dgm:t>
    </dgm:pt>
    <dgm:pt modelId="{63D26844-4888-425C-8D49-1F0E09D56D7E}">
      <dgm:prSet phldrT="[Text]" custT="1"/>
      <dgm:spPr/>
      <dgm:t>
        <a:bodyPr/>
        <a:lstStyle/>
        <a:p>
          <a:r>
            <a:rPr lang="sk-SK" sz="700"/>
            <a:t>Stretnutie koordinačných útvarov pre boj proti podvodom</a:t>
          </a:r>
        </a:p>
      </dgm:t>
    </dgm:pt>
    <dgm:pt modelId="{8431595B-7152-4F68-B9B6-7B643ADA24D6}" type="parTrans" cxnId="{B0CFAEDD-7B6C-41A6-889F-1519AC821E80}">
      <dgm:prSet/>
      <dgm:spPr/>
      <dgm:t>
        <a:bodyPr/>
        <a:lstStyle/>
        <a:p>
          <a:endParaRPr lang="en-GB"/>
        </a:p>
      </dgm:t>
    </dgm:pt>
    <dgm:pt modelId="{C256BB04-4AAD-463C-B3A0-74E9C2625195}" type="sibTrans" cxnId="{B0CFAEDD-7B6C-41A6-889F-1519AC821E80}">
      <dgm:prSet/>
      <dgm:spPr/>
      <dgm:t>
        <a:bodyPr/>
        <a:lstStyle/>
        <a:p>
          <a:endParaRPr lang="en-GB"/>
        </a:p>
      </dgm:t>
    </dgm:pt>
    <dgm:pt modelId="{6D3DD59C-49E7-4D2C-BC45-2BA2D5FFC18D}">
      <dgm:prSet phldrT="[Text]" custT="1"/>
      <dgm:spPr/>
      <dgm:t>
        <a:bodyPr/>
        <a:lstStyle/>
        <a:p>
          <a:r>
            <a:rPr lang="sk-SK" sz="700" i="0"/>
            <a:t>Oznamovanie a analýza podvodných a iných nezrovnalostí</a:t>
          </a:r>
        </a:p>
      </dgm:t>
    </dgm:pt>
    <dgm:pt modelId="{51F96676-F437-4E62-9FD6-50CE645976B9}" type="parTrans" cxnId="{BACBF7E5-D193-482D-B06C-CB36F0DDC2A8}">
      <dgm:prSet/>
      <dgm:spPr/>
      <dgm:t>
        <a:bodyPr/>
        <a:lstStyle/>
        <a:p>
          <a:endParaRPr lang="en-GB"/>
        </a:p>
      </dgm:t>
    </dgm:pt>
    <dgm:pt modelId="{CDD4BA9B-37ED-4F09-8BA1-0E9FCDBEE270}" type="sibTrans" cxnId="{BACBF7E5-D193-482D-B06C-CB36F0DDC2A8}">
      <dgm:prSet/>
      <dgm:spPr/>
      <dgm:t>
        <a:bodyPr/>
        <a:lstStyle/>
        <a:p>
          <a:endParaRPr lang="en-GB"/>
        </a:p>
      </dgm:t>
    </dgm:pt>
    <dgm:pt modelId="{A5B0867A-E816-49F2-9DDF-0E160E6ADDB3}">
      <dgm:prSet phldrT="[Text]" custT="1"/>
      <dgm:spPr/>
      <dgm:t>
        <a:bodyPr/>
        <a:lstStyle/>
        <a:p>
          <a:r>
            <a:rPr lang="sk-SK" sz="700"/>
            <a:t>Sieť komunikátorov úradu OLAF pre boj proti podvodom (OAFCN)</a:t>
          </a:r>
        </a:p>
      </dgm:t>
    </dgm:pt>
    <dgm:pt modelId="{C615E05F-43DD-4F0C-B7F4-BD70C16B8F81}" type="parTrans" cxnId="{D54A08D7-56CD-42D2-B7C3-EFDF97649027}">
      <dgm:prSet/>
      <dgm:spPr/>
      <dgm:t>
        <a:bodyPr/>
        <a:lstStyle/>
        <a:p>
          <a:endParaRPr lang="en-GB"/>
        </a:p>
      </dgm:t>
    </dgm:pt>
    <dgm:pt modelId="{54170BBE-5903-473D-BBD0-610CAEC660B3}" type="sibTrans" cxnId="{D54A08D7-56CD-42D2-B7C3-EFDF97649027}">
      <dgm:prSet/>
      <dgm:spPr/>
      <dgm:t>
        <a:bodyPr/>
        <a:lstStyle/>
        <a:p>
          <a:endParaRPr lang="en-GB"/>
        </a:p>
      </dgm:t>
    </dgm:pt>
    <dgm:pt modelId="{B1CBA6BD-1975-42BC-ABCE-8CCC6B20D66D}" type="pres">
      <dgm:prSet presAssocID="{2B6C3E5F-2295-4895-B84B-A984D2321CF3}" presName="cycle" presStyleCnt="0">
        <dgm:presLayoutVars>
          <dgm:chMax val="1"/>
          <dgm:dir/>
          <dgm:animLvl val="ctr"/>
          <dgm:resizeHandles val="exact"/>
        </dgm:presLayoutVars>
      </dgm:prSet>
      <dgm:spPr/>
      <dgm:t>
        <a:bodyPr/>
        <a:lstStyle/>
        <a:p>
          <a:endParaRPr lang="en-GB"/>
        </a:p>
      </dgm:t>
    </dgm:pt>
    <dgm:pt modelId="{DC7F58BC-2AE5-4CB6-AF16-0B1B47A66FA9}" type="pres">
      <dgm:prSet presAssocID="{9BDEF3AD-81C0-44AA-9419-0ABE9C1E5F69}" presName="centerShape" presStyleLbl="node0" presStyleIdx="0" presStyleCnt="1"/>
      <dgm:spPr/>
      <dgm:t>
        <a:bodyPr/>
        <a:lstStyle/>
        <a:p>
          <a:endParaRPr lang="en-GB"/>
        </a:p>
      </dgm:t>
    </dgm:pt>
    <dgm:pt modelId="{A1D8CA94-0251-4158-9BE6-3B0F736CDA65}" type="pres">
      <dgm:prSet presAssocID="{51F96676-F437-4E62-9FD6-50CE645976B9}" presName="parTrans" presStyleLbl="bgSibTrans2D1" presStyleIdx="0" presStyleCnt="4"/>
      <dgm:spPr/>
      <dgm:t>
        <a:bodyPr/>
        <a:lstStyle/>
        <a:p>
          <a:endParaRPr lang="en-GB"/>
        </a:p>
      </dgm:t>
    </dgm:pt>
    <dgm:pt modelId="{F55CF05D-197B-437E-9659-BE3F3820F522}" type="pres">
      <dgm:prSet presAssocID="{6D3DD59C-49E7-4D2C-BC45-2BA2D5FFC18D}" presName="node" presStyleLbl="node1" presStyleIdx="0" presStyleCnt="4" custScaleX="107757" custScaleY="92965">
        <dgm:presLayoutVars>
          <dgm:bulletEnabled val="1"/>
        </dgm:presLayoutVars>
      </dgm:prSet>
      <dgm:spPr/>
      <dgm:t>
        <a:bodyPr/>
        <a:lstStyle/>
        <a:p>
          <a:endParaRPr lang="en-GB"/>
        </a:p>
      </dgm:t>
    </dgm:pt>
    <dgm:pt modelId="{63F781B7-3258-45DE-B128-EAC6F18EEC7A}" type="pres">
      <dgm:prSet presAssocID="{A2AFACA9-D0A4-4CB4-B915-835489A4A3D0}" presName="parTrans" presStyleLbl="bgSibTrans2D1" presStyleIdx="1" presStyleCnt="4"/>
      <dgm:spPr/>
      <dgm:t>
        <a:bodyPr/>
        <a:lstStyle/>
        <a:p>
          <a:endParaRPr lang="en-GB"/>
        </a:p>
      </dgm:t>
    </dgm:pt>
    <dgm:pt modelId="{E2E12CA3-FBE2-4D20-A67D-9A5AC58B11C5}" type="pres">
      <dgm:prSet presAssocID="{F91212EC-0D95-4DAA-ABE9-7D3C760B4763}" presName="node" presStyleLbl="node1" presStyleIdx="1" presStyleCnt="4">
        <dgm:presLayoutVars>
          <dgm:bulletEnabled val="1"/>
        </dgm:presLayoutVars>
      </dgm:prSet>
      <dgm:spPr/>
      <dgm:t>
        <a:bodyPr/>
        <a:lstStyle/>
        <a:p>
          <a:endParaRPr lang="en-GB"/>
        </a:p>
      </dgm:t>
    </dgm:pt>
    <dgm:pt modelId="{5C71916D-0A5B-4A80-8D17-8A4DFCE6A0AC}" type="pres">
      <dgm:prSet presAssocID="{8431595B-7152-4F68-B9B6-7B643ADA24D6}" presName="parTrans" presStyleLbl="bgSibTrans2D1" presStyleIdx="2" presStyleCnt="4"/>
      <dgm:spPr/>
      <dgm:t>
        <a:bodyPr/>
        <a:lstStyle/>
        <a:p>
          <a:endParaRPr lang="en-GB"/>
        </a:p>
      </dgm:t>
    </dgm:pt>
    <dgm:pt modelId="{D93E7687-2186-434C-9BDE-351D4E80AEE6}" type="pres">
      <dgm:prSet presAssocID="{63D26844-4888-425C-8D49-1F0E09D56D7E}" presName="node" presStyleLbl="node1" presStyleIdx="2" presStyleCnt="4">
        <dgm:presLayoutVars>
          <dgm:bulletEnabled val="1"/>
        </dgm:presLayoutVars>
      </dgm:prSet>
      <dgm:spPr/>
      <dgm:t>
        <a:bodyPr/>
        <a:lstStyle/>
        <a:p>
          <a:endParaRPr lang="en-GB"/>
        </a:p>
      </dgm:t>
    </dgm:pt>
    <dgm:pt modelId="{A6EA8589-E10C-4E34-AC45-3A0482450B2F}" type="pres">
      <dgm:prSet presAssocID="{C615E05F-43DD-4F0C-B7F4-BD70C16B8F81}" presName="parTrans" presStyleLbl="bgSibTrans2D1" presStyleIdx="3" presStyleCnt="4"/>
      <dgm:spPr/>
      <dgm:t>
        <a:bodyPr/>
        <a:lstStyle/>
        <a:p>
          <a:endParaRPr lang="en-GB"/>
        </a:p>
      </dgm:t>
    </dgm:pt>
    <dgm:pt modelId="{0F647DD1-7CC9-466F-A13F-12A50FDF302E}" type="pres">
      <dgm:prSet presAssocID="{A5B0867A-E816-49F2-9DDF-0E160E6ADDB3}" presName="node" presStyleLbl="node1" presStyleIdx="3" presStyleCnt="4" custScaleY="115816">
        <dgm:presLayoutVars>
          <dgm:bulletEnabled val="1"/>
        </dgm:presLayoutVars>
      </dgm:prSet>
      <dgm:spPr/>
      <dgm:t>
        <a:bodyPr/>
        <a:lstStyle/>
        <a:p>
          <a:endParaRPr lang="en-GB"/>
        </a:p>
      </dgm:t>
    </dgm:pt>
  </dgm:ptLst>
  <dgm:cxnLst>
    <dgm:cxn modelId="{AA75351B-689E-4254-B492-8C4F0A41033B}" type="presOf" srcId="{2B6C3E5F-2295-4895-B84B-A984D2321CF3}" destId="{B1CBA6BD-1975-42BC-ABCE-8CCC6B20D66D}" srcOrd="0" destOrd="0" presId="urn:microsoft.com/office/officeart/2005/8/layout/radial4"/>
    <dgm:cxn modelId="{D54A08D7-56CD-42D2-B7C3-EFDF97649027}" srcId="{9BDEF3AD-81C0-44AA-9419-0ABE9C1E5F69}" destId="{A5B0867A-E816-49F2-9DDF-0E160E6ADDB3}" srcOrd="3" destOrd="0" parTransId="{C615E05F-43DD-4F0C-B7F4-BD70C16B8F81}" sibTransId="{54170BBE-5903-473D-BBD0-610CAEC660B3}"/>
    <dgm:cxn modelId="{77F3E93C-299A-4D67-B390-421AEEA7971D}" type="presOf" srcId="{C615E05F-43DD-4F0C-B7F4-BD70C16B8F81}" destId="{A6EA8589-E10C-4E34-AC45-3A0482450B2F}" srcOrd="0" destOrd="0" presId="urn:microsoft.com/office/officeart/2005/8/layout/radial4"/>
    <dgm:cxn modelId="{5C6B589E-9FF7-4332-B570-C4E9AAAFFF89}" type="presOf" srcId="{9BDEF3AD-81C0-44AA-9419-0ABE9C1E5F69}" destId="{DC7F58BC-2AE5-4CB6-AF16-0B1B47A66FA9}" srcOrd="0" destOrd="0" presId="urn:microsoft.com/office/officeart/2005/8/layout/radial4"/>
    <dgm:cxn modelId="{B0CFAEDD-7B6C-41A6-889F-1519AC821E80}" srcId="{9BDEF3AD-81C0-44AA-9419-0ABE9C1E5F69}" destId="{63D26844-4888-425C-8D49-1F0E09D56D7E}" srcOrd="2" destOrd="0" parTransId="{8431595B-7152-4F68-B9B6-7B643ADA24D6}" sibTransId="{C256BB04-4AAD-463C-B3A0-74E9C2625195}"/>
    <dgm:cxn modelId="{FE17A5C6-F106-4F87-B7EE-F521D04AE8D0}" type="presOf" srcId="{A2AFACA9-D0A4-4CB4-B915-835489A4A3D0}" destId="{63F781B7-3258-45DE-B128-EAC6F18EEC7A}" srcOrd="0" destOrd="0" presId="urn:microsoft.com/office/officeart/2005/8/layout/radial4"/>
    <dgm:cxn modelId="{B2E0FEB0-8570-48C7-AE5A-C3F370F12184}" type="presOf" srcId="{63D26844-4888-425C-8D49-1F0E09D56D7E}" destId="{D93E7687-2186-434C-9BDE-351D4E80AEE6}" srcOrd="0" destOrd="0" presId="urn:microsoft.com/office/officeart/2005/8/layout/radial4"/>
    <dgm:cxn modelId="{BACBF7E5-D193-482D-B06C-CB36F0DDC2A8}" srcId="{9BDEF3AD-81C0-44AA-9419-0ABE9C1E5F69}" destId="{6D3DD59C-49E7-4D2C-BC45-2BA2D5FFC18D}" srcOrd="0" destOrd="0" parTransId="{51F96676-F437-4E62-9FD6-50CE645976B9}" sibTransId="{CDD4BA9B-37ED-4F09-8BA1-0E9FCDBEE270}"/>
    <dgm:cxn modelId="{D35394CC-2584-4D10-9366-EDA90AADCECB}" type="presOf" srcId="{6D3DD59C-49E7-4D2C-BC45-2BA2D5FFC18D}" destId="{F55CF05D-197B-437E-9659-BE3F3820F522}" srcOrd="0" destOrd="0" presId="urn:microsoft.com/office/officeart/2005/8/layout/radial4"/>
    <dgm:cxn modelId="{E7FB9DC6-E94E-4039-9FC9-8F34C7A19FDC}" srcId="{2B6C3E5F-2295-4895-B84B-A984D2321CF3}" destId="{9BDEF3AD-81C0-44AA-9419-0ABE9C1E5F69}" srcOrd="0" destOrd="0" parTransId="{50F9E464-2BDD-4AEB-BD7B-6CC49100B6B1}" sibTransId="{2EB40B21-2E99-490D-957D-124251CBF6F3}"/>
    <dgm:cxn modelId="{CEB2CE29-FA2B-4B92-8946-A0AB32AC4EBC}" srcId="{9BDEF3AD-81C0-44AA-9419-0ABE9C1E5F69}" destId="{F91212EC-0D95-4DAA-ABE9-7D3C760B4763}" srcOrd="1" destOrd="0" parTransId="{A2AFACA9-D0A4-4CB4-B915-835489A4A3D0}" sibTransId="{15700D57-7C1F-4E80-AB6A-22E48B85C69F}"/>
    <dgm:cxn modelId="{62933AF1-A04D-40A4-B571-4D155BD1D734}" type="presOf" srcId="{8431595B-7152-4F68-B9B6-7B643ADA24D6}" destId="{5C71916D-0A5B-4A80-8D17-8A4DFCE6A0AC}" srcOrd="0" destOrd="0" presId="urn:microsoft.com/office/officeart/2005/8/layout/radial4"/>
    <dgm:cxn modelId="{330E4019-00DE-44E5-9B88-975E7083C401}" type="presOf" srcId="{51F96676-F437-4E62-9FD6-50CE645976B9}" destId="{A1D8CA94-0251-4158-9BE6-3B0F736CDA65}" srcOrd="0" destOrd="0" presId="urn:microsoft.com/office/officeart/2005/8/layout/radial4"/>
    <dgm:cxn modelId="{93ABA2C4-64FB-4E94-BDC0-3DD8FABACC6D}" type="presOf" srcId="{F91212EC-0D95-4DAA-ABE9-7D3C760B4763}" destId="{E2E12CA3-FBE2-4D20-A67D-9A5AC58B11C5}" srcOrd="0" destOrd="0" presId="urn:microsoft.com/office/officeart/2005/8/layout/radial4"/>
    <dgm:cxn modelId="{8EFE69C8-A9FD-4899-B4B1-2D3C89A9B5F4}" type="presOf" srcId="{A5B0867A-E816-49F2-9DDF-0E160E6ADDB3}" destId="{0F647DD1-7CC9-466F-A13F-12A50FDF302E}" srcOrd="0" destOrd="0" presId="urn:microsoft.com/office/officeart/2005/8/layout/radial4"/>
    <dgm:cxn modelId="{553270B4-B57E-4039-AE02-3BD3C571D3C9}" type="presParOf" srcId="{B1CBA6BD-1975-42BC-ABCE-8CCC6B20D66D}" destId="{DC7F58BC-2AE5-4CB6-AF16-0B1B47A66FA9}" srcOrd="0" destOrd="0" presId="urn:microsoft.com/office/officeart/2005/8/layout/radial4"/>
    <dgm:cxn modelId="{6837135B-3B97-4947-AF24-69BA6AB04C74}" type="presParOf" srcId="{B1CBA6BD-1975-42BC-ABCE-8CCC6B20D66D}" destId="{A1D8CA94-0251-4158-9BE6-3B0F736CDA65}" srcOrd="1" destOrd="0" presId="urn:microsoft.com/office/officeart/2005/8/layout/radial4"/>
    <dgm:cxn modelId="{C6A17CEF-5A84-4F6E-AA7A-2E9E7238CE84}" type="presParOf" srcId="{B1CBA6BD-1975-42BC-ABCE-8CCC6B20D66D}" destId="{F55CF05D-197B-437E-9659-BE3F3820F522}" srcOrd="2" destOrd="0" presId="urn:microsoft.com/office/officeart/2005/8/layout/radial4"/>
    <dgm:cxn modelId="{C382F570-CAEC-42FC-874B-2EA457ADE503}" type="presParOf" srcId="{B1CBA6BD-1975-42BC-ABCE-8CCC6B20D66D}" destId="{63F781B7-3258-45DE-B128-EAC6F18EEC7A}" srcOrd="3" destOrd="0" presId="urn:microsoft.com/office/officeart/2005/8/layout/radial4"/>
    <dgm:cxn modelId="{124DB3A5-A331-4D5C-91DC-D0928070FEC8}" type="presParOf" srcId="{B1CBA6BD-1975-42BC-ABCE-8CCC6B20D66D}" destId="{E2E12CA3-FBE2-4D20-A67D-9A5AC58B11C5}" srcOrd="4" destOrd="0" presId="urn:microsoft.com/office/officeart/2005/8/layout/radial4"/>
    <dgm:cxn modelId="{FC458837-D9AD-4FE3-89A4-EB858B782012}" type="presParOf" srcId="{B1CBA6BD-1975-42BC-ABCE-8CCC6B20D66D}" destId="{5C71916D-0A5B-4A80-8D17-8A4DFCE6A0AC}" srcOrd="5" destOrd="0" presId="urn:microsoft.com/office/officeart/2005/8/layout/radial4"/>
    <dgm:cxn modelId="{E2DA4860-3825-44C1-8696-02EDDC446DA9}" type="presParOf" srcId="{B1CBA6BD-1975-42BC-ABCE-8CCC6B20D66D}" destId="{D93E7687-2186-434C-9BDE-351D4E80AEE6}" srcOrd="6" destOrd="0" presId="urn:microsoft.com/office/officeart/2005/8/layout/radial4"/>
    <dgm:cxn modelId="{28A74463-8D7E-4E8D-86CA-7E879E770FE0}" type="presParOf" srcId="{B1CBA6BD-1975-42BC-ABCE-8CCC6B20D66D}" destId="{A6EA8589-E10C-4E34-AC45-3A0482450B2F}" srcOrd="7" destOrd="0" presId="urn:microsoft.com/office/officeart/2005/8/layout/radial4"/>
    <dgm:cxn modelId="{086C14EE-45F5-42C2-856D-E969013423C6}" type="presParOf" srcId="{B1CBA6BD-1975-42BC-ABCE-8CCC6B20D66D}" destId="{0F647DD1-7CC9-466F-A13F-12A50FDF302E}" srcOrd="8" destOrd="0" presId="urn:microsoft.com/office/officeart/2005/8/layout/radial4"/>
  </dgm:cxnLst>
  <dgm:bg/>
  <dgm:whole/>
  <dgm:extLst>
    <a:ext uri="http://schemas.microsoft.com/office/drawing/2008/diagram">
      <dsp:dataModelExt xmlns:dsp="http://schemas.microsoft.com/office/drawing/2008/diagram" relId="rId17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49CEA1F-2D37-4863-8920-5E4F47A7E70C}">
      <dsp:nvSpPr>
        <dsp:cNvPr id="0" name=""/>
        <dsp:cNvSpPr/>
      </dsp:nvSpPr>
      <dsp:spPr>
        <a:xfrm>
          <a:off x="2470827" y="611"/>
          <a:ext cx="1615289" cy="730569"/>
        </a:xfrm>
        <a:prstGeom prst="rect">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sk-SK" sz="700" b="1" kern="1200" dirty="0"/>
            <a:t>CELKOVO</a:t>
          </a:r>
        </a:p>
        <a:p>
          <a:pPr lvl="0" algn="ctr" defTabSz="311150">
            <a:lnSpc>
              <a:spcPct val="90000"/>
            </a:lnSpc>
            <a:spcBef>
              <a:spcPct val="0"/>
            </a:spcBef>
            <a:spcAft>
              <a:spcPct val="35000"/>
            </a:spcAft>
          </a:pPr>
          <a:r>
            <a:rPr lang="sk-SK" sz="700" b="1" kern="1200" dirty="0" smtClean="0"/>
            <a:t>1 152</a:t>
          </a:r>
          <a:r>
            <a:rPr lang="sk-SK" sz="700" b="1" kern="1200" dirty="0"/>
            <a:t> nezrovnalostí oznámených ako podvodné </a:t>
          </a:r>
          <a:r>
            <a:rPr lang="sk-SK" sz="700" b="1" kern="1200" dirty="0" smtClean="0"/>
            <a:t>(+0,4 %)</a:t>
          </a:r>
        </a:p>
        <a:p>
          <a:pPr lvl="0" algn="ctr" defTabSz="311150">
            <a:lnSpc>
              <a:spcPct val="90000"/>
            </a:lnSpc>
            <a:spcBef>
              <a:spcPct val="0"/>
            </a:spcBef>
            <a:spcAft>
              <a:spcPct val="35000"/>
            </a:spcAft>
          </a:pPr>
          <a:r>
            <a:rPr lang="sk-SK" sz="700" b="1" kern="1200" dirty="0"/>
            <a:t>Týkali sa 1 197,2 mil. EUR (+183 %)</a:t>
          </a:r>
        </a:p>
      </dsp:txBody>
      <dsp:txXfrm>
        <a:off x="2470827" y="611"/>
        <a:ext cx="1615289" cy="730569"/>
      </dsp:txXfrm>
    </dsp:sp>
    <dsp:sp modelId="{50A603A3-6074-43DC-8A28-70542950A30E}">
      <dsp:nvSpPr>
        <dsp:cNvPr id="0" name=""/>
        <dsp:cNvSpPr/>
      </dsp:nvSpPr>
      <dsp:spPr>
        <a:xfrm>
          <a:off x="1675237" y="611"/>
          <a:ext cx="723263" cy="730569"/>
        </a:xfrm>
        <a:prstGeom prst="rect">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5B0EF09-D8CB-4A65-B13D-9B18DE8EF5CA}">
      <dsp:nvSpPr>
        <dsp:cNvPr id="0" name=""/>
        <dsp:cNvSpPr/>
      </dsp:nvSpPr>
      <dsp:spPr>
        <a:xfrm>
          <a:off x="487829" y="1179857"/>
          <a:ext cx="2011665" cy="859463"/>
        </a:xfrm>
        <a:prstGeom prst="rect">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sk-SK" sz="700" b="1" kern="1200" dirty="0" smtClean="0"/>
            <a:t>VÝDAVKY</a:t>
          </a:r>
        </a:p>
        <a:p>
          <a:pPr lvl="0" algn="ctr" defTabSz="311150">
            <a:lnSpc>
              <a:spcPct val="90000"/>
            </a:lnSpc>
            <a:spcBef>
              <a:spcPct val="0"/>
            </a:spcBef>
            <a:spcAft>
              <a:spcPct val="35000"/>
            </a:spcAft>
          </a:pPr>
          <a:r>
            <a:rPr lang="sk-SK" sz="700" b="1" kern="1200" dirty="0" smtClean="0"/>
            <a:t>679</a:t>
          </a:r>
          <a:r>
            <a:rPr lang="sk-SK" sz="700" b="1" kern="1200" dirty="0"/>
            <a:t> nezrovnalostí oznámených ako podvodné </a:t>
          </a:r>
          <a:r>
            <a:rPr lang="sk-SK" sz="700" b="1" kern="1200" dirty="0" smtClean="0"/>
            <a:t>(−3 %)</a:t>
          </a:r>
        </a:p>
        <a:p>
          <a:pPr lvl="0" algn="ctr" defTabSz="311150">
            <a:lnSpc>
              <a:spcPct val="90000"/>
            </a:lnSpc>
            <a:spcBef>
              <a:spcPct val="0"/>
            </a:spcBef>
            <a:spcAft>
              <a:spcPct val="35000"/>
            </a:spcAft>
          </a:pPr>
          <a:r>
            <a:rPr lang="sk-SK" sz="700" b="1" kern="1200" dirty="0"/>
            <a:t>Týkali sa 1 032 mil. EUR (+198 %)</a:t>
          </a:r>
        </a:p>
        <a:p>
          <a:pPr lvl="0" algn="ctr" defTabSz="311150">
            <a:lnSpc>
              <a:spcPct val="90000"/>
            </a:lnSpc>
            <a:spcBef>
              <a:spcPct val="0"/>
            </a:spcBef>
            <a:spcAft>
              <a:spcPct val="35000"/>
            </a:spcAft>
          </a:pPr>
          <a:r>
            <a:rPr lang="sk-SK" sz="700" b="1" kern="1200" dirty="0"/>
            <a:t>0,71 % z platieb v roku 2018</a:t>
          </a:r>
        </a:p>
      </dsp:txBody>
      <dsp:txXfrm>
        <a:off x="487829" y="1179857"/>
        <a:ext cx="2011665" cy="859463"/>
      </dsp:txXfrm>
    </dsp:sp>
    <dsp:sp modelId="{695B269C-7A8E-4F16-9C9A-8BA943948863}">
      <dsp:nvSpPr>
        <dsp:cNvPr id="0" name=""/>
        <dsp:cNvSpPr/>
      </dsp:nvSpPr>
      <dsp:spPr>
        <a:xfrm>
          <a:off x="3531460" y="851725"/>
          <a:ext cx="1708320" cy="1515727"/>
        </a:xfrm>
        <a:prstGeom prst="rect">
          <a:avLst/>
        </a:prstGeom>
        <a:blipFill rotWithShape="1">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C597CFA-4B4B-4CD0-9C45-0C7F933E1758}">
      <dsp:nvSpPr>
        <dsp:cNvPr id="0" name=""/>
        <dsp:cNvSpPr/>
      </dsp:nvSpPr>
      <dsp:spPr>
        <a:xfrm>
          <a:off x="3265363" y="2878573"/>
          <a:ext cx="2026832" cy="931103"/>
        </a:xfrm>
        <a:prstGeom prst="rect">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sk-SK" sz="700" b="1" kern="1200" dirty="0" smtClean="0"/>
            <a:t>PRÍJMY</a:t>
          </a:r>
        </a:p>
        <a:p>
          <a:pPr lvl="0" algn="ctr" defTabSz="311150">
            <a:lnSpc>
              <a:spcPct val="90000"/>
            </a:lnSpc>
            <a:spcBef>
              <a:spcPct val="0"/>
            </a:spcBef>
            <a:spcAft>
              <a:spcPct val="35000"/>
            </a:spcAft>
          </a:pPr>
          <a:r>
            <a:rPr lang="sk-SK" sz="700" b="1" kern="1200" dirty="0" smtClean="0"/>
            <a:t>473</a:t>
          </a:r>
          <a:r>
            <a:rPr lang="sk-SK" sz="700" b="1" kern="1200" dirty="0"/>
            <a:t> nezrovnalostí oznámených ako podvodné </a:t>
          </a:r>
          <a:r>
            <a:rPr lang="sk-SK" sz="700" b="1" kern="1200" dirty="0" smtClean="0"/>
            <a:t>(+1 %)</a:t>
          </a:r>
        </a:p>
        <a:p>
          <a:pPr lvl="0" algn="ctr" defTabSz="311150">
            <a:lnSpc>
              <a:spcPct val="90000"/>
            </a:lnSpc>
            <a:spcBef>
              <a:spcPct val="0"/>
            </a:spcBef>
            <a:spcAft>
              <a:spcPct val="35000"/>
            </a:spcAft>
          </a:pPr>
          <a:r>
            <a:rPr lang="sk-SK" sz="700" b="1" kern="1200" dirty="0"/>
            <a:t>Týkali sa 165,2 milióna EUR (+116 %)</a:t>
          </a:r>
        </a:p>
        <a:p>
          <a:pPr lvl="0" algn="ctr" defTabSz="311150">
            <a:lnSpc>
              <a:spcPct val="90000"/>
            </a:lnSpc>
            <a:spcBef>
              <a:spcPct val="0"/>
            </a:spcBef>
            <a:spcAft>
              <a:spcPct val="35000"/>
            </a:spcAft>
          </a:pPr>
          <a:r>
            <a:rPr lang="sk-SK" sz="700" b="1" kern="1200" dirty="0"/>
            <a:t>0,65 % hrubej sumy TVZ vybratej za rok 2018</a:t>
          </a:r>
        </a:p>
      </dsp:txBody>
      <dsp:txXfrm>
        <a:off x="3265363" y="2878573"/>
        <a:ext cx="2026832" cy="931103"/>
      </dsp:txXfrm>
    </dsp:sp>
    <dsp:sp modelId="{C44C8DA3-5892-455C-BF04-3FE27CFDDA51}">
      <dsp:nvSpPr>
        <dsp:cNvPr id="0" name=""/>
        <dsp:cNvSpPr/>
      </dsp:nvSpPr>
      <dsp:spPr>
        <a:xfrm>
          <a:off x="532859" y="2288193"/>
          <a:ext cx="2029058" cy="1728549"/>
        </a:xfrm>
        <a:prstGeom prst="rect">
          <a:avLst/>
        </a:prstGeom>
        <a:blipFill rotWithShape="1">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49CEA1F-2D37-4863-8920-5E4F47A7E70C}">
      <dsp:nvSpPr>
        <dsp:cNvPr id="0" name=""/>
        <dsp:cNvSpPr/>
      </dsp:nvSpPr>
      <dsp:spPr>
        <a:xfrm>
          <a:off x="2483262" y="1656"/>
          <a:ext cx="1566283" cy="708405"/>
        </a:xfrm>
        <a:prstGeom prst="rect">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sk-SK" sz="700" b="1" kern="1200" dirty="0"/>
            <a:t>CELKOVO</a:t>
          </a:r>
        </a:p>
        <a:p>
          <a:pPr lvl="0" algn="ctr" defTabSz="311150">
            <a:lnSpc>
              <a:spcPct val="90000"/>
            </a:lnSpc>
            <a:spcBef>
              <a:spcPct val="0"/>
            </a:spcBef>
            <a:spcAft>
              <a:spcPct val="35000"/>
            </a:spcAft>
          </a:pPr>
          <a:r>
            <a:rPr lang="sk-SK" sz="700" b="1" kern="1200" dirty="0"/>
            <a:t>10 487 nezrovnalostí oznámených ako nepodvodné </a:t>
          </a:r>
          <a:r>
            <a:rPr lang="sk-SK" sz="700" b="1" kern="1200" dirty="0" smtClean="0"/>
            <a:t>(−27 %)</a:t>
          </a:r>
        </a:p>
        <a:p>
          <a:pPr lvl="0" algn="ctr" defTabSz="311150">
            <a:lnSpc>
              <a:spcPct val="90000"/>
            </a:lnSpc>
            <a:spcBef>
              <a:spcPct val="0"/>
            </a:spcBef>
            <a:spcAft>
              <a:spcPct val="35000"/>
            </a:spcAft>
          </a:pPr>
          <a:r>
            <a:rPr lang="sk-SK" sz="700" b="1" kern="1200" dirty="0"/>
            <a:t>Týkali sa </a:t>
          </a:r>
          <a:r>
            <a:rPr lang="sk-SK" sz="700" b="1" kern="1200" dirty="0" smtClean="0"/>
            <a:t>1 294,6</a:t>
          </a:r>
          <a:r>
            <a:rPr lang="sk-SK" sz="700" b="1" kern="1200" dirty="0"/>
            <a:t> milióna EUR </a:t>
          </a:r>
          <a:r>
            <a:rPr lang="sk-SK" sz="700" b="1" kern="1200" dirty="0" smtClean="0"/>
            <a:t>(−37 %)</a:t>
          </a:r>
        </a:p>
      </dsp:txBody>
      <dsp:txXfrm>
        <a:off x="2483262" y="1656"/>
        <a:ext cx="1566283" cy="708405"/>
      </dsp:txXfrm>
    </dsp:sp>
    <dsp:sp modelId="{50A603A3-6074-43DC-8A28-70542950A30E}">
      <dsp:nvSpPr>
        <dsp:cNvPr id="0" name=""/>
        <dsp:cNvSpPr/>
      </dsp:nvSpPr>
      <dsp:spPr>
        <a:xfrm>
          <a:off x="1711808" y="1656"/>
          <a:ext cx="701321" cy="708405"/>
        </a:xfrm>
        <a:prstGeom prst="rect">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5B0EF09-D8CB-4A65-B13D-9B18DE8EF5CA}">
      <dsp:nvSpPr>
        <dsp:cNvPr id="0" name=""/>
        <dsp:cNvSpPr/>
      </dsp:nvSpPr>
      <dsp:spPr>
        <a:xfrm>
          <a:off x="462153" y="1046703"/>
          <a:ext cx="2289155" cy="980964"/>
        </a:xfrm>
        <a:prstGeom prst="rect">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sk-SK" sz="700" b="1" kern="1200" dirty="0" smtClean="0"/>
            <a:t>VÝDAVKY</a:t>
          </a:r>
        </a:p>
        <a:p>
          <a:pPr lvl="0" algn="ctr" defTabSz="311150">
            <a:lnSpc>
              <a:spcPct val="90000"/>
            </a:lnSpc>
            <a:spcBef>
              <a:spcPct val="0"/>
            </a:spcBef>
            <a:spcAft>
              <a:spcPct val="35000"/>
            </a:spcAft>
          </a:pPr>
          <a:r>
            <a:rPr lang="sk-SK" sz="700" b="1" kern="1200" dirty="0" smtClean="0"/>
            <a:t>6 396</a:t>
          </a:r>
          <a:r>
            <a:rPr lang="sk-SK" sz="700" b="1" kern="1200" dirty="0"/>
            <a:t> nezrovnalostí oznámených ako nepodvodné </a:t>
          </a:r>
          <a:r>
            <a:rPr lang="sk-SK" sz="700" b="1" kern="1200" dirty="0" smtClean="0"/>
            <a:t>(−4 %)</a:t>
          </a:r>
        </a:p>
        <a:p>
          <a:pPr lvl="0" algn="ctr" defTabSz="311150">
            <a:lnSpc>
              <a:spcPct val="90000"/>
            </a:lnSpc>
            <a:spcBef>
              <a:spcPct val="0"/>
            </a:spcBef>
            <a:spcAft>
              <a:spcPct val="35000"/>
            </a:spcAft>
          </a:pPr>
          <a:r>
            <a:rPr lang="sk-SK" sz="700" b="1" kern="1200" dirty="0"/>
            <a:t>Týkali sa 844,9 milióna EUR (−48 %)</a:t>
          </a:r>
        </a:p>
        <a:p>
          <a:pPr lvl="0" algn="ctr" defTabSz="311150">
            <a:lnSpc>
              <a:spcPct val="90000"/>
            </a:lnSpc>
            <a:spcBef>
              <a:spcPct val="0"/>
            </a:spcBef>
            <a:spcAft>
              <a:spcPct val="35000"/>
            </a:spcAft>
          </a:pPr>
          <a:r>
            <a:rPr lang="sk-SK" sz="700" b="1" kern="1200" dirty="0"/>
            <a:t>0,58 % z platieb v roku 2018</a:t>
          </a:r>
        </a:p>
      </dsp:txBody>
      <dsp:txXfrm>
        <a:off x="462153" y="1046703"/>
        <a:ext cx="2289155" cy="980964"/>
      </dsp:txXfrm>
    </dsp:sp>
    <dsp:sp modelId="{695B269C-7A8E-4F16-9C9A-8BA943948863}">
      <dsp:nvSpPr>
        <dsp:cNvPr id="0" name=""/>
        <dsp:cNvSpPr/>
      </dsp:nvSpPr>
      <dsp:spPr>
        <a:xfrm>
          <a:off x="3207730" y="843971"/>
          <a:ext cx="1711055" cy="1420472"/>
        </a:xfrm>
        <a:prstGeom prst="rect">
          <a:avLst/>
        </a:prstGeom>
        <a:blipFill rotWithShape="1">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C597CFA-4B4B-4CD0-9C45-0C7F933E1758}">
      <dsp:nvSpPr>
        <dsp:cNvPr id="0" name=""/>
        <dsp:cNvSpPr/>
      </dsp:nvSpPr>
      <dsp:spPr>
        <a:xfrm>
          <a:off x="3018539" y="2624385"/>
          <a:ext cx="2297566" cy="1017468"/>
        </a:xfrm>
        <a:prstGeom prst="rect">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sk-SK" sz="700" b="1" kern="1200" dirty="0" smtClean="0"/>
            <a:t>PRÍJMY</a:t>
          </a:r>
        </a:p>
        <a:p>
          <a:pPr lvl="0" algn="ctr" defTabSz="311150">
            <a:lnSpc>
              <a:spcPct val="90000"/>
            </a:lnSpc>
            <a:spcBef>
              <a:spcPct val="0"/>
            </a:spcBef>
            <a:spcAft>
              <a:spcPct val="35000"/>
            </a:spcAft>
          </a:pPr>
          <a:r>
            <a:rPr lang="sk-SK" sz="700" b="1" kern="1200" dirty="0" smtClean="0"/>
            <a:t>4 090</a:t>
          </a:r>
          <a:r>
            <a:rPr lang="sk-SK" sz="700" b="1" kern="1200" dirty="0"/>
            <a:t> nezrovnalostí oznámených ako nepodvodné </a:t>
          </a:r>
          <a:r>
            <a:rPr lang="sk-SK" sz="700" b="1" kern="1200" dirty="0" smtClean="0"/>
            <a:t>(−10 %)</a:t>
          </a:r>
        </a:p>
        <a:p>
          <a:pPr lvl="0" algn="ctr" defTabSz="311150">
            <a:lnSpc>
              <a:spcPct val="90000"/>
            </a:lnSpc>
            <a:spcBef>
              <a:spcPct val="0"/>
            </a:spcBef>
            <a:spcAft>
              <a:spcPct val="35000"/>
            </a:spcAft>
          </a:pPr>
          <a:r>
            <a:rPr lang="sk-SK" sz="700" b="1" kern="1200" dirty="0"/>
            <a:t>Týkali sa 449,7 milióna EUR (+12 %)</a:t>
          </a:r>
        </a:p>
        <a:p>
          <a:pPr lvl="0" algn="ctr" defTabSz="311150">
            <a:lnSpc>
              <a:spcPct val="90000"/>
            </a:lnSpc>
            <a:spcBef>
              <a:spcPct val="0"/>
            </a:spcBef>
            <a:spcAft>
              <a:spcPct val="35000"/>
            </a:spcAft>
          </a:pPr>
          <a:r>
            <a:rPr lang="sk-SK" sz="700" b="1" kern="1200" dirty="0"/>
            <a:t>1,78 % hrubej sumy TVZ vybratej za rok 2018</a:t>
          </a:r>
        </a:p>
      </dsp:txBody>
      <dsp:txXfrm>
        <a:off x="3018539" y="2624385"/>
        <a:ext cx="2297566" cy="1017468"/>
      </dsp:txXfrm>
    </dsp:sp>
    <dsp:sp modelId="{C44C8DA3-5892-455C-BF04-3FE27CFDDA51}">
      <dsp:nvSpPr>
        <dsp:cNvPr id="0" name=""/>
        <dsp:cNvSpPr/>
      </dsp:nvSpPr>
      <dsp:spPr>
        <a:xfrm>
          <a:off x="670131" y="2325615"/>
          <a:ext cx="1953453" cy="1553419"/>
        </a:xfrm>
        <a:prstGeom prst="rect">
          <a:avLst/>
        </a:prstGeom>
        <a:blipFill rotWithShape="1">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182C29-C797-49DF-9E71-F26DDEAFEE88}">
      <dsp:nvSpPr>
        <dsp:cNvPr id="0" name=""/>
        <dsp:cNvSpPr/>
      </dsp:nvSpPr>
      <dsp:spPr>
        <a:xfrm>
          <a:off x="1217" y="0"/>
          <a:ext cx="1893541" cy="2968282"/>
        </a:xfrm>
        <a:prstGeom prst="roundRect">
          <a:avLst>
            <a:gd name="adj" fmla="val 10000"/>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t" anchorCtr="1">
          <a:noAutofit/>
        </a:bodyPr>
        <a:lstStyle/>
        <a:p>
          <a:pPr lvl="0" algn="ctr" defTabSz="400050">
            <a:lnSpc>
              <a:spcPct val="90000"/>
            </a:lnSpc>
            <a:spcBef>
              <a:spcPct val="0"/>
            </a:spcBef>
            <a:spcAft>
              <a:spcPct val="35000"/>
            </a:spcAft>
          </a:pPr>
          <a:r>
            <a:rPr lang="sk-SK" sz="900" b="1" kern="1200"/>
            <a:t>Tradičné vlastné zdroje (TVZ):</a:t>
          </a:r>
        </a:p>
        <a:p>
          <a:pPr marL="57150" lvl="1" indent="-57150" algn="l" defTabSz="400050">
            <a:lnSpc>
              <a:spcPct val="90000"/>
            </a:lnSpc>
            <a:spcBef>
              <a:spcPct val="0"/>
            </a:spcBef>
            <a:spcAft>
              <a:spcPct val="15000"/>
            </a:spcAft>
            <a:buChar char="••"/>
          </a:pPr>
          <a:r>
            <a:rPr lang="sk-SK" sz="900" kern="1200"/>
            <a:t>clá (prevažne)</a:t>
          </a:r>
        </a:p>
        <a:p>
          <a:pPr marL="57150" lvl="1" indent="-57150" algn="l" defTabSz="400050">
            <a:lnSpc>
              <a:spcPct val="90000"/>
            </a:lnSpc>
            <a:spcBef>
              <a:spcPct val="0"/>
            </a:spcBef>
            <a:spcAft>
              <a:spcPct val="15000"/>
            </a:spcAft>
            <a:buChar char="••"/>
          </a:pPr>
          <a:r>
            <a:rPr lang="sk-SK" sz="900" kern="1200"/>
            <a:t> odvody z produkcie cukru</a:t>
          </a:r>
        </a:p>
      </dsp:txBody>
      <dsp:txXfrm>
        <a:off x="1217" y="1187313"/>
        <a:ext cx="1893541" cy="1187313"/>
      </dsp:txXfrm>
    </dsp:sp>
    <dsp:sp modelId="{7C291FC7-93CB-4767-8502-7D689557C1F1}">
      <dsp:nvSpPr>
        <dsp:cNvPr id="0" name=""/>
        <dsp:cNvSpPr/>
      </dsp:nvSpPr>
      <dsp:spPr>
        <a:xfrm>
          <a:off x="453768" y="178096"/>
          <a:ext cx="988438" cy="988438"/>
        </a:xfrm>
        <a:prstGeom prst="ellipse">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9A4A5B6-3226-43E1-A15E-EBFB637E791C}">
      <dsp:nvSpPr>
        <dsp:cNvPr id="0" name=""/>
        <dsp:cNvSpPr/>
      </dsp:nvSpPr>
      <dsp:spPr>
        <a:xfrm>
          <a:off x="1951564" y="0"/>
          <a:ext cx="1893541" cy="2968282"/>
        </a:xfrm>
        <a:prstGeom prst="roundRect">
          <a:avLst>
            <a:gd name="adj" fmla="val 10000"/>
          </a:avLst>
        </a:prstGeom>
        <a:solidFill>
          <a:schemeClr val="accent5">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t" anchorCtr="1">
          <a:noAutofit/>
        </a:bodyPr>
        <a:lstStyle/>
        <a:p>
          <a:pPr lvl="0" algn="l" defTabSz="400050">
            <a:lnSpc>
              <a:spcPct val="90000"/>
            </a:lnSpc>
            <a:spcBef>
              <a:spcPct val="0"/>
            </a:spcBef>
            <a:spcAft>
              <a:spcPct val="35000"/>
            </a:spcAft>
          </a:pPr>
          <a:r>
            <a:rPr lang="sk-SK" sz="900" b="1" kern="1200"/>
            <a:t>Oznámené nezrovnalosti</a:t>
          </a:r>
        </a:p>
        <a:p>
          <a:pPr marL="57150" lvl="1" indent="-57150" algn="l" defTabSz="400050">
            <a:lnSpc>
              <a:spcPct val="90000"/>
            </a:lnSpc>
            <a:spcBef>
              <a:spcPct val="0"/>
            </a:spcBef>
            <a:spcAft>
              <a:spcPct val="15000"/>
            </a:spcAft>
            <a:buChar char="••"/>
          </a:pPr>
          <a:r>
            <a:rPr lang="sk-SK" sz="900" kern="1200"/>
            <a:t>4 563 nezrovnalostí oznámených ako podvodné a nepodvodné v roku 2018 (-11 %)</a:t>
          </a:r>
        </a:p>
        <a:p>
          <a:pPr marL="57150" lvl="1" indent="-57150" algn="l" defTabSz="400050">
            <a:lnSpc>
              <a:spcPct val="90000"/>
            </a:lnSpc>
            <a:spcBef>
              <a:spcPct val="0"/>
            </a:spcBef>
            <a:spcAft>
              <a:spcPct val="15000"/>
            </a:spcAft>
            <a:buChar char="••"/>
          </a:pPr>
          <a:r>
            <a:rPr lang="sk-SK" sz="900" kern="1200"/>
            <a:t>614,9 milióna EUR (+22 %)</a:t>
          </a:r>
        </a:p>
        <a:p>
          <a:pPr marL="57150" lvl="1" indent="-57150" algn="l" defTabSz="400050">
            <a:lnSpc>
              <a:spcPct val="90000"/>
            </a:lnSpc>
            <a:spcBef>
              <a:spcPct val="0"/>
            </a:spcBef>
            <a:spcAft>
              <a:spcPct val="15000"/>
            </a:spcAft>
            <a:buChar char="••"/>
          </a:pPr>
          <a:r>
            <a:rPr lang="sk-SK" sz="900" b="1" kern="1200"/>
            <a:t>Hlavné ukazovatele:</a:t>
          </a:r>
        </a:p>
        <a:p>
          <a:pPr marL="114300" lvl="2" indent="-57150" algn="l" defTabSz="400050">
            <a:lnSpc>
              <a:spcPct val="90000"/>
            </a:lnSpc>
            <a:spcBef>
              <a:spcPct val="0"/>
            </a:spcBef>
            <a:spcAft>
              <a:spcPct val="15000"/>
            </a:spcAft>
            <a:buChar char="••"/>
          </a:pPr>
          <a:r>
            <a:rPr lang="sk-SK" sz="900" b="1" kern="1200"/>
            <a:t> Úroveň frekvencie podvodov</a:t>
          </a:r>
          <a:r>
            <a:rPr lang="sk-SK" sz="900" kern="1200"/>
            <a:t> (10 %)</a:t>
          </a:r>
        </a:p>
        <a:p>
          <a:pPr marL="114300" lvl="2" indent="-57150" algn="l" defTabSz="400050">
            <a:lnSpc>
              <a:spcPct val="90000"/>
            </a:lnSpc>
            <a:spcBef>
              <a:spcPct val="0"/>
            </a:spcBef>
            <a:spcAft>
              <a:spcPct val="15000"/>
            </a:spcAft>
            <a:buChar char="••"/>
          </a:pPr>
          <a:r>
            <a:rPr lang="sk-SK" sz="900" b="1" kern="1200"/>
            <a:t> Miera odhaľovania podvodov</a:t>
          </a:r>
          <a:r>
            <a:rPr lang="sk-SK" sz="900" kern="1200"/>
            <a:t> (0,65 %), </a:t>
          </a:r>
          <a:r>
            <a:rPr lang="sk-SK" sz="900" b="1" kern="1200"/>
            <a:t>Miera odhaľovania nezrovnalostí</a:t>
          </a:r>
          <a:r>
            <a:rPr lang="sk-SK" sz="900" kern="1200"/>
            <a:t> (1,78 %)</a:t>
          </a:r>
        </a:p>
      </dsp:txBody>
      <dsp:txXfrm>
        <a:off x="1951564" y="1187313"/>
        <a:ext cx="1893541" cy="1187313"/>
      </dsp:txXfrm>
    </dsp:sp>
    <dsp:sp modelId="{D39BF142-39AE-4992-921F-6B0C30D1F527}">
      <dsp:nvSpPr>
        <dsp:cNvPr id="0" name=""/>
        <dsp:cNvSpPr/>
      </dsp:nvSpPr>
      <dsp:spPr>
        <a:xfrm>
          <a:off x="2404115" y="178096"/>
          <a:ext cx="988438" cy="988438"/>
        </a:xfrm>
        <a:prstGeom prst="ellipse">
          <a:avLst/>
        </a:prstGeom>
        <a:blipFill rotWithShape="1">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C91D4E5-9E61-4FC3-A762-02D32A1DE404}">
      <dsp:nvSpPr>
        <dsp:cNvPr id="0" name=""/>
        <dsp:cNvSpPr/>
      </dsp:nvSpPr>
      <dsp:spPr>
        <a:xfrm>
          <a:off x="3901911" y="0"/>
          <a:ext cx="1893541" cy="296828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sk-SK" sz="900" kern="1200"/>
            <a:t>                                                </a:t>
          </a:r>
        </a:p>
        <a:p>
          <a:pPr lvl="0" algn="ctr" defTabSz="400050">
            <a:lnSpc>
              <a:spcPct val="90000"/>
            </a:lnSpc>
            <a:spcBef>
              <a:spcPct val="0"/>
            </a:spcBef>
            <a:spcAft>
              <a:spcPct val="35000"/>
            </a:spcAft>
          </a:pPr>
          <a:r>
            <a:rPr lang="sk-SK" sz="900" b="1" kern="1200"/>
            <a:t>Metódy odhaľovania:</a:t>
          </a:r>
        </a:p>
        <a:p>
          <a:pPr lvl="0" algn="ctr" defTabSz="400050">
            <a:lnSpc>
              <a:spcPct val="90000"/>
            </a:lnSpc>
            <a:spcBef>
              <a:spcPct val="0"/>
            </a:spcBef>
            <a:spcAft>
              <a:spcPct val="35000"/>
            </a:spcAft>
          </a:pPr>
          <a:r>
            <a:rPr lang="sk-SK" sz="900" kern="1200"/>
            <a:t>Najúspešnejšie pri odhaľovaní prípadov súvisiacich s podvodmi: </a:t>
          </a:r>
          <a:r>
            <a:rPr lang="sk-SK" sz="900" b="1" kern="1200"/>
            <a:t>inšpekcie vykonávané útvarmi boja proti podvodom</a:t>
          </a:r>
        </a:p>
        <a:p>
          <a:pPr lvl="0" algn="ctr" defTabSz="400050">
            <a:lnSpc>
              <a:spcPct val="90000"/>
            </a:lnSpc>
            <a:spcBef>
              <a:spcPct val="0"/>
            </a:spcBef>
            <a:spcAft>
              <a:spcPct val="35000"/>
            </a:spcAft>
          </a:pPr>
          <a:r>
            <a:rPr lang="sk-SK" sz="900" b="0" kern="1200"/>
            <a:t>Najúčinnejšie (z hľadiska finančných súm): </a:t>
          </a:r>
          <a:r>
            <a:rPr lang="sk-SK" sz="900" b="1" kern="1200"/>
            <a:t>kontroly po prepustení</a:t>
          </a:r>
        </a:p>
        <a:p>
          <a:pPr lvl="0" algn="ctr" defTabSz="400050">
            <a:lnSpc>
              <a:spcPct val="90000"/>
            </a:lnSpc>
            <a:spcBef>
              <a:spcPct val="0"/>
            </a:spcBef>
            <a:spcAft>
              <a:spcPct val="35000"/>
            </a:spcAft>
          </a:pPr>
          <a:r>
            <a:rPr lang="sk-SK" sz="900" b="1" kern="1200"/>
            <a:t>Kontroly po prepustení</a:t>
          </a:r>
          <a:r>
            <a:rPr lang="sk-SK" sz="900" b="0" kern="1200"/>
            <a:t> dôležité najmä pri boji proti organizovanému zločinu zameranom na úniky cla a novým trendom v podvodoch (podhodnotenie)</a:t>
          </a:r>
        </a:p>
      </dsp:txBody>
      <dsp:txXfrm>
        <a:off x="3901911" y="1187313"/>
        <a:ext cx="1893541" cy="1187313"/>
      </dsp:txXfrm>
    </dsp:sp>
    <dsp:sp modelId="{215AA68A-18CD-43F1-BC6D-35E5B638AE85}">
      <dsp:nvSpPr>
        <dsp:cNvPr id="0" name=""/>
        <dsp:cNvSpPr/>
      </dsp:nvSpPr>
      <dsp:spPr>
        <a:xfrm>
          <a:off x="4325571" y="139063"/>
          <a:ext cx="986797" cy="865516"/>
        </a:xfrm>
        <a:prstGeom prst="ellipse">
          <a:avLst/>
        </a:prstGeom>
        <a:blipFill rotWithShape="1">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A2C6034-B509-4CFC-B463-FEA54E8AFC38}">
      <dsp:nvSpPr>
        <dsp:cNvPr id="0" name=""/>
        <dsp:cNvSpPr/>
      </dsp:nvSpPr>
      <dsp:spPr>
        <a:xfrm>
          <a:off x="224827" y="2791328"/>
          <a:ext cx="5332936" cy="118568"/>
        </a:xfrm>
        <a:prstGeom prst="leftRightArrow">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75D8856-CFA1-45B6-B558-9ACB90964218}">
      <dsp:nvSpPr>
        <dsp:cNvPr id="0" name=""/>
        <dsp:cNvSpPr/>
      </dsp:nvSpPr>
      <dsp:spPr>
        <a:xfrm>
          <a:off x="0" y="0"/>
          <a:ext cx="2719266" cy="451104"/>
        </a:xfrm>
        <a:prstGeom prst="rect">
          <a:avLst/>
        </a:prstGeom>
        <a:solidFill>
          <a:schemeClr val="accent3">
            <a:lumMod val="7500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sk-SK" sz="1200" kern="1200"/>
            <a:t>Miera odhaľovania podľa zložky SPP</a:t>
          </a:r>
        </a:p>
      </dsp:txBody>
      <dsp:txXfrm>
        <a:off x="0" y="0"/>
        <a:ext cx="2719266" cy="451104"/>
      </dsp:txXfrm>
    </dsp:sp>
    <dsp:sp modelId="{EFFC9CF4-0532-4E71-9ECB-8D76EA871050}">
      <dsp:nvSpPr>
        <dsp:cNvPr id="0" name=""/>
        <dsp:cNvSpPr/>
      </dsp:nvSpPr>
      <dsp:spPr>
        <a:xfrm>
          <a:off x="1327" y="414518"/>
          <a:ext cx="905536" cy="1020489"/>
        </a:xfrm>
        <a:prstGeom prst="rect">
          <a:avLst/>
        </a:prstGeom>
        <a:solidFill>
          <a:schemeClr val="accent3">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33375">
            <a:lnSpc>
              <a:spcPct val="90000"/>
            </a:lnSpc>
            <a:spcBef>
              <a:spcPct val="0"/>
            </a:spcBef>
            <a:spcAft>
              <a:spcPct val="35000"/>
            </a:spcAft>
          </a:pPr>
          <a:r>
            <a:rPr lang="sk-SK" sz="750" kern="1200">
              <a:solidFill>
                <a:sysClr val="windowText" lastClr="000000"/>
              </a:solidFill>
            </a:rPr>
            <a:t>Priame platby:</a:t>
          </a:r>
        </a:p>
        <a:p>
          <a:pPr lvl="0" algn="ctr" defTabSz="333375">
            <a:lnSpc>
              <a:spcPct val="90000"/>
            </a:lnSpc>
            <a:spcBef>
              <a:spcPct val="0"/>
            </a:spcBef>
            <a:spcAft>
              <a:spcPct val="35000"/>
            </a:spcAft>
          </a:pPr>
          <a:r>
            <a:rPr lang="sk-SK" sz="750" kern="1200">
              <a:solidFill>
                <a:sysClr val="windowText" lastClr="000000"/>
              </a:solidFill>
            </a:rPr>
            <a:t>Miera odhaľovania podvodov: 0,01 %</a:t>
          </a:r>
        </a:p>
        <a:p>
          <a:pPr lvl="0" algn="ctr" defTabSz="333375">
            <a:lnSpc>
              <a:spcPct val="90000"/>
            </a:lnSpc>
            <a:spcBef>
              <a:spcPct val="0"/>
            </a:spcBef>
            <a:spcAft>
              <a:spcPct val="35000"/>
            </a:spcAft>
          </a:pPr>
          <a:r>
            <a:rPr lang="sk-SK" sz="750" kern="1200">
              <a:solidFill>
                <a:sysClr val="windowText" lastClr="000000"/>
              </a:solidFill>
            </a:rPr>
            <a:t>Miera odhaľovania nezrovnalostí: 0,07 %</a:t>
          </a:r>
        </a:p>
        <a:p>
          <a:pPr lvl="0" algn="ctr" defTabSz="333375">
            <a:lnSpc>
              <a:spcPct val="90000"/>
            </a:lnSpc>
            <a:spcBef>
              <a:spcPct val="0"/>
            </a:spcBef>
            <a:spcAft>
              <a:spcPct val="35000"/>
            </a:spcAft>
          </a:pPr>
          <a:r>
            <a:rPr lang="sk-SK" sz="750" kern="1200">
              <a:solidFill>
                <a:sysClr val="windowText" lastClr="000000"/>
              </a:solidFill>
            </a:rPr>
            <a:t>Spolu: 0,1 %</a:t>
          </a:r>
        </a:p>
        <a:p>
          <a:pPr lvl="0" algn="ctr" defTabSz="333375">
            <a:lnSpc>
              <a:spcPct val="90000"/>
            </a:lnSpc>
            <a:spcBef>
              <a:spcPct val="0"/>
            </a:spcBef>
            <a:spcAft>
              <a:spcPct val="35000"/>
            </a:spcAft>
          </a:pPr>
          <a:endParaRPr lang="en-GB" sz="800" kern="1200">
            <a:solidFill>
              <a:sysClr val="windowText" lastClr="000000"/>
            </a:solidFill>
          </a:endParaRPr>
        </a:p>
      </dsp:txBody>
      <dsp:txXfrm>
        <a:off x="1327" y="414518"/>
        <a:ext cx="905536" cy="1020489"/>
      </dsp:txXfrm>
    </dsp:sp>
    <dsp:sp modelId="{EDC0C0E7-9ED1-46D0-AE5F-EC3004A75025}">
      <dsp:nvSpPr>
        <dsp:cNvPr id="0" name=""/>
        <dsp:cNvSpPr/>
      </dsp:nvSpPr>
      <dsp:spPr>
        <a:xfrm>
          <a:off x="906864" y="415025"/>
          <a:ext cx="905536" cy="1019475"/>
        </a:xfrm>
        <a:prstGeom prst="rect">
          <a:avLst/>
        </a:prstGeom>
        <a:solidFill>
          <a:schemeClr val="accent3">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sk-SK" sz="800" kern="1200">
              <a:solidFill>
                <a:sysClr val="windowText" lastClr="000000"/>
              </a:solidFill>
            </a:rPr>
            <a:t>Trhové opatrenia:</a:t>
          </a:r>
        </a:p>
        <a:p>
          <a:pPr lvl="0" algn="ctr" defTabSz="355600">
            <a:lnSpc>
              <a:spcPct val="90000"/>
            </a:lnSpc>
            <a:spcBef>
              <a:spcPct val="0"/>
            </a:spcBef>
            <a:spcAft>
              <a:spcPct val="35000"/>
            </a:spcAft>
          </a:pPr>
          <a:r>
            <a:rPr lang="sk-SK" sz="800" kern="1200">
              <a:solidFill>
                <a:sysClr val="windowText" lastClr="000000"/>
              </a:solidFill>
            </a:rPr>
            <a:t>Miera odhaľovania podvodov: 1,07 %</a:t>
          </a:r>
        </a:p>
        <a:p>
          <a:pPr lvl="0" algn="ctr" defTabSz="355600">
            <a:lnSpc>
              <a:spcPct val="90000"/>
            </a:lnSpc>
            <a:spcBef>
              <a:spcPct val="0"/>
            </a:spcBef>
            <a:spcAft>
              <a:spcPct val="35000"/>
            </a:spcAft>
          </a:pPr>
          <a:r>
            <a:rPr lang="sk-SK" sz="800" kern="1200">
              <a:solidFill>
                <a:sysClr val="windowText" lastClr="000000"/>
              </a:solidFill>
            </a:rPr>
            <a:t>Miera odhaľovania nezrovnalostí: 1,37 %</a:t>
          </a:r>
        </a:p>
        <a:p>
          <a:pPr lvl="0" algn="ctr" defTabSz="355600">
            <a:lnSpc>
              <a:spcPct val="90000"/>
            </a:lnSpc>
            <a:spcBef>
              <a:spcPct val="0"/>
            </a:spcBef>
            <a:spcAft>
              <a:spcPct val="35000"/>
            </a:spcAft>
          </a:pPr>
          <a:r>
            <a:rPr lang="sk-SK" sz="800" kern="1200">
              <a:solidFill>
                <a:sysClr val="windowText" lastClr="000000"/>
              </a:solidFill>
            </a:rPr>
            <a:t>Spolu: 2,4 %</a:t>
          </a:r>
        </a:p>
      </dsp:txBody>
      <dsp:txXfrm>
        <a:off x="906864" y="415025"/>
        <a:ext cx="905536" cy="1019475"/>
      </dsp:txXfrm>
    </dsp:sp>
    <dsp:sp modelId="{435D7AD4-8208-44D8-B97A-C1E09BAFD971}">
      <dsp:nvSpPr>
        <dsp:cNvPr id="0" name=""/>
        <dsp:cNvSpPr/>
      </dsp:nvSpPr>
      <dsp:spPr>
        <a:xfrm>
          <a:off x="1812401" y="422063"/>
          <a:ext cx="905536" cy="1005398"/>
        </a:xfrm>
        <a:prstGeom prst="rect">
          <a:avLst/>
        </a:prstGeom>
        <a:solidFill>
          <a:schemeClr val="accent3">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sk-SK" sz="800" kern="1200">
              <a:solidFill>
                <a:sysClr val="windowText" lastClr="000000"/>
              </a:solidFill>
            </a:rPr>
            <a:t>Rozvoj vidieka:</a:t>
          </a:r>
        </a:p>
        <a:p>
          <a:pPr lvl="0" algn="ctr" defTabSz="355600">
            <a:lnSpc>
              <a:spcPct val="90000"/>
            </a:lnSpc>
            <a:spcBef>
              <a:spcPct val="0"/>
            </a:spcBef>
            <a:spcAft>
              <a:spcPct val="35000"/>
            </a:spcAft>
          </a:pPr>
          <a:r>
            <a:rPr lang="sk-SK" sz="800" kern="1200">
              <a:solidFill>
                <a:sysClr val="windowText" lastClr="000000"/>
              </a:solidFill>
            </a:rPr>
            <a:t>Miera odhaľovania podvodov: 0,23 %</a:t>
          </a:r>
        </a:p>
        <a:p>
          <a:pPr lvl="0" algn="ctr" defTabSz="355600">
            <a:lnSpc>
              <a:spcPct val="90000"/>
            </a:lnSpc>
            <a:spcBef>
              <a:spcPct val="0"/>
            </a:spcBef>
            <a:spcAft>
              <a:spcPct val="35000"/>
            </a:spcAft>
          </a:pPr>
          <a:r>
            <a:rPr lang="sk-SK" sz="800" kern="1200">
              <a:solidFill>
                <a:sysClr val="windowText" lastClr="000000"/>
              </a:solidFill>
            </a:rPr>
            <a:t>Miera odhaľovania nezrovnalostí: 1,13 %</a:t>
          </a:r>
        </a:p>
        <a:p>
          <a:pPr lvl="0" algn="ctr" defTabSz="355600">
            <a:lnSpc>
              <a:spcPct val="90000"/>
            </a:lnSpc>
            <a:spcBef>
              <a:spcPct val="0"/>
            </a:spcBef>
            <a:spcAft>
              <a:spcPct val="35000"/>
            </a:spcAft>
          </a:pPr>
          <a:r>
            <a:rPr lang="sk-SK" sz="800" kern="1200">
              <a:solidFill>
                <a:sysClr val="windowText" lastClr="000000"/>
              </a:solidFill>
            </a:rPr>
            <a:t>Spolu: 1,4 %</a:t>
          </a:r>
        </a:p>
      </dsp:txBody>
      <dsp:txXfrm>
        <a:off x="1812401" y="422063"/>
        <a:ext cx="905536" cy="1005398"/>
      </dsp:txXfrm>
    </dsp:sp>
    <dsp:sp modelId="{308C5C45-CFFE-4E58-8973-67C51A10C1DB}">
      <dsp:nvSpPr>
        <dsp:cNvPr id="0" name=""/>
        <dsp:cNvSpPr/>
      </dsp:nvSpPr>
      <dsp:spPr>
        <a:xfrm>
          <a:off x="0" y="1398422"/>
          <a:ext cx="2719266" cy="105257"/>
        </a:xfrm>
        <a:prstGeom prst="rect">
          <a:avLst/>
        </a:prstGeom>
        <a:solidFill>
          <a:schemeClr val="accent3">
            <a:lumMod val="75000"/>
          </a:schemeClr>
        </a:solidFill>
        <a:ln>
          <a:noFill/>
        </a:ln>
        <a:effectLst/>
      </dsp:spPr>
      <dsp:style>
        <a:lnRef idx="0">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5F596E-DDD3-4814-B6BD-28EE7419A29C}">
      <dsp:nvSpPr>
        <dsp:cNvPr id="0" name=""/>
        <dsp:cNvSpPr/>
      </dsp:nvSpPr>
      <dsp:spPr>
        <a:xfrm>
          <a:off x="254" y="0"/>
          <a:ext cx="2008662" cy="3305809"/>
        </a:xfrm>
        <a:prstGeom prst="roundRect">
          <a:avLst>
            <a:gd name="adj" fmla="val 10000"/>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t" anchorCtr="1">
          <a:noAutofit/>
        </a:bodyPr>
        <a:lstStyle/>
        <a:p>
          <a:pPr lvl="0" algn="l" defTabSz="444500">
            <a:lnSpc>
              <a:spcPct val="90000"/>
            </a:lnSpc>
            <a:spcBef>
              <a:spcPct val="0"/>
            </a:spcBef>
            <a:spcAft>
              <a:spcPct val="35000"/>
            </a:spcAft>
          </a:pPr>
          <a:r>
            <a:rPr lang="sk-SK" sz="1000" kern="1200"/>
            <a:t>Zložky SPP</a:t>
          </a:r>
        </a:p>
        <a:p>
          <a:pPr marL="57150" lvl="1" indent="-57150" algn="l" defTabSz="355600">
            <a:lnSpc>
              <a:spcPct val="90000"/>
            </a:lnSpc>
            <a:spcBef>
              <a:spcPct val="0"/>
            </a:spcBef>
            <a:spcAft>
              <a:spcPct val="15000"/>
            </a:spcAft>
            <a:buChar char="••"/>
          </a:pPr>
          <a:r>
            <a:rPr lang="sk-SK" sz="800" kern="1200"/>
            <a:t>Priame platby a trhová podpora </a:t>
          </a:r>
          <a:r>
            <a:rPr lang="sk-SK" sz="800" kern="1200">
              <a:latin typeface="+mn-lt"/>
            </a:rPr>
            <a:t>(</a:t>
          </a:r>
          <a:r>
            <a:rPr lang="sk-SK" sz="800" kern="1200">
              <a:latin typeface="+mn-lt"/>
              <a:cs typeface="Times New Roman"/>
            </a:rPr>
            <a:t>≈28 % z rozpočtu EÚ na rok 2018)</a:t>
          </a:r>
        </a:p>
        <a:p>
          <a:pPr marL="57150" lvl="1" indent="-57150" algn="l" defTabSz="355600">
            <a:lnSpc>
              <a:spcPct val="90000"/>
            </a:lnSpc>
            <a:spcBef>
              <a:spcPct val="0"/>
            </a:spcBef>
            <a:spcAft>
              <a:spcPct val="15000"/>
            </a:spcAft>
            <a:buChar char="••"/>
          </a:pPr>
          <a:r>
            <a:rPr lang="sk-SK" sz="800" kern="1200"/>
            <a:t>Rozvoj vidieka (</a:t>
          </a:r>
          <a:r>
            <a:rPr lang="sk-SK" sz="800" kern="1200">
              <a:latin typeface="+mn-lt"/>
              <a:cs typeface="Times New Roman"/>
            </a:rPr>
            <a:t>≈10 % z rozpočtu EÚ na rok 2018)</a:t>
          </a:r>
        </a:p>
      </dsp:txBody>
      <dsp:txXfrm>
        <a:off x="254" y="1322323"/>
        <a:ext cx="2008662" cy="1322323"/>
      </dsp:txXfrm>
    </dsp:sp>
    <dsp:sp modelId="{8B93A43E-5298-4173-B4B9-015980C2D876}">
      <dsp:nvSpPr>
        <dsp:cNvPr id="0" name=""/>
        <dsp:cNvSpPr/>
      </dsp:nvSpPr>
      <dsp:spPr>
        <a:xfrm>
          <a:off x="520505" y="308811"/>
          <a:ext cx="968162" cy="879908"/>
        </a:xfrm>
        <a:prstGeom prst="ellipse">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050988B-148F-48E4-851F-80E511074A79}">
      <dsp:nvSpPr>
        <dsp:cNvPr id="0" name=""/>
        <dsp:cNvSpPr/>
      </dsp:nvSpPr>
      <dsp:spPr>
        <a:xfrm>
          <a:off x="2062728" y="0"/>
          <a:ext cx="1793705" cy="3305809"/>
        </a:xfrm>
        <a:prstGeom prst="roundRect">
          <a:avLst>
            <a:gd name="adj" fmla="val 10000"/>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t" anchorCtr="1">
          <a:noAutofit/>
        </a:bodyPr>
        <a:lstStyle/>
        <a:p>
          <a:pPr lvl="0" algn="l" defTabSz="466725">
            <a:lnSpc>
              <a:spcPct val="90000"/>
            </a:lnSpc>
            <a:spcBef>
              <a:spcPct val="0"/>
            </a:spcBef>
            <a:spcAft>
              <a:spcPct val="35000"/>
            </a:spcAft>
          </a:pPr>
          <a:r>
            <a:rPr lang="sk-SK" sz="1050" kern="1200"/>
            <a:t>Oznámené nezrovnalosti</a:t>
          </a:r>
        </a:p>
        <a:p>
          <a:pPr marL="57150" lvl="1" indent="-57150" algn="l" defTabSz="355600">
            <a:lnSpc>
              <a:spcPct val="90000"/>
            </a:lnSpc>
            <a:spcBef>
              <a:spcPct val="0"/>
            </a:spcBef>
            <a:spcAft>
              <a:spcPct val="15000"/>
            </a:spcAft>
            <a:buChar char="••"/>
          </a:pPr>
          <a:r>
            <a:rPr lang="sk-SK" sz="800" kern="1200"/>
            <a:t>249 nezrovnalostí odhalených a oznámených ako </a:t>
          </a:r>
          <a:r>
            <a:rPr lang="sk-SK" sz="800" b="1" kern="1200"/>
            <a:t>podvodné</a:t>
          </a:r>
          <a:r>
            <a:rPr lang="sk-SK" sz="800" kern="1200"/>
            <a:t> v roku 2018 (-6 %); 63,3 milióna EUR (+10 %)</a:t>
          </a:r>
        </a:p>
        <a:p>
          <a:pPr marL="57150" lvl="1" indent="-57150" algn="l" defTabSz="355600">
            <a:lnSpc>
              <a:spcPct val="90000"/>
            </a:lnSpc>
            <a:spcBef>
              <a:spcPct val="0"/>
            </a:spcBef>
            <a:spcAft>
              <a:spcPct val="15000"/>
            </a:spcAft>
            <a:buChar char="••"/>
          </a:pPr>
          <a:r>
            <a:rPr lang="sk-SK" sz="800" kern="1200"/>
            <a:t>2 832 nezrovnalostí odhalených a oznámených ako nepodvodné v roku 2018 (-5 %); 210,4 milióna EUR (-21 %)</a:t>
          </a:r>
        </a:p>
        <a:p>
          <a:pPr marL="57150" lvl="1" indent="-57150" algn="l" defTabSz="355600">
            <a:lnSpc>
              <a:spcPct val="90000"/>
            </a:lnSpc>
            <a:spcBef>
              <a:spcPct val="0"/>
            </a:spcBef>
            <a:spcAft>
              <a:spcPct val="15000"/>
            </a:spcAft>
            <a:buChar char="••"/>
          </a:pPr>
          <a:r>
            <a:rPr lang="sk-SK" sz="800" b="1" kern="1200"/>
            <a:t>Hlavné ukazovatele </a:t>
          </a:r>
          <a:r>
            <a:rPr lang="sk-SK" sz="800" kern="1200"/>
            <a:t>(2014 – 2018):</a:t>
          </a:r>
        </a:p>
        <a:p>
          <a:pPr marL="114300" lvl="2" indent="-57150" algn="l" defTabSz="355600">
            <a:lnSpc>
              <a:spcPct val="90000"/>
            </a:lnSpc>
            <a:spcBef>
              <a:spcPct val="0"/>
            </a:spcBef>
            <a:spcAft>
              <a:spcPct val="15000"/>
            </a:spcAft>
            <a:buChar char="••"/>
          </a:pPr>
          <a:r>
            <a:rPr lang="sk-SK" sz="800" kern="1200"/>
            <a:t>Miera odhaľovania podvodov: 0,11 % Miera odhaľovania nezrovnalostí: 0,37 % </a:t>
          </a:r>
        </a:p>
        <a:p>
          <a:pPr marL="114300" lvl="2" indent="-57150" algn="l" defTabSz="355600">
            <a:lnSpc>
              <a:spcPct val="90000"/>
            </a:lnSpc>
            <a:spcBef>
              <a:spcPct val="0"/>
            </a:spcBef>
            <a:spcAft>
              <a:spcPct val="15000"/>
            </a:spcAft>
            <a:buChar char="••"/>
          </a:pPr>
          <a:r>
            <a:rPr lang="sk-SK" sz="800" kern="1200"/>
            <a:t>Úroveň frekvencie podvodov: 10 % Úroveň sumy podvodov: 23 %</a:t>
          </a:r>
        </a:p>
      </dsp:txBody>
      <dsp:txXfrm>
        <a:off x="2062728" y="1322323"/>
        <a:ext cx="1793705" cy="1322323"/>
      </dsp:txXfrm>
    </dsp:sp>
    <dsp:sp modelId="{22FD2ECC-A966-499C-BE3C-1A27DDB1EBD2}">
      <dsp:nvSpPr>
        <dsp:cNvPr id="0" name=""/>
        <dsp:cNvSpPr/>
      </dsp:nvSpPr>
      <dsp:spPr>
        <a:xfrm>
          <a:off x="2454815" y="273640"/>
          <a:ext cx="1009531" cy="950251"/>
        </a:xfrm>
        <a:prstGeom prst="ellipse">
          <a:avLst/>
        </a:prstGeom>
        <a:blipFill rotWithShape="1">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585E626-9480-4EEC-8782-6998BF3A7A8A}">
      <dsp:nvSpPr>
        <dsp:cNvPr id="0" name=""/>
        <dsp:cNvSpPr/>
      </dsp:nvSpPr>
      <dsp:spPr>
        <a:xfrm>
          <a:off x="3910245" y="0"/>
          <a:ext cx="1793705" cy="3305809"/>
        </a:xfrm>
        <a:prstGeom prst="roundRect">
          <a:avLst>
            <a:gd name="adj" fmla="val 10000"/>
          </a:avLst>
        </a:prstGeom>
        <a:solidFill>
          <a:schemeClr val="accent5">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t" anchorCtr="1">
          <a:noAutofit/>
        </a:bodyPr>
        <a:lstStyle/>
        <a:p>
          <a:pPr lvl="0" algn="l" defTabSz="444500">
            <a:lnSpc>
              <a:spcPct val="90000"/>
            </a:lnSpc>
            <a:spcBef>
              <a:spcPct val="0"/>
            </a:spcBef>
            <a:spcAft>
              <a:spcPct val="35000"/>
            </a:spcAft>
          </a:pPr>
          <a:r>
            <a:rPr lang="sk-SK" sz="1000" b="1" i="0" kern="1200"/>
            <a:t>Modus operandi</a:t>
          </a:r>
        </a:p>
        <a:p>
          <a:pPr marL="57150" lvl="1" indent="-57150" algn="l" defTabSz="355600">
            <a:lnSpc>
              <a:spcPct val="90000"/>
            </a:lnSpc>
            <a:spcBef>
              <a:spcPct val="0"/>
            </a:spcBef>
            <a:spcAft>
              <a:spcPct val="15000"/>
            </a:spcAft>
            <a:buChar char="••"/>
          </a:pPr>
          <a:r>
            <a:rPr lang="sk-SK" sz="800" kern="1200"/>
            <a:t>Podvodné: neoprávnená manipulácia s písomným dôkazom (falošný alebo falšovaný) a etika a integrita (umelo vytvorené podmienky)</a:t>
          </a:r>
        </a:p>
        <a:p>
          <a:pPr marL="57150" lvl="1" indent="-57150" algn="l" defTabSz="355600">
            <a:lnSpc>
              <a:spcPct val="90000"/>
            </a:lnSpc>
            <a:spcBef>
              <a:spcPct val="0"/>
            </a:spcBef>
            <a:spcAft>
              <a:spcPct val="15000"/>
            </a:spcAft>
            <a:buChar char="••"/>
          </a:pPr>
          <a:r>
            <a:rPr lang="sk-SK" sz="800" kern="1200"/>
            <a:t>Nepodvodné: (ne)konanie príjemcu, porušenia týkajúce sa pohľadávok/písomného dôkazu</a:t>
          </a:r>
        </a:p>
      </dsp:txBody>
      <dsp:txXfrm>
        <a:off x="3910245" y="1322323"/>
        <a:ext cx="1793705" cy="1322323"/>
      </dsp:txXfrm>
    </dsp:sp>
    <dsp:sp modelId="{F55A8290-3351-4A9C-A950-187358E72258}">
      <dsp:nvSpPr>
        <dsp:cNvPr id="0" name=""/>
        <dsp:cNvSpPr/>
      </dsp:nvSpPr>
      <dsp:spPr>
        <a:xfrm>
          <a:off x="4332846" y="301777"/>
          <a:ext cx="948501" cy="893976"/>
        </a:xfrm>
        <a:prstGeom prst="ellipse">
          <a:avLst/>
        </a:prstGeom>
        <a:blipFill rotWithShape="1">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5E9CDE7-4B88-46F9-8F8D-2C9F3BEF17E4}">
      <dsp:nvSpPr>
        <dsp:cNvPr id="0" name=""/>
        <dsp:cNvSpPr/>
      </dsp:nvSpPr>
      <dsp:spPr>
        <a:xfrm>
          <a:off x="186919" y="3115996"/>
          <a:ext cx="5272533" cy="137252"/>
        </a:xfrm>
        <a:prstGeom prst="leftRightArrow">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75D8856-CFA1-45B6-B558-9ACB90964218}">
      <dsp:nvSpPr>
        <dsp:cNvPr id="0" name=""/>
        <dsp:cNvSpPr/>
      </dsp:nvSpPr>
      <dsp:spPr>
        <a:xfrm>
          <a:off x="0" y="0"/>
          <a:ext cx="2581420" cy="468454"/>
        </a:xfrm>
        <a:prstGeom prst="rect">
          <a:avLst/>
        </a:prstGeom>
        <a:solidFill>
          <a:schemeClr val="accent3">
            <a:lumMod val="7500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sk-SK" sz="1400" kern="1200"/>
            <a:t>Dotknuté trhové opatrenia</a:t>
          </a:r>
        </a:p>
      </dsp:txBody>
      <dsp:txXfrm>
        <a:off x="0" y="0"/>
        <a:ext cx="2581420" cy="468454"/>
      </dsp:txXfrm>
    </dsp:sp>
    <dsp:sp modelId="{EFFC9CF4-0532-4E71-9ECB-8D76EA871050}">
      <dsp:nvSpPr>
        <dsp:cNvPr id="0" name=""/>
        <dsp:cNvSpPr/>
      </dsp:nvSpPr>
      <dsp:spPr>
        <a:xfrm>
          <a:off x="1260" y="468454"/>
          <a:ext cx="859633" cy="983753"/>
        </a:xfrm>
        <a:prstGeom prst="rect">
          <a:avLst/>
        </a:prstGeom>
        <a:solidFill>
          <a:schemeClr val="accent3">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k-SK" sz="900" kern="1200">
              <a:solidFill>
                <a:sysClr val="windowText" lastClr="000000"/>
              </a:solidFill>
            </a:rPr>
            <a:t>Výrobky vinohradnícko-vinárskeho odvetvia</a:t>
          </a:r>
        </a:p>
      </dsp:txBody>
      <dsp:txXfrm>
        <a:off x="1260" y="468454"/>
        <a:ext cx="859633" cy="983753"/>
      </dsp:txXfrm>
    </dsp:sp>
    <dsp:sp modelId="{EDC0C0E7-9ED1-46D0-AE5F-EC3004A75025}">
      <dsp:nvSpPr>
        <dsp:cNvPr id="0" name=""/>
        <dsp:cNvSpPr/>
      </dsp:nvSpPr>
      <dsp:spPr>
        <a:xfrm>
          <a:off x="860893" y="468454"/>
          <a:ext cx="859633" cy="983753"/>
        </a:xfrm>
        <a:prstGeom prst="rect">
          <a:avLst/>
        </a:prstGeom>
        <a:solidFill>
          <a:schemeClr val="accent3">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k-SK" sz="900" kern="1200">
              <a:solidFill>
                <a:sysClr val="windowText" lastClr="000000"/>
              </a:solidFill>
            </a:rPr>
            <a:t>Ovocie a zelenina</a:t>
          </a:r>
        </a:p>
      </dsp:txBody>
      <dsp:txXfrm>
        <a:off x="860893" y="468454"/>
        <a:ext cx="859633" cy="983753"/>
      </dsp:txXfrm>
    </dsp:sp>
    <dsp:sp modelId="{435D7AD4-8208-44D8-B97A-C1E09BAFD971}">
      <dsp:nvSpPr>
        <dsp:cNvPr id="0" name=""/>
        <dsp:cNvSpPr/>
      </dsp:nvSpPr>
      <dsp:spPr>
        <a:xfrm>
          <a:off x="1720527" y="468454"/>
          <a:ext cx="859633" cy="983753"/>
        </a:xfrm>
        <a:prstGeom prst="rect">
          <a:avLst/>
        </a:prstGeom>
        <a:solidFill>
          <a:schemeClr val="accent3">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k-SK" sz="900" kern="1200">
              <a:solidFill>
                <a:sysClr val="windowText" lastClr="000000"/>
              </a:solidFill>
            </a:rPr>
            <a:t>Bravčové mäso, vajcia a hydina, včelárske a iné živočíšne výrobky</a:t>
          </a:r>
        </a:p>
      </dsp:txBody>
      <dsp:txXfrm>
        <a:off x="1720527" y="468454"/>
        <a:ext cx="859633" cy="983753"/>
      </dsp:txXfrm>
    </dsp:sp>
    <dsp:sp modelId="{308C5C45-CFFE-4E58-8973-67C51A10C1DB}">
      <dsp:nvSpPr>
        <dsp:cNvPr id="0" name=""/>
        <dsp:cNvSpPr/>
      </dsp:nvSpPr>
      <dsp:spPr>
        <a:xfrm>
          <a:off x="0" y="1452208"/>
          <a:ext cx="2581420" cy="109305"/>
        </a:xfrm>
        <a:prstGeom prst="rect">
          <a:avLst/>
        </a:prstGeom>
        <a:solidFill>
          <a:schemeClr val="accent3">
            <a:lumMod val="75000"/>
          </a:schemeClr>
        </a:solidFill>
        <a:ln>
          <a:noFill/>
        </a:ln>
        <a:effectLst/>
      </dsp:spPr>
      <dsp:style>
        <a:lnRef idx="0">
          <a:scrgbClr r="0" g="0" b="0"/>
        </a:lnRef>
        <a:fillRef idx="1">
          <a:scrgbClr r="0" g="0" b="0"/>
        </a:fillRef>
        <a:effectRef idx="0">
          <a:scrgbClr r="0" g="0" b="0"/>
        </a:effectRef>
        <a:fontRef idx="minor"/>
      </dsp:style>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B4BF4FE-D52D-457C-B7AB-ECB4CC1B7AEF}">
      <dsp:nvSpPr>
        <dsp:cNvPr id="0" name=""/>
        <dsp:cNvSpPr/>
      </dsp:nvSpPr>
      <dsp:spPr>
        <a:xfrm>
          <a:off x="498684" y="260264"/>
          <a:ext cx="0" cy="2548684"/>
        </a:xfrm>
        <a:prstGeom prst="line">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0868B87-0CB9-4BBC-ABB2-7F744050E6FD}">
      <dsp:nvSpPr>
        <dsp:cNvPr id="0" name=""/>
        <dsp:cNvSpPr/>
      </dsp:nvSpPr>
      <dsp:spPr>
        <a:xfrm>
          <a:off x="569481" y="345220"/>
          <a:ext cx="1340466" cy="1146908"/>
        </a:xfrm>
        <a:prstGeom prst="rect">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9DAB9D5-25DE-4C87-A72A-A62A3AFFE5DA}">
      <dsp:nvSpPr>
        <dsp:cNvPr id="0" name=""/>
        <dsp:cNvSpPr/>
      </dsp:nvSpPr>
      <dsp:spPr>
        <a:xfrm>
          <a:off x="613549" y="1551339"/>
          <a:ext cx="1871304" cy="125465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7940" tIns="27940" rIns="27940" bIns="27940" numCol="1" spcCol="1270" anchor="t" anchorCtr="0">
          <a:noAutofit/>
        </a:bodyPr>
        <a:lstStyle/>
        <a:p>
          <a:pPr lvl="0" algn="l" defTabSz="466725">
            <a:lnSpc>
              <a:spcPct val="90000"/>
            </a:lnSpc>
            <a:spcBef>
              <a:spcPct val="0"/>
            </a:spcBef>
            <a:spcAft>
              <a:spcPct val="35000"/>
            </a:spcAft>
          </a:pPr>
          <a:r>
            <a:rPr lang="sk-SK" sz="1050" kern="1200"/>
            <a:t> </a:t>
          </a:r>
          <a:r>
            <a:rPr lang="sk-SK" sz="1000" kern="1200"/>
            <a:t>Zavedenie nástroja na hodnotenie rizika Arachne: BE, HU, IE</a:t>
          </a:r>
        </a:p>
        <a:p>
          <a:pPr lvl="0" algn="l" defTabSz="466725">
            <a:lnSpc>
              <a:spcPct val="90000"/>
            </a:lnSpc>
            <a:spcBef>
              <a:spcPct val="0"/>
            </a:spcBef>
            <a:spcAft>
              <a:spcPct val="35000"/>
            </a:spcAft>
          </a:pPr>
          <a:r>
            <a:rPr lang="sk-SK" sz="1000" kern="1200"/>
            <a:t>Vývoj metodiky na používanie varovných signálov ARACHNE: NL</a:t>
          </a:r>
        </a:p>
        <a:p>
          <a:pPr lvl="0" algn="l" defTabSz="466725">
            <a:lnSpc>
              <a:spcPct val="90000"/>
            </a:lnSpc>
            <a:spcBef>
              <a:spcPct val="0"/>
            </a:spcBef>
            <a:spcAft>
              <a:spcPct val="35000"/>
            </a:spcAft>
          </a:pPr>
          <a:r>
            <a:rPr lang="sk-SK" sz="1000" kern="1200"/>
            <a:t>Ďalšie IT nástroje: FI, HU, LU</a:t>
          </a:r>
        </a:p>
        <a:p>
          <a:pPr lvl="0" algn="l" defTabSz="466725">
            <a:lnSpc>
              <a:spcPct val="90000"/>
            </a:lnSpc>
            <a:spcBef>
              <a:spcPct val="0"/>
            </a:spcBef>
            <a:spcAft>
              <a:spcPct val="35000"/>
            </a:spcAft>
          </a:pPr>
          <a:r>
            <a:rPr lang="sk-SK" sz="1000" kern="1200"/>
            <a:t>Nástroj pre oznamovateľov: PT</a:t>
          </a:r>
        </a:p>
      </dsp:txBody>
      <dsp:txXfrm>
        <a:off x="613549" y="1551339"/>
        <a:ext cx="1871304" cy="1254653"/>
      </dsp:txXfrm>
    </dsp:sp>
    <dsp:sp modelId="{24BC57B7-DC47-4A4A-97C6-12EFDF9D1367}">
      <dsp:nvSpPr>
        <dsp:cNvPr id="0" name=""/>
        <dsp:cNvSpPr/>
      </dsp:nvSpPr>
      <dsp:spPr>
        <a:xfrm>
          <a:off x="507038" y="-530"/>
          <a:ext cx="1539915" cy="238403"/>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400050">
            <a:lnSpc>
              <a:spcPct val="90000"/>
            </a:lnSpc>
            <a:spcBef>
              <a:spcPct val="0"/>
            </a:spcBef>
            <a:spcAft>
              <a:spcPct val="35000"/>
            </a:spcAft>
          </a:pPr>
          <a:r>
            <a:rPr lang="sk-SK" sz="900" kern="1200"/>
            <a:t>Arachne, nové IT nástroje alebo rozšírená dostupnosť</a:t>
          </a:r>
        </a:p>
      </dsp:txBody>
      <dsp:txXfrm>
        <a:off x="507038" y="-530"/>
        <a:ext cx="1539915" cy="238403"/>
      </dsp:txXfrm>
    </dsp:sp>
    <dsp:sp modelId="{4BCBB3D2-6CB3-4B2B-B33A-1D4C3BF7E319}">
      <dsp:nvSpPr>
        <dsp:cNvPr id="0" name=""/>
        <dsp:cNvSpPr/>
      </dsp:nvSpPr>
      <dsp:spPr>
        <a:xfrm>
          <a:off x="2558337" y="286486"/>
          <a:ext cx="0" cy="2548684"/>
        </a:xfrm>
        <a:prstGeom prst="line">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7251DA3-82C1-45BB-88C0-B6C111B1171B}">
      <dsp:nvSpPr>
        <dsp:cNvPr id="0" name=""/>
        <dsp:cNvSpPr/>
      </dsp:nvSpPr>
      <dsp:spPr>
        <a:xfrm>
          <a:off x="2629134" y="371442"/>
          <a:ext cx="1340466" cy="1146908"/>
        </a:xfrm>
        <a:prstGeom prst="rect">
          <a:avLst/>
        </a:prstGeom>
        <a:blipFill rotWithShape="1">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87E4363-14C8-4AB1-9F68-60DDE4C1BA19}">
      <dsp:nvSpPr>
        <dsp:cNvPr id="0" name=""/>
        <dsp:cNvSpPr/>
      </dsp:nvSpPr>
      <dsp:spPr>
        <a:xfrm>
          <a:off x="2695662" y="1504286"/>
          <a:ext cx="1404353" cy="13168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7940" tIns="27940" rIns="27940" bIns="27940" numCol="1" spcCol="1270" anchor="t" anchorCtr="0">
          <a:noAutofit/>
        </a:bodyPr>
        <a:lstStyle/>
        <a:p>
          <a:pPr lvl="0" algn="l" defTabSz="466725">
            <a:lnSpc>
              <a:spcPct val="90000"/>
            </a:lnSpc>
            <a:spcBef>
              <a:spcPct val="0"/>
            </a:spcBef>
            <a:spcAft>
              <a:spcPct val="35000"/>
            </a:spcAft>
          </a:pPr>
          <a:r>
            <a:rPr lang="sk-SK" sz="1050" kern="1200"/>
            <a:t>Regionálne stratégie: DE (3)</a:t>
          </a:r>
        </a:p>
        <a:p>
          <a:pPr lvl="0" algn="l" defTabSz="466725">
            <a:lnSpc>
              <a:spcPct val="90000"/>
            </a:lnSpc>
            <a:spcBef>
              <a:spcPct val="0"/>
            </a:spcBef>
            <a:spcAft>
              <a:spcPct val="35000"/>
            </a:spcAft>
          </a:pPr>
          <a:r>
            <a:rPr lang="sk-SK" sz="1050" kern="1200"/>
            <a:t>Sektorová stratégia: PT</a:t>
          </a:r>
        </a:p>
        <a:p>
          <a:pPr lvl="0" algn="l" defTabSz="466725">
            <a:lnSpc>
              <a:spcPct val="90000"/>
            </a:lnSpc>
            <a:spcBef>
              <a:spcPct val="0"/>
            </a:spcBef>
            <a:spcAft>
              <a:spcPct val="35000"/>
            </a:spcAft>
          </a:pPr>
          <a:r>
            <a:rPr lang="sk-SK" sz="1050" kern="1200"/>
            <a:t>Memorandum o porozumení medzi vnútroštátnymi orgánmi (boj proti korupcii): IT</a:t>
          </a:r>
        </a:p>
      </dsp:txBody>
      <dsp:txXfrm>
        <a:off x="2695662" y="1504286"/>
        <a:ext cx="1404353" cy="1316820"/>
      </dsp:txXfrm>
    </dsp:sp>
    <dsp:sp modelId="{2C7DDE1A-8B28-454E-98A3-1EAB8D8BE7B6}">
      <dsp:nvSpPr>
        <dsp:cNvPr id="0" name=""/>
        <dsp:cNvSpPr/>
      </dsp:nvSpPr>
      <dsp:spPr>
        <a:xfrm>
          <a:off x="2591470" y="-1"/>
          <a:ext cx="1574747" cy="290847"/>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400050">
            <a:lnSpc>
              <a:spcPct val="90000"/>
            </a:lnSpc>
            <a:spcBef>
              <a:spcPct val="0"/>
            </a:spcBef>
            <a:spcAft>
              <a:spcPct val="35000"/>
            </a:spcAft>
          </a:pPr>
          <a:r>
            <a:rPr lang="sk-SK" sz="900" kern="1200"/>
            <a:t>Sektorové alebo regionálne stratégie, národná koordinácia</a:t>
          </a:r>
        </a:p>
      </dsp:txBody>
      <dsp:txXfrm>
        <a:off x="2591470" y="-1"/>
        <a:ext cx="1574747" cy="290847"/>
      </dsp:txXfrm>
    </dsp:sp>
    <dsp:sp modelId="{970CA68F-AEF1-4F30-B8AC-B88A008697D4}">
      <dsp:nvSpPr>
        <dsp:cNvPr id="0" name=""/>
        <dsp:cNvSpPr/>
      </dsp:nvSpPr>
      <dsp:spPr>
        <a:xfrm>
          <a:off x="4357244" y="282656"/>
          <a:ext cx="0" cy="2548684"/>
        </a:xfrm>
        <a:prstGeom prst="line">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966D759-D6BF-4B38-9BEA-2AA93C734900}">
      <dsp:nvSpPr>
        <dsp:cNvPr id="0" name=""/>
        <dsp:cNvSpPr/>
      </dsp:nvSpPr>
      <dsp:spPr>
        <a:xfrm>
          <a:off x="4428041" y="367612"/>
          <a:ext cx="1340466" cy="1146908"/>
        </a:xfrm>
        <a:prstGeom prst="rect">
          <a:avLst/>
        </a:prstGeom>
        <a:blipFill rotWithShape="1">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0344BE5-105F-4507-94F5-567F702D0C92}">
      <dsp:nvSpPr>
        <dsp:cNvPr id="0" name=""/>
        <dsp:cNvSpPr/>
      </dsp:nvSpPr>
      <dsp:spPr>
        <a:xfrm>
          <a:off x="4428041" y="1573599"/>
          <a:ext cx="1340466" cy="11986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7940" tIns="27940" rIns="27940" bIns="27940" numCol="1" spcCol="1270" anchor="t" anchorCtr="0">
          <a:noAutofit/>
        </a:bodyPr>
        <a:lstStyle/>
        <a:p>
          <a:pPr lvl="0" algn="l" defTabSz="488950">
            <a:lnSpc>
              <a:spcPct val="90000"/>
            </a:lnSpc>
            <a:spcBef>
              <a:spcPct val="0"/>
            </a:spcBef>
            <a:spcAft>
              <a:spcPct val="35000"/>
            </a:spcAft>
          </a:pPr>
          <a:r>
            <a:rPr lang="sk-SK" sz="1100" kern="1200"/>
            <a:t>Mechanizmus overovania bankových záruk: PL</a:t>
          </a:r>
        </a:p>
        <a:p>
          <a:pPr lvl="0" algn="l" defTabSz="488950">
            <a:lnSpc>
              <a:spcPct val="90000"/>
            </a:lnSpc>
            <a:spcBef>
              <a:spcPct val="0"/>
            </a:spcBef>
            <a:spcAft>
              <a:spcPct val="35000"/>
            </a:spcAft>
          </a:pPr>
          <a:r>
            <a:rPr lang="sk-SK" sz="1100" kern="1200"/>
            <a:t>Školenie zamerané na zvýšenie kapacít auditu: EL </a:t>
          </a:r>
        </a:p>
      </dsp:txBody>
      <dsp:txXfrm>
        <a:off x="4428041" y="1573599"/>
        <a:ext cx="1340466" cy="1198662"/>
      </dsp:txXfrm>
    </dsp:sp>
    <dsp:sp modelId="{1E11B893-5018-4A2D-8DC7-9B9607F34C08}">
      <dsp:nvSpPr>
        <dsp:cNvPr id="0" name=""/>
        <dsp:cNvSpPr/>
      </dsp:nvSpPr>
      <dsp:spPr>
        <a:xfrm>
          <a:off x="4357244" y="-530"/>
          <a:ext cx="1415935" cy="283187"/>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400050">
            <a:lnSpc>
              <a:spcPct val="90000"/>
            </a:lnSpc>
            <a:spcBef>
              <a:spcPct val="0"/>
            </a:spcBef>
            <a:spcAft>
              <a:spcPct val="35000"/>
            </a:spcAft>
          </a:pPr>
          <a:r>
            <a:rPr lang="sk-SK" sz="900" kern="1200"/>
            <a:t>Ďalšie opatrenia</a:t>
          </a:r>
        </a:p>
      </dsp:txBody>
      <dsp:txXfrm>
        <a:off x="4357244" y="-530"/>
        <a:ext cx="1415935" cy="283187"/>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D142B1-191A-4B12-BA5E-1D683AF96300}">
      <dsp:nvSpPr>
        <dsp:cNvPr id="0" name=""/>
        <dsp:cNvSpPr/>
      </dsp:nvSpPr>
      <dsp:spPr>
        <a:xfrm>
          <a:off x="155" y="0"/>
          <a:ext cx="1783189" cy="3889717"/>
        </a:xfrm>
        <a:prstGeom prst="roundRect">
          <a:avLst>
            <a:gd name="adj" fmla="val 10000"/>
          </a:avLst>
        </a:prstGeom>
        <a:solidFill>
          <a:srgbClr val="0070C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t" anchorCtr="1">
          <a:noAutofit/>
        </a:bodyPr>
        <a:lstStyle/>
        <a:p>
          <a:pPr lvl="0" algn="l" defTabSz="444500">
            <a:lnSpc>
              <a:spcPct val="90000"/>
            </a:lnSpc>
            <a:spcBef>
              <a:spcPct val="0"/>
            </a:spcBef>
            <a:spcAft>
              <a:spcPct val="35000"/>
            </a:spcAft>
          </a:pPr>
          <a:r>
            <a:rPr lang="sk-SK" sz="1000" kern="1200"/>
            <a:t>Politika súdržnosti a rybárstvo</a:t>
          </a:r>
        </a:p>
        <a:p>
          <a:pPr marL="57150" lvl="1" indent="-57150" algn="l" defTabSz="355600">
            <a:lnSpc>
              <a:spcPct val="90000"/>
            </a:lnSpc>
            <a:spcBef>
              <a:spcPct val="0"/>
            </a:spcBef>
            <a:spcAft>
              <a:spcPct val="15000"/>
            </a:spcAft>
            <a:buChar char="••"/>
          </a:pPr>
          <a:r>
            <a:rPr lang="sk-SK" sz="800" kern="1200"/>
            <a:t>Viacročný rámec</a:t>
          </a:r>
        </a:p>
        <a:p>
          <a:pPr marL="57150" lvl="1" indent="-57150" algn="l" defTabSz="355600">
            <a:lnSpc>
              <a:spcPct val="90000"/>
            </a:lnSpc>
            <a:spcBef>
              <a:spcPct val="0"/>
            </a:spcBef>
            <a:spcAft>
              <a:spcPct val="15000"/>
            </a:spcAft>
            <a:buChar char="••"/>
          </a:pPr>
          <a:r>
            <a:rPr lang="sk-SK" sz="800" kern="1200"/>
            <a:t>Približne 34 % rozpočtu EÚ na rok 2018</a:t>
          </a:r>
        </a:p>
        <a:p>
          <a:pPr marL="57150" lvl="1" indent="-57150" algn="l" defTabSz="355600">
            <a:lnSpc>
              <a:spcPct val="90000"/>
            </a:lnSpc>
            <a:spcBef>
              <a:spcPct val="0"/>
            </a:spcBef>
            <a:spcAft>
              <a:spcPct val="15000"/>
            </a:spcAft>
            <a:buChar char="••"/>
          </a:pPr>
          <a:r>
            <a:rPr lang="sk-SK" sz="800" kern="1200"/>
            <a:t>Nezrovnalosti sa týkali niekoľkých programových období, ale najmä obdobia 2014 – 2020</a:t>
          </a:r>
        </a:p>
      </dsp:txBody>
      <dsp:txXfrm>
        <a:off x="155" y="1555886"/>
        <a:ext cx="1783189" cy="1555886"/>
      </dsp:txXfrm>
    </dsp:sp>
    <dsp:sp modelId="{94BECB7A-D81C-4765-A807-1CEBBB9FE698}">
      <dsp:nvSpPr>
        <dsp:cNvPr id="0" name=""/>
        <dsp:cNvSpPr/>
      </dsp:nvSpPr>
      <dsp:spPr>
        <a:xfrm>
          <a:off x="359035" y="316060"/>
          <a:ext cx="1065429" cy="1129920"/>
        </a:xfrm>
        <a:prstGeom prst="ellipse">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050988B-148F-48E4-851F-80E511074A79}">
      <dsp:nvSpPr>
        <dsp:cNvPr id="0" name=""/>
        <dsp:cNvSpPr/>
      </dsp:nvSpPr>
      <dsp:spPr>
        <a:xfrm>
          <a:off x="1836840" y="0"/>
          <a:ext cx="1953395" cy="3889717"/>
        </a:xfrm>
        <a:prstGeom prst="roundRect">
          <a:avLst>
            <a:gd name="adj" fmla="val 10000"/>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t" anchorCtr="1">
          <a:noAutofit/>
        </a:bodyPr>
        <a:lstStyle/>
        <a:p>
          <a:pPr lvl="0" algn="l" defTabSz="444500">
            <a:lnSpc>
              <a:spcPct val="90000"/>
            </a:lnSpc>
            <a:spcBef>
              <a:spcPct val="0"/>
            </a:spcBef>
            <a:spcAft>
              <a:spcPct val="35000"/>
            </a:spcAft>
          </a:pPr>
          <a:r>
            <a:rPr lang="sk-SK" sz="1000" kern="1200"/>
            <a:t>Oznámené nezrovnalosti</a:t>
          </a:r>
        </a:p>
        <a:p>
          <a:pPr marL="57150" lvl="1" indent="-57150" algn="l" defTabSz="355600">
            <a:lnSpc>
              <a:spcPct val="90000"/>
            </a:lnSpc>
            <a:spcBef>
              <a:spcPct val="0"/>
            </a:spcBef>
            <a:spcAft>
              <a:spcPct val="15000"/>
            </a:spcAft>
            <a:buChar char="••"/>
          </a:pPr>
          <a:r>
            <a:rPr lang="sk-SK" sz="800" kern="1200"/>
            <a:t>363 nezrovnalostí odhalených a oznámených ako podvodné v roku 2018 (+5 %); 959,6 milióna EUR (+199 %)</a:t>
          </a:r>
        </a:p>
        <a:p>
          <a:pPr marL="57150" lvl="1" indent="-57150" algn="l" defTabSz="355600">
            <a:lnSpc>
              <a:spcPct val="90000"/>
            </a:lnSpc>
            <a:spcBef>
              <a:spcPct val="0"/>
            </a:spcBef>
            <a:spcAft>
              <a:spcPct val="15000"/>
            </a:spcAft>
            <a:buChar char="••"/>
          </a:pPr>
          <a:r>
            <a:rPr lang="sk-SK" sz="800" kern="1200"/>
            <a:t>1 939 nezrovnalostí odhalených a oznámených ako nepodvodné v roku 2018 (−64 %); 599,6 milióna EUR (−57 %)</a:t>
          </a:r>
        </a:p>
        <a:p>
          <a:pPr marL="57150" lvl="1" indent="-57150" algn="l" defTabSz="355600">
            <a:lnSpc>
              <a:spcPct val="90000"/>
            </a:lnSpc>
            <a:spcBef>
              <a:spcPct val="0"/>
            </a:spcBef>
            <a:spcAft>
              <a:spcPct val="15000"/>
            </a:spcAft>
            <a:buChar char="••"/>
          </a:pPr>
          <a:r>
            <a:rPr lang="sk-SK" sz="800" b="1" kern="1200"/>
            <a:t>Hlavné ukazovatele:</a:t>
          </a:r>
        </a:p>
        <a:p>
          <a:pPr marL="114300" lvl="2" indent="-57150" algn="l" defTabSz="355600">
            <a:lnSpc>
              <a:spcPct val="90000"/>
            </a:lnSpc>
            <a:spcBef>
              <a:spcPct val="0"/>
            </a:spcBef>
            <a:spcAft>
              <a:spcPct val="15000"/>
            </a:spcAft>
            <a:buChar char="••"/>
          </a:pPr>
          <a:r>
            <a:rPr lang="sk-SK" sz="800" b="1" kern="1200"/>
            <a:t>Miera odhaľovania podvodov: </a:t>
          </a:r>
          <a:r>
            <a:rPr lang="sk-SK" sz="800" b="0" kern="1200"/>
            <a:t>0,47 % (programové obdobie 2007 – 2013); 0,86 % (programové obdobie 2014 – 2020)</a:t>
          </a:r>
        </a:p>
        <a:p>
          <a:pPr marL="114300" lvl="2" indent="-57150" algn="l" defTabSz="355600">
            <a:lnSpc>
              <a:spcPct val="90000"/>
            </a:lnSpc>
            <a:spcBef>
              <a:spcPct val="0"/>
            </a:spcBef>
            <a:spcAft>
              <a:spcPct val="15000"/>
            </a:spcAft>
            <a:buChar char="••"/>
          </a:pPr>
          <a:r>
            <a:rPr lang="sk-SK" sz="800" b="1" kern="1200"/>
            <a:t>Miera odhaľovania nezrovnalostí: </a:t>
          </a:r>
          <a:r>
            <a:rPr lang="sk-SK" sz="800" b="0" kern="1200"/>
            <a:t>2,52 % (programové obdobie 2007 – 2013); 0,34 % (programové obdobie 2014 – 2020)</a:t>
          </a:r>
        </a:p>
      </dsp:txBody>
      <dsp:txXfrm>
        <a:off x="1836840" y="1555886"/>
        <a:ext cx="1953395" cy="1555886"/>
      </dsp:txXfrm>
    </dsp:sp>
    <dsp:sp modelId="{22FD2ECC-A966-499C-BE3C-1A27DDB1EBD2}">
      <dsp:nvSpPr>
        <dsp:cNvPr id="0" name=""/>
        <dsp:cNvSpPr/>
      </dsp:nvSpPr>
      <dsp:spPr>
        <a:xfrm>
          <a:off x="2226389" y="356259"/>
          <a:ext cx="1174297" cy="1049523"/>
        </a:xfrm>
        <a:prstGeom prst="ellipse">
          <a:avLst/>
        </a:prstGeom>
        <a:blipFill rotWithShape="1">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585E626-9480-4EEC-8782-6998BF3A7A8A}">
      <dsp:nvSpPr>
        <dsp:cNvPr id="0" name=""/>
        <dsp:cNvSpPr/>
      </dsp:nvSpPr>
      <dsp:spPr>
        <a:xfrm>
          <a:off x="3843731" y="0"/>
          <a:ext cx="1783189" cy="3889717"/>
        </a:xfrm>
        <a:prstGeom prst="roundRect">
          <a:avLst>
            <a:gd name="adj" fmla="val 10000"/>
          </a:avLst>
        </a:prstGeom>
        <a:solidFill>
          <a:schemeClr val="accent5">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t" anchorCtr="1">
          <a:noAutofit/>
        </a:bodyPr>
        <a:lstStyle/>
        <a:p>
          <a:pPr lvl="0" algn="l" defTabSz="444500">
            <a:lnSpc>
              <a:spcPct val="90000"/>
            </a:lnSpc>
            <a:spcBef>
              <a:spcPct val="0"/>
            </a:spcBef>
            <a:spcAft>
              <a:spcPct val="35000"/>
            </a:spcAft>
          </a:pPr>
          <a:r>
            <a:rPr lang="sk-SK" sz="1000" b="1" i="0" kern="1200"/>
            <a:t>Modus operandi</a:t>
          </a:r>
        </a:p>
        <a:p>
          <a:pPr marL="57150" lvl="1" indent="-57150" algn="l" defTabSz="355600">
            <a:lnSpc>
              <a:spcPct val="90000"/>
            </a:lnSpc>
            <a:spcBef>
              <a:spcPct val="0"/>
            </a:spcBef>
            <a:spcAft>
              <a:spcPct val="15000"/>
            </a:spcAft>
            <a:buChar char="••"/>
          </a:pPr>
          <a:r>
            <a:rPr lang="sk-SK" sz="800" kern="1200"/>
            <a:t>Podvodné: neoprávnená manipulácia s písomným dôkazom (falošným alebo falšovaným)</a:t>
          </a:r>
        </a:p>
        <a:p>
          <a:pPr marL="57150" lvl="1" indent="-57150" algn="l" defTabSz="355600">
            <a:lnSpc>
              <a:spcPct val="90000"/>
            </a:lnSpc>
            <a:spcBef>
              <a:spcPct val="0"/>
            </a:spcBef>
            <a:spcAft>
              <a:spcPct val="15000"/>
            </a:spcAft>
            <a:buChar char="••"/>
          </a:pPr>
          <a:r>
            <a:rPr lang="sk-SK" sz="800" kern="1200"/>
            <a:t>Nepodvodné: porušenia pravidiel verejného obstarávania, oprávnenosť výdavkov</a:t>
          </a:r>
        </a:p>
      </dsp:txBody>
      <dsp:txXfrm>
        <a:off x="3843731" y="1555886"/>
        <a:ext cx="1783189" cy="1555886"/>
      </dsp:txXfrm>
    </dsp:sp>
    <dsp:sp modelId="{F55A8290-3351-4A9C-A950-187358E72258}">
      <dsp:nvSpPr>
        <dsp:cNvPr id="0" name=""/>
        <dsp:cNvSpPr/>
      </dsp:nvSpPr>
      <dsp:spPr>
        <a:xfrm>
          <a:off x="4226464" y="378926"/>
          <a:ext cx="1017724" cy="1004188"/>
        </a:xfrm>
        <a:prstGeom prst="ellipse">
          <a:avLst/>
        </a:prstGeom>
        <a:blipFill rotWithShape="1">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5E9CDE7-4B88-46F9-8F8D-2C9F3BEF17E4}">
      <dsp:nvSpPr>
        <dsp:cNvPr id="0" name=""/>
        <dsp:cNvSpPr/>
      </dsp:nvSpPr>
      <dsp:spPr>
        <a:xfrm>
          <a:off x="203547" y="3702582"/>
          <a:ext cx="5176910" cy="127532"/>
        </a:xfrm>
        <a:prstGeom prst="leftRightArrow">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7F58BC-2AE5-4CB6-AF16-0B1B47A66FA9}">
      <dsp:nvSpPr>
        <dsp:cNvPr id="0" name=""/>
        <dsp:cNvSpPr/>
      </dsp:nvSpPr>
      <dsp:spPr>
        <a:xfrm>
          <a:off x="1074767" y="1142790"/>
          <a:ext cx="784344" cy="78434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sk-SK" sz="1300" kern="1200"/>
            <a:t>Plénum</a:t>
          </a:r>
        </a:p>
      </dsp:txBody>
      <dsp:txXfrm>
        <a:off x="1189632" y="1257655"/>
        <a:ext cx="554614" cy="554614"/>
      </dsp:txXfrm>
    </dsp:sp>
    <dsp:sp modelId="{A1D8CA94-0251-4158-9BE6-3B0F736CDA65}">
      <dsp:nvSpPr>
        <dsp:cNvPr id="0" name=""/>
        <dsp:cNvSpPr/>
      </dsp:nvSpPr>
      <dsp:spPr>
        <a:xfrm rot="11700000">
          <a:off x="375823" y="1222662"/>
          <a:ext cx="685450" cy="223538"/>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55CF05D-197B-437E-9659-BE3F3820F522}">
      <dsp:nvSpPr>
        <dsp:cNvPr id="0" name=""/>
        <dsp:cNvSpPr/>
      </dsp:nvSpPr>
      <dsp:spPr>
        <a:xfrm>
          <a:off x="-13961" y="968645"/>
          <a:ext cx="802926" cy="55416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311150">
            <a:lnSpc>
              <a:spcPct val="90000"/>
            </a:lnSpc>
            <a:spcBef>
              <a:spcPct val="0"/>
            </a:spcBef>
            <a:spcAft>
              <a:spcPct val="35000"/>
            </a:spcAft>
          </a:pPr>
          <a:r>
            <a:rPr lang="sk-SK" sz="700" i="0" kern="1200"/>
            <a:t>Oznamovanie a analýza podvodných a iných nezrovnalostí</a:t>
          </a:r>
        </a:p>
      </dsp:txBody>
      <dsp:txXfrm>
        <a:off x="2270" y="984876"/>
        <a:ext cx="770464" cy="521703"/>
      </dsp:txXfrm>
    </dsp:sp>
    <dsp:sp modelId="{63F781B7-3258-45DE-B128-EAC6F18EEC7A}">
      <dsp:nvSpPr>
        <dsp:cNvPr id="0" name=""/>
        <dsp:cNvSpPr/>
      </dsp:nvSpPr>
      <dsp:spPr>
        <a:xfrm rot="14700000">
          <a:off x="796773" y="720994"/>
          <a:ext cx="685450" cy="223538"/>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2E12CA3-FBE2-4D20-A67D-9A5AC58B11C5}">
      <dsp:nvSpPr>
        <dsp:cNvPr id="0" name=""/>
        <dsp:cNvSpPr/>
      </dsp:nvSpPr>
      <dsp:spPr>
        <a:xfrm>
          <a:off x="622092" y="224098"/>
          <a:ext cx="745127" cy="5961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311150">
            <a:lnSpc>
              <a:spcPct val="90000"/>
            </a:lnSpc>
            <a:spcBef>
              <a:spcPct val="0"/>
            </a:spcBef>
            <a:spcAft>
              <a:spcPct val="35000"/>
            </a:spcAft>
          </a:pPr>
          <a:r>
            <a:rPr lang="sk-SK" sz="700" i="0" kern="1200"/>
            <a:t>Predchádzanie podvodom</a:t>
          </a:r>
        </a:p>
      </dsp:txBody>
      <dsp:txXfrm>
        <a:off x="639551" y="241557"/>
        <a:ext cx="710209" cy="561183"/>
      </dsp:txXfrm>
    </dsp:sp>
    <dsp:sp modelId="{5C71916D-0A5B-4A80-8D17-8A4DFCE6A0AC}">
      <dsp:nvSpPr>
        <dsp:cNvPr id="0" name=""/>
        <dsp:cNvSpPr/>
      </dsp:nvSpPr>
      <dsp:spPr>
        <a:xfrm rot="17700000">
          <a:off x="1451655" y="720994"/>
          <a:ext cx="685450" cy="223538"/>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93E7687-2186-434C-9BDE-351D4E80AEE6}">
      <dsp:nvSpPr>
        <dsp:cNvPr id="0" name=""/>
        <dsp:cNvSpPr/>
      </dsp:nvSpPr>
      <dsp:spPr>
        <a:xfrm>
          <a:off x="1566658" y="224098"/>
          <a:ext cx="745127" cy="5961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311150">
            <a:lnSpc>
              <a:spcPct val="90000"/>
            </a:lnSpc>
            <a:spcBef>
              <a:spcPct val="0"/>
            </a:spcBef>
            <a:spcAft>
              <a:spcPct val="35000"/>
            </a:spcAft>
          </a:pPr>
          <a:r>
            <a:rPr lang="sk-SK" sz="700" kern="1200"/>
            <a:t>Stretnutie koordinačných útvarov pre boj proti podvodom</a:t>
          </a:r>
        </a:p>
      </dsp:txBody>
      <dsp:txXfrm>
        <a:off x="1584117" y="241557"/>
        <a:ext cx="710209" cy="561183"/>
      </dsp:txXfrm>
    </dsp:sp>
    <dsp:sp modelId="{A6EA8589-E10C-4E34-AC45-3A0482450B2F}">
      <dsp:nvSpPr>
        <dsp:cNvPr id="0" name=""/>
        <dsp:cNvSpPr/>
      </dsp:nvSpPr>
      <dsp:spPr>
        <a:xfrm rot="20700000">
          <a:off x="1872605" y="1222662"/>
          <a:ext cx="685450" cy="223538"/>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F647DD1-7CC9-466F-A13F-12A50FDF302E}">
      <dsp:nvSpPr>
        <dsp:cNvPr id="0" name=""/>
        <dsp:cNvSpPr/>
      </dsp:nvSpPr>
      <dsp:spPr>
        <a:xfrm>
          <a:off x="2173813" y="900537"/>
          <a:ext cx="745127" cy="69038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311150">
            <a:lnSpc>
              <a:spcPct val="90000"/>
            </a:lnSpc>
            <a:spcBef>
              <a:spcPct val="0"/>
            </a:spcBef>
            <a:spcAft>
              <a:spcPct val="35000"/>
            </a:spcAft>
          </a:pPr>
          <a:r>
            <a:rPr lang="sk-SK" sz="700" kern="1200"/>
            <a:t>Sieť komunikátorov úradu OLAF pre boj proti podvodom (OAFCN)</a:t>
          </a:r>
        </a:p>
      </dsp:txBody>
      <dsp:txXfrm>
        <a:off x="2194034" y="920758"/>
        <a:ext cx="704685" cy="649939"/>
      </dsp:txXfrm>
    </dsp:sp>
  </dsp:spTree>
</dsp:drawing>
</file>

<file path=word/diagrams/layout1.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5.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6.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7.xml><?xml version="1.0" encoding="utf-8"?>
<dgm:layoutDef xmlns:dgm="http://schemas.openxmlformats.org/drawingml/2006/diagram" xmlns:a="http://schemas.openxmlformats.org/drawingml/2006/main" uniqueId="urn:microsoft.com/office/officeart/2008/layout/TitlePictureLineup">
  <dgm:title val=""/>
  <dgm:desc val=""/>
  <dgm:catLst>
    <dgm:cat type="picture" pri="18000"/>
    <dgm:cat type="pictureconvert" pri="18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dir/>
    </dgm:varLst>
    <dgm:choose name="Name1">
      <dgm:if name="Name2" func="var" arg="dir" op="equ" val="norm">
        <dgm:alg type="lin">
          <dgm:param type="linDir" val="fromL"/>
          <dgm:param type="fallback" val="1D"/>
          <dgm:param type="horzAlign" val="ctr"/>
          <dgm:param type="vertAlign" val="mid"/>
          <dgm:param type="nodeVertAlign" val="t"/>
        </dgm:alg>
      </dgm:if>
      <dgm:else name="Name3">
        <dgm:alg type="lin">
          <dgm:param type="linDir" val="fromR"/>
          <dgm:param type="fallback" val="1D"/>
          <dgm:param type="horzAlign" val="ctr"/>
          <dgm:param type="vertAlign" val="mid"/>
          <dgm:param type="nodeVertAlign" val="t"/>
        </dgm:alg>
      </dgm:else>
    </dgm:choose>
    <dgm:shape xmlns:r="http://schemas.openxmlformats.org/officeDocument/2006/relationships" r:blip="">
      <dgm:adjLst/>
    </dgm:shape>
    <dgm:constrLst>
      <dgm:constr type="h" for="des" forName="Child" op="equ"/>
      <dgm:constr type="w" for="des" forName="Child" op="equ"/>
      <dgm:constr type="h" for="des" forName="Accent" op="equ"/>
      <dgm:constr type="w" for="des" forName="Accent" op="equ"/>
      <dgm:constr type="primFontSz" for="des" forName="Parent" op="equ"/>
      <dgm:constr type="primFontSz" for="des" forName="Child" op="equ"/>
      <dgm:constr type="w" for="ch" forName="composite" refType="w"/>
      <dgm:constr type="h" for="ch" forName="composite" refType="h"/>
      <dgm:constr type="sp" refType="w" refFor="ch" refForName="composite" op="equ" fact="0.1"/>
      <dgm:constr type="w" for="ch" forName="sibTrans" refType="w" refFor="ch" refForName="composite" op="equ" fact="0.05"/>
      <dgm:constr type="h" for="ch" forName="sibTrans" refType="w" refFor="ch" refForName="sibTrans" op="equ"/>
    </dgm:constrLst>
    <dgm:forEach name="nodesForEach" axis="ch" ptType="node">
      <dgm:layoutNode name="composite">
        <dgm:alg type="composite">
          <dgm:param type="ar" val="0.5"/>
        </dgm:alg>
        <dgm:shape xmlns:r="http://schemas.openxmlformats.org/officeDocument/2006/relationships" r:blip="">
          <dgm:adjLst/>
        </dgm:shape>
        <dgm:choose name="Name4">
          <dgm:if name="Name5" func="var" arg="dir" op="equ" val="norm">
            <dgm:constrLst>
              <dgm:constr type="l" for="ch" forName="Parent" refType="w" fact="0"/>
              <dgm:constr type="t" for="ch" forName="Parent" refType="h" fact="0"/>
              <dgm:constr type="w" for="ch" forName="Parent" refType="w"/>
              <dgm:constr type="h" for="ch" forName="Parent" refType="h" fact="0.1"/>
              <dgm:constr type="l" for="ch" forName="Accent" refType="w" fact="0"/>
              <dgm:constr type="b" for="ch" forName="Accent" refType="h"/>
              <dgm:constr type="w" for="ch" forName="Accent" refType="w" fact="0"/>
              <dgm:constr type="h" for="ch" forName="Accent" refType="h" fact="0.9"/>
              <dgm:constr type="l" for="ch" forName="Image" refType="w" fact="0.05"/>
              <dgm:constr type="t" for="ch" forName="Image" refType="h" fact="0.13"/>
              <dgm:constr type="w" for="ch" forName="Image" refType="w" fact="0.9467"/>
              <dgm:constr type="h" for="ch" forName="Image" refType="h" fact="0.405"/>
              <dgm:constr type="l" for="ch" forName="Child" refType="w" fact="0.05"/>
              <dgm:constr type="t" for="ch" forName="Child" refType="h" fact="0.535"/>
              <dgm:constr type="w" for="ch" forName="Child" refType="w" fact="0.9467"/>
              <dgm:constr type="h" for="ch" forName="Child" refType="h" fact="0.465"/>
            </dgm:constrLst>
          </dgm:if>
          <dgm:else name="Name6">
            <dgm:constrLst>
              <dgm:constr type="l" for="ch" forName="Parent" refType="w" fact="0"/>
              <dgm:constr type="t" for="ch" forName="Parent" refType="h" fact="0"/>
              <dgm:constr type="w" for="ch" forName="Parent" refType="w"/>
              <dgm:constr type="h" for="ch" forName="Parent" refType="h" fact="0.1"/>
              <dgm:constr type="l" for="ch" forName="Accent" refType="w"/>
              <dgm:constr type="b" for="ch" forName="Accent" refType="h"/>
              <dgm:constr type="h" for="ch" forName="Accent" refType="h" fact="0.9"/>
              <dgm:constr type="l" for="ch" forName="Image" refType="w" fact="0"/>
              <dgm:constr type="t" for="ch" forName="Image" refType="h" fact="0.13"/>
              <dgm:constr type="w" for="ch" forName="Image" refType="w" fact="0.9467"/>
              <dgm:constr type="h" for="ch" forName="Image" refType="h" fact="0.405"/>
              <dgm:constr type="l" for="ch" forName="Child" refType="w" fact="0"/>
              <dgm:constr type="t" for="ch" forName="Child" refType="h" fact="0.535"/>
              <dgm:constr type="w" for="ch" forName="Child" refType="w" fact="0.9467"/>
              <dgm:constr type="h" for="ch" forName="Child" refType="h" fact="0.465"/>
            </dgm:constrLst>
          </dgm:else>
        </dgm:choose>
        <dgm:forEach name="Name7" axis="self" ptType="node">
          <dgm:layoutNode name="Accent" styleLbl="alignAcc1">
            <dgm:alg type="sp"/>
            <dgm:shape xmlns:r="http://schemas.openxmlformats.org/officeDocument/2006/relationships" type="line" r:blip="">
              <dgm:adjLst/>
            </dgm:shape>
            <dgm:presOf/>
          </dgm:layoutNode>
          <dgm:layoutNode name="Image">
            <dgm:alg type="sp"/>
            <dgm:shape xmlns:r="http://schemas.openxmlformats.org/officeDocument/2006/relationships" type="rect" r:blip="" blipPhldr="1">
              <dgm:adjLst/>
            </dgm:shape>
            <dgm:presOf/>
          </dgm:layoutNode>
          <dgm:layoutNode name="Child" styleLbl="revTx">
            <dgm:varLst>
              <dgm:bulletEnabled val="1"/>
            </dgm:varLst>
            <dgm:choose name="Name8">
              <dgm:if name="Name9" axis="ch" ptType="node" func="cnt" op="gt" val="1">
                <dgm:choose name="Name10">
                  <dgm:if name="Name11" func="var" arg="dir" op="equ" val="norm">
                    <dgm:alg type="tx">
                      <dgm:param type="shpTxLTRAlignCh" val="l"/>
                      <dgm:param type="shpTxRTLAlignCh" val="r"/>
                      <dgm:param type="txAnchorVert" val="t"/>
                      <dgm:param type="stBulletLvl" val="1"/>
                    </dgm:alg>
                  </dgm:if>
                  <dgm:else name="Name12">
                    <dgm:alg type="tx">
                      <dgm:param type="shpTxLTRAlignCh" val="l"/>
                      <dgm:param type="shpTxRTLAlignCh" val="r"/>
                      <dgm:param type="txAnchorVert" val="t"/>
                      <dgm:param type="stBulletLvl" val="1"/>
                    </dgm:alg>
                  </dgm:else>
                </dgm:choose>
              </dgm:if>
              <dgm:else name="Name13">
                <dgm:choose name="Name14">
                  <dgm:if name="Name15" func="var" arg="dir" op="equ" val="norm">
                    <dgm:alg type="tx">
                      <dgm:param type="shpTxLTRAlignCh" val="l"/>
                      <dgm:param type="shpTxRTLAlignCh" val="r"/>
                      <dgm:param type="txAnchorVert" val="t"/>
                      <dgm:param type="stBulletLvl" val="2"/>
                    </dgm:alg>
                  </dgm:if>
                  <dgm:else name="Name16">
                    <dgm:alg type="tx">
                      <dgm:param type="shpTxLTRAlignCh" val="l"/>
                      <dgm:param type="shpTxRTLAlignCh" val="r"/>
                      <dgm:param type="txAnchorVert" val="t"/>
                      <dgm:param type="stBulletLvl" val="2"/>
                    </dgm:alg>
                  </dgm:else>
                </dgm:choose>
              </dgm:else>
            </dgm:choose>
            <dgm:shape xmlns:r="http://schemas.openxmlformats.org/officeDocument/2006/relationships" type="rect" r:blip="">
              <dgm:adjLst/>
            </dgm:shape>
            <dgm:presOf axis="des"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Parent" styleLbl="alignNode1">
            <dgm:varLst>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9.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6244CB-BD01-4EC1-A75C-FF29B04366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196</TotalTime>
  <Pages>33</Pages>
  <Words>13362</Words>
  <Characters>82449</Characters>
  <Application>Microsoft Office Word</Application>
  <DocSecurity>0</DocSecurity>
  <Lines>2290</Lines>
  <Paragraphs>560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95251</CharactersWithSpaces>
  <SharedDoc>false</SharedDoc>
  <HLinks>
    <vt:vector size="12" baseType="variant">
      <vt:variant>
        <vt:i4>6946868</vt:i4>
      </vt:variant>
      <vt:variant>
        <vt:i4>3</vt:i4>
      </vt:variant>
      <vt:variant>
        <vt:i4>0</vt:i4>
      </vt:variant>
      <vt:variant>
        <vt:i4>5</vt:i4>
      </vt:variant>
      <vt:variant>
        <vt:lpwstr>http://ec.europa.eu/anti_fraud/documents/anti-fraud-policy/research-and-studies/pwc_olaf_study_en.pdf</vt:lpwstr>
      </vt:variant>
      <vt:variant>
        <vt:lpwstr/>
      </vt:variant>
      <vt:variant>
        <vt:i4>6815852</vt:i4>
      </vt:variant>
      <vt:variant>
        <vt:i4>0</vt:i4>
      </vt:variant>
      <vt:variant>
        <vt:i4>0</vt:i4>
      </vt:variant>
      <vt:variant>
        <vt:i4>5</vt:i4>
      </vt:variant>
      <vt:variant>
        <vt:lpwstr>http://ec.europa.eu/anti_fraud/documents/reports-olaf/2013/olaf_report_2013_en.pdf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WES PDFC Administrator</cp:lastModifiedBy>
  <cp:revision>33</cp:revision>
  <cp:lastPrinted>2019-09-09T10:29:00Z</cp:lastPrinted>
  <dcterms:created xsi:type="dcterms:W3CDTF">2019-09-19T06:43:00Z</dcterms:created>
  <dcterms:modified xsi:type="dcterms:W3CDTF">2019-10-22T08:50:00Z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DocStatus">
    <vt:lpwstr>Green</vt:lpwstr>
  </property>
  <property fmtid="{D5CDD505-2E9C-101B-9397-08002B2CF9AE}" pid="5" name="Level of sensitivity">
    <vt:lpwstr>Standard treatment</vt:lpwstr>
  </property>
  <property fmtid="{D5CDD505-2E9C-101B-9397-08002B2CF9AE}" pid="6" name="Last edited using">
    <vt:lpwstr>LW 7.0, Build 20190717</vt:lpwstr>
  </property>
  <property fmtid="{D5CDD505-2E9C-101B-9397-08002B2CF9AE}" pid="7" name="Created using">
    <vt:lpwstr>LW 6.0.1, Build 20180503</vt:lpwstr>
  </property>
  <property fmtid="{D5CDD505-2E9C-101B-9397-08002B2CF9AE}" pid="8" name="CPTemplateID">
    <vt:lpwstr>CP-006</vt:lpwstr>
  </property>
</Properties>
</file>