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6E01476C-213F-499C-AFCA-9745953EBDFE" style="width:450.7pt;height:437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</w:t>
      </w:r>
    </w:p>
    <w:p>
      <w:pPr>
        <w:pStyle w:val="Titrearticle"/>
        <w:spacing w:before="0" w:after="240"/>
        <w:jc w:val="both"/>
        <w:rPr>
          <w:b/>
          <w:i w:val="0"/>
          <w:noProof/>
        </w:rPr>
      </w:pPr>
      <w:r>
        <w:rPr>
          <w:b/>
          <w:i w:val="0"/>
          <w:noProof/>
        </w:rPr>
        <w:t>Az Európai Unió és Dánia kormánya, valamint Grönland helyi kormánya közötti fenntartható halászati partnerségi megállapodásról és jegyzőkönyvről folytatandó tárgyalásokra vonatkozó irányelvek</w:t>
      </w:r>
    </w:p>
    <w:p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A tárgyalások célja olyan, az EU és Grönland közötti fenntartható halászati partnerségi megállapodás és jegyzőkönyv megkötése, amelyek összhangban vannak az 1380/2013/EU rendelettel és a közös halászati politika külpolitikai vetületéről szóló bizottsági közleményre vonatkozó, 2012. március 19-i tanácsi következtetésekkel.</w:t>
      </w:r>
    </w:p>
    <w:p>
      <w:pPr>
        <w:pStyle w:val="Point0number"/>
        <w:rPr>
          <w:noProof/>
        </w:rPr>
      </w:pPr>
      <w:r>
        <w:rPr>
          <w:noProof/>
        </w:rPr>
        <w:t xml:space="preserve">A fenntartható halászati partnerségi megállapodásnak meg kell határoznia a Grönlanddal létrehozandó új partnerség alapját képező keretet, általános elveket és célkitűzéseket. Ezért kell tartalmaznia egy olyan rendelkezést, amely hatályon kívül helyezi a felek közötti jelenlegi halászati partnerségi megállapodást. </w:t>
      </w:r>
    </w:p>
    <w:p>
      <w:pPr>
        <w:pStyle w:val="Point0number"/>
        <w:rPr>
          <w:noProof/>
        </w:rPr>
      </w:pPr>
      <w:r>
        <w:rPr>
          <w:noProof/>
        </w:rPr>
        <w:t>Az új partnerségnek elő kell mozdítania a fenntartható és felelősségteljes halászatot, ugyanakkor kölcsönös előnyöket kell biztosítania az EU és Grönland számára.  A tárgyalások során a Bizottságnak az alábbiakban részletezett célkitűzések megvalósítására kell törekednie:</w:t>
      </w:r>
    </w:p>
    <w:p>
      <w:pPr>
        <w:pStyle w:val="Bullet1"/>
        <w:numPr>
          <w:ilvl w:val="0"/>
          <w:numId w:val="1"/>
        </w:numPr>
        <w:spacing w:before="0"/>
        <w:ind w:left="1418"/>
        <w:rPr>
          <w:noProof/>
        </w:rPr>
      </w:pPr>
      <w:r>
        <w:rPr>
          <w:noProof/>
        </w:rPr>
        <w:t xml:space="preserve">hozzáférés biztosítása Grönland halászati övezetéhez, valamint az uniós flotta számára az övezetben történő halászathoz szükséges engedélyek megszerzése;  </w:t>
      </w:r>
    </w:p>
    <w:p>
      <w:pPr>
        <w:pStyle w:val="Bullet1"/>
        <w:rPr>
          <w:noProof/>
          <w:sz w:val="22"/>
        </w:rPr>
      </w:pPr>
      <w:r>
        <w:rPr>
          <w:noProof/>
        </w:rPr>
        <w:t>a halászati tevékenységek környezeti fenntarthatóságának biztosítása és a nemzetközi szintű óceánpolitikai irányítás előmozdítása, figyelembe véve a rendelkezésre álló legmegalapozottabb tudományos szakvéleményeket és a regionális halászati gazdálkodási szervezetek által elfogadott vonatkozó gazdálkodási terveket. A halászati tevékenységeknek kizárólag a rendelkezésre álló erőforrásokra kell irányulniuk, szem előtt tartva a helyi flotta halászati kapacitását, valamint külön figyelmet fordítva az érintett állományok nagy távolságra vándorló természetére;</w:t>
      </w:r>
    </w:p>
    <w:p>
      <w:pPr>
        <w:pStyle w:val="Bullet1"/>
        <w:spacing w:before="0"/>
        <w:ind w:left="1418"/>
        <w:rPr>
          <w:noProof/>
        </w:rPr>
      </w:pPr>
      <w:r>
        <w:rPr>
          <w:noProof/>
        </w:rPr>
        <w:t>törekvés arra, hogy az EU a halászati többleterőforrásokból megfelelő és az uniós flotta érdekeivel maradéktalanul összhangban álló mértékben részesüljön, amennyiben a szóban forgó erőforrások kiaknázásában harmadik országok flottái is érdekeltek;</w:t>
      </w:r>
    </w:p>
    <w:p>
      <w:pPr>
        <w:pStyle w:val="Bullet1"/>
        <w:rPr>
          <w:noProof/>
        </w:rPr>
      </w:pPr>
      <w:r>
        <w:rPr>
          <w:noProof/>
        </w:rPr>
        <w:t xml:space="preserve">ugyanazon technikai feltételek alkalmazása valamennyi harmadik ország flottájára, figyelembe véve a megállapodás szerinti uniós kvóták egy részének más északi országoknak történő lehetséges átadását; </w:t>
      </w:r>
    </w:p>
    <w:p>
      <w:pPr>
        <w:pStyle w:val="Bullet1"/>
        <w:spacing w:before="0"/>
        <w:ind w:left="1418"/>
        <w:rPr>
          <w:noProof/>
        </w:rPr>
      </w:pPr>
      <w:r>
        <w:rPr>
          <w:noProof/>
        </w:rPr>
        <w:t>annak biztosítása, hogy a halászati erőforrásokhoz való hozzáférés ellenében nyújtandó uniós pénzügyi hozzájárulás az uniós flottának a szóban forgó övezeten belüli eddigi és várható jövőbeli tevékenységein alapuljon, figyelembe véve a legmegalapozottabb és legfrissebb tudományos értékeléseket;</w:t>
      </w:r>
    </w:p>
    <w:p>
      <w:pPr>
        <w:pStyle w:val="Bullet1"/>
        <w:spacing w:before="0"/>
        <w:ind w:left="1418"/>
        <w:rPr>
          <w:noProof/>
        </w:rPr>
      </w:pPr>
      <w:r>
        <w:rPr>
          <w:noProof/>
        </w:rPr>
        <w:t>a felelősségteljes halászati politika Grönland általi végrehajtásának megerősítésére irányuló párbeszéd kialakítása, összhangban az ország fejlesztési céljaival, különösen azokkal, amelyek a halászati tevékenység irányítására, a jogellenes, be nem jelentett és szabályozatlan halászat elleni küzdelemre, a halászati tevékenységek ellenőrzésére, megfigyelésére és felügyeletére, valamint tudományos szakvélemények kibocsátására vonatkoznak;</w:t>
      </w:r>
    </w:p>
    <w:p>
      <w:pPr>
        <w:pStyle w:val="Bullet1"/>
        <w:rPr>
          <w:noProof/>
        </w:rPr>
      </w:pPr>
      <w:r>
        <w:rPr>
          <w:noProof/>
        </w:rPr>
        <w:t xml:space="preserve">egy, az emberi jogok és a demokratikus alapelvek megsértésének következményeire vonatkozó rendelkezés beillesztése; </w:t>
      </w:r>
    </w:p>
    <w:p>
      <w:pPr>
        <w:pStyle w:val="Bullet1"/>
        <w:rPr>
          <w:noProof/>
        </w:rPr>
      </w:pPr>
      <w:r>
        <w:rPr>
          <w:noProof/>
        </w:rPr>
        <w:t>annak biztosítása, hogy a jegyzőkönyv hozzájáruljon a növekedésnek és a tisztességes munkának a tengeri tevékenységekkel összefüggésben történő előmozdításához, figyelembe véve a Nemzetközi Munkaügyi Szervezet (ILO) vonatkozó egyezményeit.</w:t>
      </w:r>
    </w:p>
    <w:p>
      <w:pPr>
        <w:pStyle w:val="Point0number"/>
        <w:rPr>
          <w:noProof/>
        </w:rPr>
      </w:pPr>
      <w:r>
        <w:rPr>
          <w:noProof/>
        </w:rPr>
        <w:t>A jegyzőkönyvnek meg kell határoznia különösen:</w:t>
      </w:r>
    </w:p>
    <w:p>
      <w:pPr>
        <w:pStyle w:val="Bullet1"/>
        <w:spacing w:before="0"/>
        <w:rPr>
          <w:noProof/>
        </w:rPr>
      </w:pPr>
      <w:r>
        <w:rPr>
          <w:noProof/>
        </w:rPr>
        <w:t>az uniós flotta számára biztosítandó halászati lehetőségeket kategóriánkénti bontásban,</w:t>
      </w:r>
    </w:p>
    <w:p>
      <w:pPr>
        <w:pStyle w:val="Bullet1"/>
        <w:spacing w:before="0"/>
        <w:rPr>
          <w:noProof/>
        </w:rPr>
      </w:pPr>
      <w:r>
        <w:rPr>
          <w:noProof/>
        </w:rPr>
        <w:t>a Grönland számára megállapított pénzügyi hozzájárulás mértékét és a vonatkozó fizetési feltételeket; valamint</w:t>
      </w:r>
    </w:p>
    <w:p>
      <w:pPr>
        <w:pStyle w:val="Bullet1"/>
        <w:spacing w:before="0" w:after="240"/>
        <w:rPr>
          <w:noProof/>
        </w:rPr>
      </w:pPr>
      <w:r>
        <w:rPr>
          <w:noProof/>
        </w:rPr>
        <w:t>az ágazati támogatás keretében fizetendő összeget és a támogatás végrehajtására irányuló mechanizmusokat.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23 10:34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6E01476C-213F-499C-AFCA-9745953EBDFE"/>
    <w:docVar w:name="LW_COVERPAGE_TYPE" w:val="1"/>
    <w:docVar w:name="LW_CROSSREFERENCE" w:val="{SWD(2019) 385 final} - {SWD(2019) 386 final}"/>
    <w:docVar w:name="LW_DocType" w:val="ANNEX"/>
    <w:docVar w:name="LW_EMISSION" w:val="2019.10.23."/>
    <w:docVar w:name="LW_EMISSION_ISODATE" w:val="2019-10-23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TANÁCS HATÁROZATA_x000d__x000b__x000b_az Európai Unió és Dánia kormánya, valamint Grönland helyi kormánya közötti fenntartható halászati partnerségi megállapodásra és jegyz\u337?könyvre irányuló tárgyalások megkezdésére való felhatalmazásról"/>
    <w:docVar w:name="LW_OBJETACTEPRINCIPAL.CP" w:val="A TANÁCS HATÁROZATA_x000d__x000b__x000b_az Európai Unió és Dánia kormánya, valamint Grönland helyi kormánya közötti fenntartható halászati partnerségi megállapodásra és jegyz\u337?könyvre irányuló tárgyalások megkezdésére való felhatalmazásról"/>
    <w:docVar w:name="LW_PART_NBR" w:val="1"/>
    <w:docVar w:name="LW_PART_NBR_TOTAL" w:val="1"/>
    <w:docVar w:name="LW_REF.INST.NEW" w:val="COM"/>
    <w:docVar w:name="LW_REF.INST.NEW_ADOPTED" w:val="final"/>
    <w:docVar w:name="LW_REF.INST.NEW_TEXT" w:val="(2019) 4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Ajánlás"/>
    <w:docVar w:name="LW_TYPEACTEPRINCIPAL.CP" w:val="Ajánlá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7153-BBE1-482D-A6C2-CAC5B623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423</Words>
  <Characters>3306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DEBIEUVRE Marie (MARE)</dc:creator>
  <cp:keywords/>
  <dc:description/>
  <cp:lastModifiedBy>DIGIT/C6</cp:lastModifiedBy>
  <cp:revision>10</cp:revision>
  <cp:lastPrinted>2019-05-20T12:37:00Z</cp:lastPrinted>
  <dcterms:created xsi:type="dcterms:W3CDTF">2019-10-17T13:10:00Z</dcterms:created>
  <dcterms:modified xsi:type="dcterms:W3CDTF">2019-10-23T08:34:00Z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