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89273C6-613F-421B-8506-FFBFF9D57A3B" style="width:450.8pt;height:37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 xml:space="preserve">This proposal concerns the decision establishing the position to be taken on the Union's behalf in the </w:t>
      </w:r>
      <w:r>
        <w:rPr>
          <w:noProof/>
          <w:szCs w:val="24"/>
        </w:rPr>
        <w:t xml:space="preserve">thirty-ninth annual meeting of the Standing Committee of the </w:t>
      </w:r>
      <w:r>
        <w:rPr>
          <w:rFonts w:eastAsia="Arial Unicode MS"/>
          <w:noProof/>
        </w:rPr>
        <w:t>Convention on the conservation of European wildlife and natural habitats</w:t>
      </w:r>
      <w:r>
        <w:rPr>
          <w:noProof/>
          <w:szCs w:val="24"/>
        </w:rPr>
        <w:t>, Strasbourg, France, 3-6 December 2019,</w:t>
      </w:r>
      <w:r>
        <w:rPr>
          <w:rFonts w:eastAsia="Arial Unicode MS"/>
          <w:noProof/>
        </w:rPr>
        <w:t xml:space="preserve"> in connection with the envisaged adoption </w:t>
      </w:r>
      <w:r>
        <w:rPr>
          <w:rFonts w:eastAsia="Arial Unicode MS"/>
          <w:noProof/>
          <w:szCs w:val="24"/>
        </w:rPr>
        <w:t>by the Standing Committee of a decision concerning two amendments of Appendix II and Appendix III to the Convention.</w:t>
      </w:r>
    </w:p>
    <w:p>
      <w:pPr>
        <w:pStyle w:val="ManualHeading1"/>
        <w:rPr>
          <w:noProof/>
        </w:rPr>
      </w:pPr>
      <w:r>
        <w:t>2.</w:t>
      </w:r>
      <w:r>
        <w:tab/>
      </w:r>
      <w:r>
        <w:rPr>
          <w:noProof/>
        </w:rPr>
        <w:t>Context of the proposal</w:t>
      </w:r>
    </w:p>
    <w:p>
      <w:pPr>
        <w:pStyle w:val="ManualHeading2"/>
        <w:rPr>
          <w:noProof/>
        </w:rPr>
      </w:pPr>
      <w:r>
        <w:t>2.1.</w:t>
      </w:r>
      <w:r>
        <w:tab/>
      </w:r>
      <w:r>
        <w:rPr>
          <w:noProof/>
        </w:rPr>
        <w:t>The Convention on the conservation of European wildlife and natural habitats</w:t>
      </w:r>
    </w:p>
    <w:p>
      <w:pPr>
        <w:rPr>
          <w:rFonts w:eastAsia="Arial Unicode MS"/>
          <w:noProof/>
        </w:rPr>
      </w:pPr>
      <w:r>
        <w:rPr>
          <w:rFonts w:eastAsia="Arial Unicode MS"/>
          <w:noProof/>
        </w:rPr>
        <w:t>The Convention on the conservation of European wildlife and natural habitats ("the Convention") aims to conserve European wild flora and fauna and their natural habitats, especially those whose conservation requires the co-operation of several States. It is an intergovernmental treaty, concluded under the aegis of the Council of Europe. The Convention entered into force on 1 June 1982</w:t>
      </w:r>
      <w:r>
        <w:t>.</w:t>
      </w:r>
    </w:p>
    <w:p>
      <w:pPr>
        <w:rPr>
          <w:rFonts w:eastAsia="Arial Unicode MS"/>
          <w:noProof/>
        </w:rPr>
      </w:pPr>
      <w:r>
        <w:rPr>
          <w:rFonts w:eastAsia="Arial Unicode MS"/>
          <w:noProof/>
        </w:rPr>
        <w:t>The European Union is a Contracting Party to this Convention since 1 September, 1982</w:t>
      </w:r>
      <w:r>
        <w:rPr>
          <w:rStyle w:val="FootnoteReference"/>
          <w:noProof/>
        </w:rPr>
        <w:footnoteReference w:id="1"/>
      </w:r>
      <w:r>
        <w:rPr>
          <w:rFonts w:eastAsia="Arial Unicode MS"/>
          <w:noProof/>
        </w:rPr>
        <w:t>.</w:t>
      </w:r>
      <w:r>
        <w:rPr>
          <w:noProof/>
        </w:rPr>
        <w:t xml:space="preserve"> At present,</w:t>
      </w:r>
      <w:r>
        <w:rPr>
          <w:rFonts w:eastAsia="Arial Unicode MS"/>
          <w:noProof/>
        </w:rPr>
        <w:t xml:space="preserve"> there are 51 Contracting Parties to the Convention, including all EU</w:t>
      </w:r>
      <w:r>
        <w:rPr>
          <w:rFonts w:eastAsia="Arial Unicode MS"/>
          <w:noProof/>
          <w:color w:val="000000"/>
        </w:rPr>
        <w:t xml:space="preserve"> </w:t>
      </w:r>
      <w:r>
        <w:rPr>
          <w:rFonts w:eastAsia="Arial Unicode MS"/>
          <w:noProof/>
        </w:rPr>
        <w:t>Member States.</w:t>
      </w:r>
    </w:p>
    <w:p>
      <w:pPr>
        <w:pStyle w:val="ManualHeading2"/>
        <w:rPr>
          <w:noProof/>
        </w:rPr>
      </w:pPr>
      <w:r>
        <w:t>2.2.</w:t>
      </w:r>
      <w:r>
        <w:tab/>
      </w:r>
      <w:r>
        <w:rPr>
          <w:noProof/>
        </w:rPr>
        <w:t>The Standing Committee</w:t>
      </w:r>
    </w:p>
    <w:p>
      <w:pPr>
        <w:rPr>
          <w:noProof/>
          <w:szCs w:val="24"/>
        </w:rPr>
      </w:pPr>
      <w:r>
        <w:rPr>
          <w:noProof/>
        </w:rPr>
        <w:t xml:space="preserve">The Standing Committee is the decision-making organ of the Convention having powers to assess the conservation status of species and, subsequently, to review the listing of them in the Appendices to the Convention. </w:t>
      </w:r>
      <w:r>
        <w:rPr>
          <w:noProof/>
          <w:color w:val="222222"/>
          <w:szCs w:val="24"/>
          <w:shd w:val="clear" w:color="auto" w:fill="FFFFFF"/>
        </w:rPr>
        <w:t xml:space="preserve">Its functions are enumerated in Articles 13-15 of the Convention. </w:t>
      </w:r>
      <w:r>
        <w:rPr>
          <w:noProof/>
          <w:szCs w:val="24"/>
        </w:rPr>
        <w:t>It meets at least every two years and whenever a majority of the Contracting Parties so request. It has become customary for the Standing Committee to meet every year.</w:t>
      </w:r>
    </w:p>
    <w:p>
      <w:pPr>
        <w:rPr>
          <w:noProof/>
        </w:rPr>
      </w:pPr>
      <w:r>
        <w:rPr>
          <w:noProof/>
        </w:rPr>
        <w:t xml:space="preserve">In accordance with Article 17 of the Convention, an amendment to the Appendices shall be adopted by two-thirds majority of the Contracting Parties. </w:t>
      </w:r>
    </w:p>
    <w:p>
      <w:pPr>
        <w:pStyle w:val="ManualHeading2"/>
        <w:rPr>
          <w:noProof/>
        </w:rPr>
      </w:pPr>
      <w:r>
        <w:t>2.3.</w:t>
      </w:r>
      <w:r>
        <w:tab/>
      </w:r>
      <w:r>
        <w:rPr>
          <w:noProof/>
        </w:rPr>
        <w:t>The envisaged act of the Standing Committee</w:t>
      </w:r>
    </w:p>
    <w:p>
      <w:pPr>
        <w:rPr>
          <w:rFonts w:eastAsia="Arial Unicode MS"/>
          <w:noProof/>
        </w:rPr>
      </w:pPr>
      <w:r>
        <w:rPr>
          <w:noProof/>
          <w:szCs w:val="24"/>
        </w:rPr>
        <w:t xml:space="preserve">On 3-6 December 2019, the thirty-ninth annual meeting of the Standing Committee of the Convention, in Strasbourg, France, </w:t>
      </w:r>
      <w:r>
        <w:rPr>
          <w:rFonts w:eastAsia="Arial Unicode MS"/>
          <w:noProof/>
          <w:szCs w:val="24"/>
        </w:rPr>
        <w:t>is expected t</w:t>
      </w:r>
      <w:r>
        <w:rPr>
          <w:rFonts w:eastAsia="Arial Unicode MS"/>
          <w:noProof/>
        </w:rPr>
        <w:t>o adopt a decision regarding</w:t>
      </w:r>
      <w:r>
        <w:rPr>
          <w:rFonts w:eastAsia="Arial Unicode MS"/>
          <w:noProof/>
          <w:szCs w:val="24"/>
        </w:rPr>
        <w:t xml:space="preserve"> amendments of Appendix II and Appendix III to the</w:t>
      </w:r>
      <w:r>
        <w:rPr>
          <w:rFonts w:eastAsia="Arial Unicode MS"/>
          <w:noProof/>
        </w:rPr>
        <w:t xml:space="preserve"> Convention (‘the envisaged act’).</w:t>
      </w:r>
    </w:p>
    <w:p>
      <w:pPr>
        <w:rPr>
          <w:rFonts w:eastAsia="Arial Unicode MS"/>
          <w:noProof/>
        </w:rPr>
      </w:pPr>
      <w:r>
        <w:rPr>
          <w:rFonts w:eastAsia="Arial Unicode MS"/>
          <w:noProof/>
        </w:rPr>
        <w:t>The purpose of the envisaged act is to</w:t>
      </w:r>
      <w:r>
        <w:t xml:space="preserve"> </w:t>
      </w:r>
      <w:r>
        <w:rPr>
          <w:rFonts w:eastAsia="Arial Unicode MS"/>
          <w:noProof/>
        </w:rPr>
        <w:t>amend Appendix II and Appendix III to the Convention, as provided for in Article 17 of the Convention</w:t>
      </w:r>
      <w:r>
        <w:t>.</w:t>
      </w:r>
    </w:p>
    <w:p>
      <w:pPr>
        <w:rPr>
          <w:rFonts w:eastAsia="Arial Unicode MS"/>
          <w:noProof/>
        </w:rPr>
      </w:pPr>
      <w:r>
        <w:rPr>
          <w:noProof/>
        </w:rPr>
        <w:t>In accordance with Article 17 of the Convention, the envisaged act shall enter into force for all Parties three months after the adoption by the Standing Committee unless one-third of the Contracting Parties have notified objections. Any amendment enters into force for those Contracting Parties which have not notified objections</w:t>
      </w:r>
      <w:r>
        <w:rPr>
          <w:noProof/>
          <w:szCs w:val="24"/>
        </w:rPr>
        <w:t>.</w:t>
      </w:r>
    </w:p>
    <w:p>
      <w:pPr>
        <w:pStyle w:val="ManualHeading1"/>
        <w:rPr>
          <w:noProof/>
        </w:rPr>
      </w:pPr>
      <w:r>
        <w:t>3.</w:t>
      </w:r>
      <w:r>
        <w:tab/>
      </w:r>
      <w:r>
        <w:rPr>
          <w:noProof/>
        </w:rPr>
        <w:t>Position to be taken on the Union's behalf</w:t>
      </w:r>
    </w:p>
    <w:p>
      <w:pPr>
        <w:rPr>
          <w:noProof/>
          <w:szCs w:val="24"/>
        </w:rPr>
      </w:pPr>
      <w:r>
        <w:rPr>
          <w:noProof/>
          <w:szCs w:val="24"/>
        </w:rPr>
        <w:t>Norway submitted a proposal to move the Barnacle Goose (</w:t>
      </w:r>
      <w:r>
        <w:rPr>
          <w:i/>
          <w:noProof/>
          <w:szCs w:val="24"/>
        </w:rPr>
        <w:t>Branta leucopsis</w:t>
      </w:r>
      <w:r>
        <w:rPr>
          <w:noProof/>
          <w:szCs w:val="24"/>
        </w:rPr>
        <w:t xml:space="preserve">) from Appendix II (strictly protected fauna species) to Appendix III (protected fauna species – regulation is possible).  The justification in support of the proposal is that the total population size of the Barnacle Goose has multiplied over ten times from the 1980s to 2010 (from 112,000 to </w:t>
      </w:r>
      <w:r>
        <w:rPr>
          <w:noProof/>
          <w:szCs w:val="24"/>
        </w:rPr>
        <w:lastRenderedPageBreak/>
        <w:t>1,319,000), including as a result of the intensification of agriculture that has made available large quantities of feed</w:t>
      </w:r>
      <w:r>
        <w:rPr>
          <w:rStyle w:val="FootnoteReference"/>
          <w:noProof/>
          <w:szCs w:val="24"/>
        </w:rPr>
        <w:footnoteReference w:id="2"/>
      </w:r>
      <w:r>
        <w:rPr>
          <w:noProof/>
          <w:szCs w:val="24"/>
        </w:rPr>
        <w:t>. Therefore, the species is no longer in need of strict protection throughout its range.</w:t>
      </w:r>
    </w:p>
    <w:p>
      <w:pPr>
        <w:rPr>
          <w:noProof/>
          <w:szCs w:val="24"/>
        </w:rPr>
      </w:pPr>
      <w:r>
        <w:rPr>
          <w:noProof/>
          <w:szCs w:val="24"/>
        </w:rPr>
        <w:t>The subject matter of the envisaged decision of the Standing Committee concerns an area of EU exclusive external competence pursuant to Article 3(2) TFEU since it falls within an area already largely covered by internal common rules (i.e. the Birds Directive). It is therefore necessary for the Council to take a decision for the purpose of establishing the positions to be adopted on behalf of the Union in the thirty-ninth meeting of the Standing Committee with regard to the envisaged act.</w:t>
      </w:r>
    </w:p>
    <w:p>
      <w:r>
        <w:rPr>
          <w:noProof/>
          <w:szCs w:val="24"/>
        </w:rPr>
        <w:t>This proposal is not in line with the current legal protection status of Barnacle Goose under the Birds Directive as it is not listed in its Annex II (huntable species). The species is listed in Annex I of the Birds Directive (i.e. requiring designation of Special Protection Areas).</w:t>
      </w:r>
    </w:p>
    <w:p>
      <w:r>
        <w:rPr>
          <w:noProof/>
          <w:szCs w:val="24"/>
        </w:rPr>
        <w:t>A draft Single Species Management Plan for the Barnacle Goose was adopted at the 7</w:t>
      </w:r>
      <w:r>
        <w:rPr>
          <w:noProof/>
          <w:szCs w:val="24"/>
          <w:vertAlign w:val="superscript"/>
        </w:rPr>
        <w:t>th</w:t>
      </w:r>
      <w:r>
        <w:rPr>
          <w:noProof/>
          <w:szCs w:val="24"/>
        </w:rPr>
        <w:t xml:space="preserve"> Meeting of the Parties of the African-Eurasian Waterbird Agreement (AEWA) in December 2018 to address the very rapid population increase, particularly the resulting problems caused by the species (agricultural damage and risks to air safety). The Plan provide a framework for assisting the decision-making process in range states concerning the application of derogations, including a regular assessment of the cumulative impact of derogations, monitoring of the status of the population as well as the evolution of agricultural damage or risks to air safety. It should facilitate the sharing of information and potentially the co-ordination of derogation measures among range states to increase their efficiency and avoid unintended effects at flyway level.</w:t>
      </w:r>
    </w:p>
    <w:p>
      <w:pPr>
        <w:rPr>
          <w:noProof/>
          <w:szCs w:val="24"/>
        </w:rPr>
      </w:pPr>
      <w:r>
        <w:rPr>
          <w:noProof/>
        </w:rPr>
        <w:t xml:space="preserve">The Union should support the </w:t>
      </w:r>
      <w:r>
        <w:rPr>
          <w:noProof/>
          <w:szCs w:val="24"/>
        </w:rPr>
        <w:t xml:space="preserve">Norwegian amendment </w:t>
      </w:r>
      <w:r>
        <w:rPr>
          <w:noProof/>
        </w:rPr>
        <w:t xml:space="preserve">proposal </w:t>
      </w:r>
      <w:r>
        <w:rPr>
          <w:noProof/>
          <w:szCs w:val="24"/>
        </w:rPr>
        <w:t>to address the very rapid population increase of this species, particularly the resulting problems caused by the species (agricultural damage and risks to air safety), so that the non-EU parties to the Convention can apply population management measures, including hunting of this species as needed. However, since an amendment of the Annexes of the Birds Directive is currently not foreseen or possible within the short time frame required by the Convention (90 days), the Union will have to indicate that, for the time being, it will apply stricter protection measures, as provided for in Article 12 of the Convention.</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xml:space="preserve">’ includes acts that have legal effects by virtue of the rules of international law governing the body in question. It also includes instruments that do </w:t>
      </w:r>
      <w:r>
        <w:rPr>
          <w:noProof/>
        </w:rPr>
        <w:lastRenderedPageBreak/>
        <w:t>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3"/>
      </w:r>
      <w:r>
        <w:rPr>
          <w:noProof/>
        </w:rPr>
        <w:t>.</w:t>
      </w:r>
    </w:p>
    <w:p>
      <w:pPr>
        <w:pStyle w:val="ManualHeading3"/>
        <w:rPr>
          <w:noProof/>
        </w:rPr>
      </w:pPr>
      <w:r>
        <w:t>4.1.2.</w:t>
      </w:r>
      <w:r>
        <w:tab/>
      </w:r>
      <w:r>
        <w:rPr>
          <w:noProof/>
        </w:rPr>
        <w:t>Application to the present case</w:t>
      </w:r>
    </w:p>
    <w:p>
      <w:pPr>
        <w:rPr>
          <w:noProof/>
        </w:rPr>
      </w:pPr>
      <w:r>
        <w:rPr>
          <w:noProof/>
        </w:rPr>
        <w:t>The Standing Committee is a body set up by the Convention.</w:t>
      </w:r>
    </w:p>
    <w:p>
      <w:r>
        <w:rPr>
          <w:noProof/>
        </w:rPr>
        <w:t xml:space="preserve">The act which the Standing Committee is called upon to adopt constitutes an act having legal effects. The envisaged act will be binding under international law in accordance with Article 6 of the </w:t>
      </w:r>
      <w:r>
        <w:rPr>
          <w:rFonts w:eastAsia="Arial Unicode MS"/>
          <w:noProof/>
          <w:szCs w:val="24"/>
        </w:rPr>
        <w:t>Convention</w:t>
      </w:r>
      <w:r>
        <w:rPr>
          <w:rStyle w:val="normal10"/>
          <w:noProof/>
          <w:szCs w:val="24"/>
        </w:rPr>
        <w:t>.</w:t>
      </w:r>
    </w:p>
    <w:p>
      <w:pPr>
        <w:rPr>
          <w:noProof/>
        </w:rPr>
      </w:pPr>
      <w:r>
        <w:rPr>
          <w:noProof/>
        </w:rPr>
        <w:t>The envisaged act does not supplement or amend the institutional framework of the Convention.</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rPr>
      </w:pPr>
      <w:r>
        <w:rPr>
          <w:noProof/>
        </w:rPr>
        <w:t>The main objective and content of the envisaged act relate to environment.</w:t>
      </w:r>
    </w:p>
    <w:p>
      <w:pPr>
        <w:rPr>
          <w:noProof/>
        </w:rPr>
      </w:pPr>
      <w:r>
        <w:rPr>
          <w:noProof/>
        </w:rPr>
        <w:t>Therefore, the substantive legal basis of the proposed decision is 192(1).</w:t>
      </w:r>
    </w:p>
    <w:p>
      <w:pPr>
        <w:pStyle w:val="ManualHeading2"/>
        <w:rPr>
          <w:noProof/>
        </w:rPr>
      </w:pPr>
      <w:r>
        <w:t>4.3.</w:t>
      </w:r>
      <w:r>
        <w:tab/>
      </w:r>
      <w:r>
        <w:rPr>
          <w:noProof/>
        </w:rPr>
        <w:t>Conclusion</w:t>
      </w:r>
    </w:p>
    <w:p>
      <w:pPr>
        <w:rPr>
          <w:noProof/>
        </w:rPr>
      </w:pPr>
      <w:r>
        <w:rPr>
          <w:noProof/>
        </w:rPr>
        <w:t>The legal basis of the proposed decision should be 192(1) in conjunction with Article 218(9) TFEU.</w:t>
      </w:r>
    </w:p>
    <w:p>
      <w:pPr>
        <w:pStyle w:val="ManualHeading1"/>
        <w:rPr>
          <w:noProof/>
        </w:rPr>
      </w:pPr>
      <w:r>
        <w:t>5.</w:t>
      </w:r>
      <w:r>
        <w:tab/>
      </w:r>
      <w:r>
        <w:rPr>
          <w:noProof/>
        </w:rPr>
        <w:t>Publication of the envisaged act</w:t>
      </w:r>
    </w:p>
    <w:p>
      <w:pPr>
        <w:rPr>
          <w:b/>
          <w:noProof/>
          <w:u w:val="single"/>
        </w:rPr>
      </w:pPr>
      <w:r>
        <w:rPr>
          <w:noProof/>
        </w:rPr>
        <w:t xml:space="preserve">As the act of the Standing Committee will amend Appendices II and III of the Convention, it is appropriate to publish it in the </w:t>
      </w:r>
      <w:r>
        <w:rPr>
          <w:i/>
          <w:noProof/>
        </w:rPr>
        <w:t xml:space="preserve">Official Journal of the European Union </w:t>
      </w:r>
      <w:r>
        <w:rPr>
          <w:noProof/>
        </w:rPr>
        <w:t>after its adoption.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2019/0241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thirty-ninth meeting of the Standing Committee of the Convention on the Conservation of European Wildlife and Natural Habitats, with regards to amendments to Appendices II and III to that Convention</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192(1),</w:t>
      </w:r>
      <w:r>
        <w:t xml:space="preserve"> </w:t>
      </w:r>
      <w:r>
        <w:rPr>
          <w:noProof/>
        </w:rPr>
        <w:t>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 xml:space="preserve">The Convention on the conservation of European wildlife and natural habitats ('the Convention') </w:t>
      </w:r>
      <w:r>
        <w:rPr>
          <w:noProof/>
          <w:color w:val="000000"/>
        </w:rPr>
        <w:t xml:space="preserve">was concluded by the Union by </w:t>
      </w:r>
      <w:r>
        <w:rPr>
          <w:noProof/>
        </w:rPr>
        <w:t>Council Decision 82/72/EEC</w:t>
      </w:r>
      <w:r>
        <w:rPr>
          <w:rStyle w:val="FootnoteReference"/>
          <w:noProof/>
        </w:rPr>
        <w:footnoteReference w:id="4"/>
      </w:r>
      <w:r>
        <w:rPr>
          <w:noProof/>
        </w:rPr>
        <w:t xml:space="preserve"> and entered into force on 1 September 1982.</w:t>
      </w:r>
    </w:p>
    <w:p>
      <w:pPr>
        <w:pStyle w:val="ManualConsidrant"/>
        <w:rPr>
          <w:noProof/>
        </w:rPr>
      </w:pPr>
      <w:r>
        <w:t>(2)</w:t>
      </w:r>
      <w:r>
        <w:tab/>
      </w:r>
      <w:r>
        <w:rPr>
          <w:noProof/>
        </w:rPr>
        <w:t>Pursuant to Article 17 of the Convention, the Standing Committee may adopt amendments to the appendices to the Convention.</w:t>
      </w:r>
    </w:p>
    <w:p>
      <w:pPr>
        <w:pStyle w:val="ManualConsidrant"/>
        <w:rPr>
          <w:noProof/>
        </w:rPr>
      </w:pPr>
      <w:r>
        <w:t>(3)</w:t>
      </w:r>
      <w:r>
        <w:tab/>
      </w:r>
      <w:r>
        <w:rPr>
          <w:noProof/>
          <w:color w:val="000000"/>
        </w:rPr>
        <w:t xml:space="preserve">The </w:t>
      </w:r>
      <w:r>
        <w:rPr>
          <w:noProof/>
        </w:rPr>
        <w:t>Standing Committee,</w:t>
      </w:r>
      <w:r>
        <w:rPr>
          <w:noProof/>
          <w:color w:val="000000"/>
        </w:rPr>
        <w:t xml:space="preserve"> during its </w:t>
      </w:r>
      <w:r>
        <w:rPr>
          <w:noProof/>
        </w:rPr>
        <w:t xml:space="preserve">thirty-ninth </w:t>
      </w:r>
      <w:r>
        <w:rPr>
          <w:noProof/>
          <w:color w:val="000000"/>
        </w:rPr>
        <w:t xml:space="preserve">meeting on 3-6 December 2019, is to adopt </w:t>
      </w:r>
      <w:r>
        <w:rPr>
          <w:noProof/>
        </w:rPr>
        <w:t>a decision</w:t>
      </w:r>
      <w:r>
        <w:rPr>
          <w:i/>
          <w:noProof/>
          <w:color w:val="000000"/>
        </w:rPr>
        <w:t xml:space="preserve"> </w:t>
      </w:r>
      <w:r>
        <w:rPr>
          <w:noProof/>
          <w:color w:val="000000"/>
        </w:rPr>
        <w:t xml:space="preserve">on </w:t>
      </w:r>
      <w:r>
        <w:rPr>
          <w:noProof/>
        </w:rPr>
        <w:t>the proposed amendments to Appendix II and Appendix III to the Convention.</w:t>
      </w:r>
    </w:p>
    <w:p>
      <w:pPr>
        <w:pStyle w:val="ManualConsidrant"/>
        <w:rPr>
          <w:noProof/>
        </w:rPr>
      </w:pPr>
      <w:r>
        <w:t>(4)</w:t>
      </w:r>
      <w:r>
        <w:tab/>
      </w:r>
      <w:r>
        <w:rPr>
          <w:noProof/>
        </w:rPr>
        <w:t>It is appropriate to establish the position to be taken on the Union's behalf in the Standing Committe</w:t>
      </w:r>
      <w:r>
        <w:rPr>
          <w:noProof/>
          <w:color w:val="000000" w:themeColor="text1"/>
        </w:rPr>
        <w:t>e</w:t>
      </w:r>
      <w:r>
        <w:rPr>
          <w:noProof/>
        </w:rPr>
        <w:t>,</w:t>
      </w:r>
      <w:r>
        <w:rPr>
          <w:noProof/>
          <w:color w:val="000000" w:themeColor="text1"/>
        </w:rPr>
        <w:t xml:space="preserve"> </w:t>
      </w:r>
      <w:r>
        <w:rPr>
          <w:noProof/>
        </w:rPr>
        <w:t>as its decision will be binding on the Union.</w:t>
      </w:r>
    </w:p>
    <w:p>
      <w:pPr>
        <w:pStyle w:val="ManualConsidrant"/>
        <w:rPr>
          <w:noProof/>
        </w:rPr>
      </w:pPr>
      <w:r>
        <w:t>(5)</w:t>
      </w:r>
      <w:r>
        <w:tab/>
      </w:r>
      <w:r>
        <w:rPr>
          <w:noProof/>
        </w:rPr>
        <w:t xml:space="preserve">Norway submitted a proposal to move </w:t>
      </w:r>
      <w:r>
        <w:rPr>
          <w:i/>
          <w:noProof/>
        </w:rPr>
        <w:t>Branta leucopsis</w:t>
      </w:r>
      <w:r>
        <w:rPr>
          <w:noProof/>
        </w:rPr>
        <w:t xml:space="preserve"> from Appendix II to Appendix III to the Convention.</w:t>
      </w:r>
    </w:p>
    <w:p>
      <w:pPr>
        <w:pStyle w:val="ManualConsidrant"/>
        <w:rPr>
          <w:noProof/>
        </w:rPr>
      </w:pPr>
      <w:r>
        <w:t>(6)</w:t>
      </w:r>
      <w:r>
        <w:tab/>
      </w:r>
      <w:r>
        <w:rPr>
          <w:noProof/>
        </w:rPr>
        <w:t xml:space="preserve">In view of the very rapid population increase of this species across its range, the Union should support this proposal. However, the proposal is not aligned with the current protection status of </w:t>
      </w:r>
      <w:r>
        <w:rPr>
          <w:i/>
          <w:noProof/>
        </w:rPr>
        <w:t>Branta leucopsis</w:t>
      </w:r>
      <w:r>
        <w:rPr>
          <w:noProof/>
        </w:rPr>
        <w:t xml:space="preserve"> under Directive 2009/147/EC of the European Parliament and of the Council</w:t>
      </w:r>
      <w:r>
        <w:rPr>
          <w:rStyle w:val="FootnoteReference"/>
          <w:noProof/>
          <w:szCs w:val="24"/>
        </w:rPr>
        <w:footnoteReference w:id="5"/>
      </w:r>
      <w:r>
        <w:rPr>
          <w:noProof/>
        </w:rPr>
        <w:t>. As an amendment of Directive 2009/147/EC is not foreseen and is not possible within the time limit of three months after the adoption of the decision of the Standing Committee, laid down in the Convention, the Union for the time being needs to apply stricter conservation measures, as provided for in Article 12 of the Convention.</w:t>
      </w:r>
    </w:p>
    <w:p>
      <w:pPr>
        <w:pStyle w:val="Formuledadoption"/>
        <w:rPr>
          <w:noProof/>
        </w:rPr>
      </w:pPr>
      <w:r>
        <w:rPr>
          <w:noProof/>
        </w:rPr>
        <w:lastRenderedPageBreak/>
        <w:t>HAS ADOPTED THIS DECISION:</w:t>
      </w:r>
    </w:p>
    <w:p>
      <w:pPr>
        <w:pStyle w:val="Titrearticle"/>
        <w:rPr>
          <w:noProof/>
        </w:rPr>
      </w:pPr>
      <w:r>
        <w:rPr>
          <w:noProof/>
        </w:rPr>
        <w:t>Article 1</w:t>
      </w:r>
    </w:p>
    <w:p>
      <w:pPr>
        <w:rPr>
          <w:noProof/>
          <w:lang w:val="cs-CZ"/>
        </w:rPr>
      </w:pPr>
      <w:r>
        <w:rPr>
          <w:noProof/>
        </w:rPr>
        <w:t xml:space="preserve">The position to be taken on the Union's behalf in the thirty-ninth meeting of the Standing Committee of the Convention on the conservation European wildlife and natural habitats, shall be to support the proposal to move </w:t>
      </w:r>
      <w:r>
        <w:rPr>
          <w:i/>
          <w:noProof/>
        </w:rPr>
        <w:t>Branta leucopsis</w:t>
      </w:r>
      <w:r>
        <w:rPr>
          <w:noProof/>
        </w:rPr>
        <w:t xml:space="preserve"> from Appendix II to Appendix III thereto and to indicate to the Contracting Parties to the Convention that, </w:t>
      </w:r>
      <w:r>
        <w:rPr>
          <w:noProof/>
          <w:szCs w:val="24"/>
        </w:rPr>
        <w:t>for the time being, the Union intends to apply stricter conservation measures for this species, as provided for in Article 12 of the Convention</w:t>
      </w:r>
      <w:r>
        <w:rPr>
          <w:noProof/>
        </w:rPr>
        <w:t>.</w:t>
      </w:r>
    </w:p>
    <w:p>
      <w:pPr>
        <w:pStyle w:val="Titrearticle"/>
        <w:rPr>
          <w:noProof/>
        </w:rPr>
      </w:pPr>
      <w:r>
        <w:rPr>
          <w:noProof/>
        </w:rPr>
        <w:t>Article 2</w:t>
      </w:r>
    </w:p>
    <w:p>
      <w:pPr>
        <w:rPr>
          <w:noProof/>
        </w:rPr>
      </w:pPr>
      <w:r>
        <w:rPr>
          <w:noProof/>
        </w:rPr>
        <w:t>This Decision is addressed to the Commission</w:t>
      </w:r>
      <w:r>
        <w:rPr>
          <w:i/>
          <w:noProof/>
        </w:rPr>
        <w:t>.</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82/72/EEC of 3 December 1981 on the conclusion on behalf of the Community of the Convention on the Conservation of European Wildlife and Natural Habitats, OJ L 38, 10.2.1982, p. 1.</w:t>
      </w:r>
    </w:p>
  </w:footnote>
  <w:footnote w:id="2">
    <w:p>
      <w:pPr>
        <w:pStyle w:val="NormalWeb"/>
        <w:ind w:left="567" w:hanging="567"/>
      </w:pPr>
      <w:r>
        <w:rPr>
          <w:rStyle w:val="FootnoteReference"/>
        </w:rPr>
        <w:footnoteRef/>
      </w:r>
      <w:r>
        <w:tab/>
      </w:r>
      <w:r>
        <w:rPr>
          <w:i/>
          <w:iCs/>
        </w:rPr>
        <w:t>International Single Species Management Plan for the Barnacle Goose</w:t>
      </w:r>
      <w:r>
        <w:t xml:space="preserve">, AEWA Technical Series No. 70, Dec. 2018, </w:t>
      </w:r>
      <w:hyperlink r:id="rId1" w:history="1">
        <w:r>
          <w:rPr>
            <w:rStyle w:val="Hyperlink"/>
          </w:rPr>
          <w:t>www.unep-aewa.org/sites/default/files/publication/ts70_issmp_barnacle%20goose_complete.pdf</w:t>
        </w:r>
      </w:hyperlink>
      <w:r>
        <w:t>, p. 13.</w:t>
      </w:r>
    </w:p>
  </w:footnote>
  <w:footnote w:id="3">
    <w:p>
      <w:pPr>
        <w:pStyle w:val="FootnoteText"/>
      </w:pPr>
      <w:r>
        <w:rPr>
          <w:rStyle w:val="FootnoteReference"/>
        </w:rPr>
        <w:footnoteRef/>
      </w:r>
      <w:r>
        <w:tab/>
        <w:t xml:space="preserve">Judgment of the Court of Justice of 7 October 2014, Germany v Council, C-399/12, ECLI:EU:C:2014:2258, paragraphs 61 to 64. </w:t>
      </w:r>
    </w:p>
  </w:footnote>
  <w:footnote w:id="4">
    <w:p>
      <w:pPr>
        <w:pStyle w:val="FootnoteText"/>
      </w:pPr>
      <w:r>
        <w:rPr>
          <w:rStyle w:val="FootnoteReference"/>
        </w:rPr>
        <w:footnoteRef/>
      </w:r>
      <w:r>
        <w:tab/>
        <w:t>OJ L 38, 10.2.1982, p. 1.</w:t>
      </w:r>
    </w:p>
  </w:footnote>
  <w:footnote w:id="5">
    <w:p>
      <w:pPr>
        <w:pStyle w:val="FootnoteText"/>
      </w:pPr>
      <w:r>
        <w:rPr>
          <w:rStyle w:val="FootnoteReference"/>
        </w:rPr>
        <w:footnoteRef/>
      </w:r>
      <w:r>
        <w:tab/>
        <w:t>Directive 2009/147/EC of the European Parliament and of the Council of 30 November 2009 on the conservation of wild birds (OJ L 20, 26.1.2010, p.7)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49A00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242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5C4E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444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CC1A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5F670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F94B628"/>
    <w:lvl w:ilvl="0">
      <w:start w:val="1"/>
      <w:numFmt w:val="decimal"/>
      <w:pStyle w:val="ListNumber"/>
      <w:lvlText w:val="%1."/>
      <w:lvlJc w:val="left"/>
      <w:pPr>
        <w:tabs>
          <w:tab w:val="num" w:pos="360"/>
        </w:tabs>
        <w:ind w:left="360" w:hanging="360"/>
      </w:pPr>
    </w:lvl>
  </w:abstractNum>
  <w:abstractNum w:abstractNumId="7">
    <w:nsid w:val="FFFFFF89"/>
    <w:multiLevelType w:val="singleLevel"/>
    <w:tmpl w:val="267A7EB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7 11:41: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989273C6-613F-421B-8506-FFBFF9D57A3B"/>
    <w:docVar w:name="LW_COVERPAGE_TYPE" w:val="1"/>
    <w:docVar w:name="LW_CROSSREFERENCE" w:val="&lt;UNUSED&gt;"/>
    <w:docVar w:name="LW_DocType" w:val="COM"/>
    <w:docVar w:name="LW_EMISSION" w:val="25.10.2019"/>
    <w:docVar w:name="LW_EMISSION_ISODATE" w:val="2019-10-25"/>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41"/>
    <w:docVar w:name="LW_REF.II.NEW.CP_YEAR" w:val="2019"/>
    <w:docVar w:name="LW_REF.INST.NEW" w:val="COM"/>
    <w:docVar w:name="LW_REF.INST.NEW_ADOPTED" w:val="final"/>
    <w:docVar w:name="LW_REF.INST.NEW_TEXT" w:val="(2019) 4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thirty-ninth meeting of the Standing Committee of the Convention on the Conservation of European Wildlife and Natural Habitats, with regards to amendments to Appendices II and III to that Convent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pPr>
      <w:numPr>
        <w:numId w:val="2"/>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p-aewa.org/sites/default/files/publication/ts70_issmp_barnacle%20goose_comple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E43546-AE84-4E15-B11E-9F97E8A4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1675</Words>
  <Characters>8794</Characters>
  <Application>Microsoft Office Word</Application>
  <DocSecurity>0</DocSecurity>
  <Lines>154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2019-10-08T09:20:00Z</cp:lastPrinted>
  <dcterms:created xsi:type="dcterms:W3CDTF">2019-10-17T09:50:00Z</dcterms:created>
  <dcterms:modified xsi:type="dcterms:W3CDTF">2019-10-24T08:29:00Z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