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F39C80E-F580-408F-BD8F-D43FF69858C7" style="width:450.75pt;height:434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tbl>
      <w:tblPr>
        <w:tblW w:w="964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264"/>
        <w:gridCol w:w="284"/>
        <w:gridCol w:w="1134"/>
        <w:gridCol w:w="145"/>
        <w:gridCol w:w="141"/>
        <w:gridCol w:w="2269"/>
        <w:gridCol w:w="1703"/>
      </w:tblGrid>
      <w:tr>
        <w:tc>
          <w:tcPr>
            <w:tcW w:w="1705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>
            <w:pPr>
              <w:pStyle w:val="EntLogo"/>
              <w:jc w:val="center"/>
              <w:rPr>
                <w:rFonts w:ascii="Arial" w:hAnsi="Arial" w:cs="Arial"/>
                <w:noProof/>
                <w:spacing w:val="40"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>SPORAZUM AKP-EU IZ COTONOUJA</w:t>
            </w:r>
          </w:p>
        </w:tc>
        <w:tc>
          <w:tcPr>
            <w:tcW w:w="1703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  <w:tr>
        <w:trPr>
          <w:cantSplit/>
        </w:trPr>
        <w:tc>
          <w:tcPr>
            <w:tcW w:w="9645" w:type="dxa"/>
            <w:gridSpan w:val="8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  <w:t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>
            <w:pPr>
              <w:pStyle w:val="EntLogo"/>
              <w:spacing w:line="240" w:lineRule="auto"/>
              <w:jc w:val="center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>SKUPINA AFRIŠKIH, KARIBSKIH</w:t>
            </w:r>
          </w:p>
          <w:p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/>
                <w:b/>
                <w:noProof/>
                <w:sz w:val="23"/>
                <w:szCs w:val="23"/>
              </w:rPr>
              <w:t>IN PACIFIŠKIH DRŽAV</w:t>
            </w:r>
          </w:p>
          <w:p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  <w:tc>
          <w:tcPr>
            <w:tcW w:w="4258" w:type="dxa"/>
            <w:gridSpan w:val="4"/>
            <w:tcBorders>
              <w:bottom w:val="single" w:sz="4" w:space="0" w:color="auto"/>
            </w:tcBorders>
          </w:tcPr>
          <w:p>
            <w:pPr>
              <w:pStyle w:val="EntLogo"/>
              <w:spacing w:line="240" w:lineRule="auto"/>
              <w:jc w:val="center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>SVET</w:t>
            </w:r>
          </w:p>
          <w:p>
            <w:pPr>
              <w:pStyle w:val="EntLogo"/>
              <w:spacing w:line="240" w:lineRule="auto"/>
              <w:jc w:val="center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>EVROPSKE UNIJE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5" w:type="dxa"/>
            <w:hideMark/>
          </w:tcPr>
          <w:p>
            <w:pPr>
              <w:pStyle w:val="EntInstit"/>
              <w:tabs>
                <w:tab w:val="left" w:pos="851"/>
                <w:tab w:val="left" w:pos="1857"/>
                <w:tab w:val="left" w:pos="2659"/>
              </w:tabs>
              <w:ind w:right="-284"/>
              <w:jc w:val="left"/>
              <w:rPr>
                <w:rFonts w:ascii="Arial" w:hAnsi="Arial"/>
                <w:noProof/>
                <w:sz w:val="23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EntInstit"/>
              <w:spacing w:line="192" w:lineRule="auto"/>
              <w:jc w:val="left"/>
              <w:rPr>
                <w:rFonts w:ascii="Arial" w:hAnsi="Arial"/>
                <w:noProof/>
                <w:color w:val="4D4D4D"/>
                <w:sz w:val="23"/>
              </w:rPr>
            </w:pPr>
          </w:p>
        </w:tc>
        <w:tc>
          <w:tcPr>
            <w:tcW w:w="141" w:type="dxa"/>
          </w:tcPr>
          <w:p>
            <w:pPr>
              <w:pStyle w:val="EntInstit"/>
              <w:jc w:val="left"/>
              <w:rPr>
                <w:rFonts w:ascii="Arial" w:hAnsi="Arial"/>
                <w:noProof/>
                <w:sz w:val="23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EntInstit"/>
              <w:spacing w:line="192" w:lineRule="auto"/>
              <w:jc w:val="left"/>
              <w:rPr>
                <w:rFonts w:ascii="Arial" w:hAnsi="Arial"/>
                <w:noProof/>
                <w:sz w:val="23"/>
              </w:rPr>
            </w:pPr>
          </w:p>
        </w:tc>
      </w:tr>
      <w:tr>
        <w:trPr>
          <w:cantSplit/>
          <w:trHeight w:val="840"/>
        </w:trPr>
        <w:tc>
          <w:tcPr>
            <w:tcW w:w="3969" w:type="dxa"/>
            <w:gridSpan w:val="2"/>
          </w:tcPr>
          <w:p>
            <w:pPr>
              <w:pStyle w:val="EntRefer"/>
              <w:jc w:val="right"/>
              <w:rPr>
                <w:rFonts w:ascii="Arial" w:hAnsi="Arial"/>
                <w:noProof/>
                <w:color w:val="001718"/>
                <w:sz w:val="23"/>
              </w:rPr>
            </w:pPr>
          </w:p>
          <w:p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t>Bruselj, xxx 2019</w:t>
            </w:r>
          </w:p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</w:tr>
      <w:tr>
        <w:trPr>
          <w:cantSplit/>
        </w:trPr>
        <w:tc>
          <w:tcPr>
            <w:tcW w:w="3969" w:type="dxa"/>
            <w:gridSpan w:val="2"/>
          </w:tcPr>
          <w:p>
            <w:pPr>
              <w:pStyle w:val="EntRefer"/>
              <w:jc w:val="right"/>
              <w:rPr>
                <w:rFonts w:ascii="Arial" w:hAnsi="Arial"/>
                <w:noProof/>
                <w:color w:val="001718"/>
                <w:sz w:val="23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</w:tr>
      <w:tr>
        <w:trPr>
          <w:cantSplit/>
        </w:trPr>
        <w:tc>
          <w:tcPr>
            <w:tcW w:w="3969" w:type="dxa"/>
            <w:gridSpan w:val="2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t>ACP/xxx/19</w:t>
            </w:r>
          </w:p>
        </w:tc>
        <w:tc>
          <w:tcPr>
            <w:tcW w:w="1704" w:type="dxa"/>
            <w:gridSpan w:val="4"/>
          </w:tcPr>
          <w:p>
            <w:pPr>
              <w:spacing w:line="240" w:lineRule="auto"/>
              <w:rPr>
                <w:rFonts w:ascii="Arial" w:hAnsi="Arial"/>
                <w:b/>
                <w:noProof/>
                <w:sz w:val="23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t>ACP-UE xxx/19</w:t>
            </w:r>
          </w:p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</w:tr>
      <w:tr>
        <w:trPr>
          <w:cantSplit/>
        </w:trPr>
        <w:tc>
          <w:tcPr>
            <w:tcW w:w="3969" w:type="dxa"/>
            <w:gridSpan w:val="2"/>
          </w:tcPr>
          <w:p>
            <w:pPr>
              <w:pStyle w:val="EntRefer"/>
              <w:jc w:val="center"/>
              <w:rPr>
                <w:rFonts w:ascii="Arial" w:hAnsi="Arial"/>
                <w:noProof/>
                <w:sz w:val="23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240" w:lineRule="auto"/>
              <w:rPr>
                <w:rFonts w:ascii="Arial" w:hAnsi="Arial"/>
                <w:b/>
                <w:noProof/>
                <w:sz w:val="23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EntRefer"/>
              <w:rPr>
                <w:rFonts w:ascii="Arial" w:hAnsi="Arial"/>
                <w:noProof/>
                <w:sz w:val="23"/>
              </w:rPr>
            </w:pPr>
          </w:p>
        </w:tc>
      </w:tr>
    </w:tbl>
    <w:p>
      <w:pPr>
        <w:pStyle w:val="EntRefer"/>
        <w:rPr>
          <w:rFonts w:ascii="Arial" w:hAnsi="Arial" w:cs="Arial"/>
          <w:noProof/>
          <w:sz w:val="23"/>
          <w:szCs w:val="23"/>
        </w:rPr>
      </w:pPr>
    </w:p>
    <w:p>
      <w:pPr>
        <w:pStyle w:val="EntRefer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w:t>SKLEP AKP-EU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EntEmet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>Zadeva: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EntEmet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/>
                <w:noProof/>
                <w:sz w:val="23"/>
                <w:szCs w:val="23"/>
              </w:rPr>
              <w:t xml:space="preserve">Osnutek sklepa št. xx/2019 Odbora veleposlanikov AKP-EU o sprejetju prehodnih ukrepov na podlagi člena 95(4) Sporazuma o partnerstvu AKP-EU </w:t>
            </w:r>
          </w:p>
        </w:tc>
      </w:tr>
    </w:tbl>
    <w:p>
      <w:pPr>
        <w:spacing w:line="240" w:lineRule="auto"/>
        <w:rPr>
          <w:rFonts w:ascii="Arial" w:hAnsi="Arial" w:cs="Arial"/>
          <w:noProof/>
          <w:sz w:val="23"/>
          <w:szCs w:val="23"/>
        </w:rPr>
      </w:pPr>
    </w:p>
    <w:p>
      <w:pPr>
        <w:tabs>
          <w:tab w:val="left" w:pos="3969"/>
        </w:tabs>
        <w:rPr>
          <w:rFonts w:ascii="Arial" w:hAnsi="Arial" w:cs="Arial"/>
          <w:noProof/>
          <w:sz w:val="23"/>
          <w:szCs w:val="23"/>
        </w:rPr>
      </w:pPr>
    </w:p>
    <w:p>
      <w:pPr>
        <w:shd w:val="clear" w:color="auto" w:fill="FFFFFF"/>
        <w:spacing w:before="240" w:after="120" w:line="312" w:lineRule="atLeast"/>
        <w:jc w:val="center"/>
        <w:rPr>
          <w:bCs/>
          <w:noProof/>
          <w:sz w:val="27"/>
          <w:szCs w:val="27"/>
        </w:rPr>
      </w:pPr>
      <w:r>
        <w:rPr>
          <w:noProof/>
        </w:rPr>
        <w:br w:type="page"/>
      </w:r>
      <w:r>
        <w:rPr>
          <w:bCs/>
          <w:noProof/>
          <w:sz w:val="27"/>
          <w:szCs w:val="27"/>
        </w:rPr>
        <w:t>Osnutek</w:t>
      </w:r>
    </w:p>
    <w:p>
      <w:pPr>
        <w:spacing w:before="240"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</w:rPr>
        <w:t>SKLEP št. [X]/2019</w:t>
      </w:r>
      <w:r>
        <w:rPr>
          <w:noProof/>
        </w:rPr>
        <w:t xml:space="preserve"> </w:t>
      </w:r>
    </w:p>
    <w:p>
      <w:pPr>
        <w:spacing w:before="240" w:after="240"/>
        <w:jc w:val="center"/>
        <w:rPr>
          <w:b/>
          <w:bCs/>
          <w:noProof/>
          <w:szCs w:val="24"/>
        </w:rPr>
      </w:pPr>
      <w:r>
        <w:rPr>
          <w:b/>
          <w:bCs/>
          <w:noProof/>
        </w:rPr>
        <w:t xml:space="preserve">ODBORA VELEPOSLANIKOV AKP-EU </w:t>
      </w:r>
    </w:p>
    <w:p>
      <w:pPr>
        <w:shd w:val="clear" w:color="auto" w:fill="FFFFFF"/>
        <w:spacing w:before="240" w:after="120" w:line="312" w:lineRule="atLeast"/>
        <w:jc w:val="center"/>
        <w:rPr>
          <w:b/>
          <w:bCs/>
          <w:noProof/>
          <w:sz w:val="27"/>
          <w:szCs w:val="27"/>
        </w:rPr>
      </w:pPr>
      <w:r>
        <w:rPr>
          <w:b/>
          <w:bCs/>
          <w:noProof/>
          <w:sz w:val="27"/>
          <w:szCs w:val="27"/>
        </w:rPr>
        <w:t>z dne [vstaviti datum]</w:t>
      </w:r>
    </w:p>
    <w:p>
      <w:pPr>
        <w:shd w:val="clear" w:color="auto" w:fill="FFFFFF"/>
        <w:spacing w:before="240" w:after="120"/>
        <w:jc w:val="center"/>
        <w:rPr>
          <w:b/>
          <w:bCs/>
          <w:noProof/>
          <w:szCs w:val="24"/>
        </w:rPr>
      </w:pPr>
      <w:r>
        <w:rPr>
          <w:b/>
          <w:bCs/>
          <w:noProof/>
        </w:rPr>
        <w:t>o sprejetju prehodnih ukrepov na podlagi člena 95(4) Sporazuma o partnerstvu AKP-EU</w:t>
      </w:r>
    </w:p>
    <w:p>
      <w:pPr>
        <w:shd w:val="clear" w:color="auto" w:fill="FFFFFF"/>
        <w:spacing w:before="120" w:line="312" w:lineRule="atLeast"/>
        <w:jc w:val="both"/>
        <w:rPr>
          <w:noProof/>
          <w:sz w:val="27"/>
          <w:szCs w:val="27"/>
        </w:rPr>
      </w:pPr>
    </w:p>
    <w:p>
      <w:pPr>
        <w:shd w:val="clear" w:color="auto" w:fill="FFFFFF"/>
        <w:spacing w:before="120" w:line="312" w:lineRule="atLeast"/>
        <w:jc w:val="both"/>
        <w:rPr>
          <w:noProof/>
          <w:sz w:val="27"/>
          <w:szCs w:val="27"/>
        </w:rPr>
      </w:pPr>
    </w:p>
    <w:p>
      <w:pPr>
        <w:widowControl/>
        <w:spacing w:before="120" w:after="120"/>
        <w:jc w:val="both"/>
        <w:rPr>
          <w:noProof/>
          <w:szCs w:val="24"/>
        </w:rPr>
      </w:pPr>
      <w:r>
        <w:rPr>
          <w:noProof/>
        </w:rPr>
        <w:t>ODBOR VELEPOSLANIKOV AKP-EU JE –</w:t>
      </w:r>
    </w:p>
    <w:p>
      <w:pPr>
        <w:widowControl/>
        <w:spacing w:before="120" w:after="120"/>
        <w:jc w:val="both"/>
        <w:rPr>
          <w:noProof/>
          <w:szCs w:val="24"/>
        </w:rPr>
      </w:pPr>
      <w:r>
        <w:rPr>
          <w:noProof/>
        </w:rPr>
        <w:t>ob upoštevanju Sporazuma o partnerstvu med članicami skupine afriških, karibskih in pacifiških držav na eni strani ter Evropsko skupnostjo in njenimi državami članicami na drugi</w:t>
      </w:r>
      <w:r>
        <w:rPr>
          <w:b/>
          <w:bCs/>
          <w:noProof/>
          <w:vertAlign w:val="superscript"/>
        </w:rPr>
        <w:footnoteReference w:id="1"/>
      </w:r>
      <w:r>
        <w:rPr>
          <w:noProof/>
        </w:rPr>
        <w:t xml:space="preserve"> ter zlasti člena 15(4) in člena 16(2) v povezavi s členom 95(4) Sporazuma,</w:t>
      </w:r>
    </w:p>
    <w:p>
      <w:pPr>
        <w:shd w:val="clear" w:color="auto" w:fill="FFFFFF"/>
        <w:spacing w:before="120" w:line="312" w:lineRule="atLeast"/>
        <w:jc w:val="both"/>
        <w:rPr>
          <w:noProof/>
          <w:sz w:val="27"/>
          <w:szCs w:val="27"/>
        </w:rPr>
      </w:pPr>
    </w:p>
    <w:p>
      <w:pPr>
        <w:spacing w:line="276" w:lineRule="auto"/>
        <w:rPr>
          <w:noProof/>
          <w:sz w:val="27"/>
          <w:szCs w:val="27"/>
        </w:rPr>
      </w:pPr>
      <w:r>
        <w:rPr>
          <w:noProof/>
        </w:rPr>
        <w:t>ob upoštevanju naslednjega:</w:t>
      </w:r>
    </w:p>
    <w:p>
      <w:pPr>
        <w:widowControl/>
        <w:numPr>
          <w:ilvl w:val="0"/>
          <w:numId w:val="22"/>
        </w:numPr>
        <w:spacing w:before="120" w:after="120"/>
        <w:ind w:left="567" w:hanging="567"/>
        <w:jc w:val="both"/>
        <w:rPr>
          <w:noProof/>
          <w:szCs w:val="24"/>
        </w:rPr>
      </w:pPr>
      <w:r>
        <w:rPr>
          <w:noProof/>
        </w:rPr>
        <w:t>Sporazum o partnerstvu AKP-EU je bil podpisan v Cotonouju dne 23. junija 2000, začel veljati 1. aprila 2003 in se bo uporabljal do 29. februarja 2020.</w:t>
      </w:r>
    </w:p>
    <w:p>
      <w:pPr>
        <w:widowControl/>
        <w:numPr>
          <w:ilvl w:val="0"/>
          <w:numId w:val="22"/>
        </w:numPr>
        <w:spacing w:before="120" w:after="120"/>
        <w:ind w:left="567" w:hanging="567"/>
        <w:jc w:val="both"/>
        <w:rPr>
          <w:noProof/>
          <w:szCs w:val="24"/>
        </w:rPr>
      </w:pPr>
      <w:r>
        <w:rPr>
          <w:noProof/>
        </w:rPr>
        <w:t>V skladu s prvim pododstavkom člena 95(4) Sporazuma o partnerstvu AKP-EU so se septembra 2018 začela pogajanja o novem sporazumu o partnerstvu AKP-EU. Ker novi sporazum ne bo pripravljen za uporabo do datuma prenehanja veljavnosti sedanjega pravnega okvira, je treba sprejeti prehodne ukrepe.</w:t>
      </w:r>
    </w:p>
    <w:p>
      <w:pPr>
        <w:widowControl/>
        <w:numPr>
          <w:ilvl w:val="0"/>
          <w:numId w:val="22"/>
        </w:numPr>
        <w:spacing w:before="120" w:after="120"/>
        <w:ind w:left="567" w:hanging="567"/>
        <w:jc w:val="both"/>
        <w:rPr>
          <w:noProof/>
          <w:szCs w:val="24"/>
        </w:rPr>
      </w:pPr>
      <w:r>
        <w:rPr>
          <w:noProof/>
        </w:rPr>
        <w:t>Drugi pododstavek člena 95(4) Sporazuma o partnerstvu AKP-EU določa, da Svet ministrov sprejme morebitne potrebne prehodne ukrepe, dokler ne začne veljati nov sporazum.</w:t>
      </w:r>
    </w:p>
    <w:p>
      <w:pPr>
        <w:widowControl/>
        <w:numPr>
          <w:ilvl w:val="0"/>
          <w:numId w:val="22"/>
        </w:numPr>
        <w:spacing w:before="120" w:after="120"/>
        <w:ind w:left="567" w:hanging="567"/>
        <w:jc w:val="both"/>
        <w:rPr>
          <w:noProof/>
          <w:szCs w:val="24"/>
        </w:rPr>
      </w:pPr>
      <w:r>
        <w:rPr>
          <w:noProof/>
        </w:rPr>
        <w:t>Svet ministrov AKP-EU je v skladu s členom 15(4) Sporazuma o partnerstvu iz Cotonouja 23. maja 2019 prenesel pooblastila za sprejetje prehodnih ukrepov na Odbor veleposlanikov AKP-EU</w:t>
      </w:r>
      <w:r>
        <w:rPr>
          <w:rStyle w:val="FootnoteReference"/>
          <w:b w:val="0"/>
          <w:noProof/>
        </w:rPr>
        <w:footnoteReference w:id="2"/>
      </w:r>
      <w:r>
        <w:rPr>
          <w:noProof/>
        </w:rPr>
        <w:t>.</w:t>
      </w:r>
      <w:r>
        <w:rPr>
          <w:b/>
          <w:noProof/>
        </w:rPr>
        <w:t xml:space="preserve"> </w:t>
      </w:r>
    </w:p>
    <w:p>
      <w:pPr>
        <w:widowControl/>
        <w:numPr>
          <w:ilvl w:val="0"/>
          <w:numId w:val="22"/>
        </w:numPr>
        <w:spacing w:before="120" w:after="120"/>
        <w:ind w:left="567" w:hanging="567"/>
        <w:jc w:val="both"/>
        <w:rPr>
          <w:noProof/>
          <w:vanish/>
          <w:szCs w:val="24"/>
        </w:rPr>
      </w:pPr>
      <w:r>
        <w:rPr>
          <w:noProof/>
        </w:rPr>
        <w:t xml:space="preserve">Zato je primerno, da Odbor veleposlanikov AKP-EU sprejme odločitev na podlagi člena 95(4) Sporazuma o partnerstvu AKP-EU, da se uporaba vseh določb Sporazuma o partnerstvu AKP-EU, podpisanega v Cotonouju 23. junija 2000, podaljša do 31. decembra 2020 ali do začetka veljavnosti ali začasne uporabe novega Sporazuma o partnerstvu med Unijo in državami AKP, če ta nastopi pred 31. decembrom 2020 –  </w:t>
      </w:r>
    </w:p>
    <w:p>
      <w:pPr>
        <w:shd w:val="clear" w:color="auto" w:fill="FFFFFF"/>
        <w:spacing w:line="240" w:lineRule="auto"/>
        <w:rPr>
          <w:noProof/>
          <w:vanish/>
          <w:szCs w:val="24"/>
        </w:rPr>
      </w:pPr>
    </w:p>
    <w:p>
      <w:pPr>
        <w:shd w:val="clear" w:color="auto" w:fill="FFFFFF"/>
        <w:spacing w:before="120" w:line="312" w:lineRule="atLeast"/>
        <w:jc w:val="both"/>
        <w:rPr>
          <w:noProof/>
          <w:szCs w:val="24"/>
        </w:rPr>
      </w:pPr>
      <w:r>
        <w:rPr>
          <w:noProof/>
        </w:rPr>
        <w:t>SPREJEL NASLEDNJI SKLEP:</w:t>
      </w:r>
    </w:p>
    <w:p>
      <w:pPr>
        <w:shd w:val="clear" w:color="auto" w:fill="FFFFFF"/>
        <w:spacing w:before="360" w:after="120" w:line="312" w:lineRule="atLeast"/>
        <w:jc w:val="center"/>
        <w:rPr>
          <w:i/>
          <w:iCs/>
          <w:noProof/>
          <w:szCs w:val="24"/>
        </w:rPr>
      </w:pPr>
      <w:r>
        <w:rPr>
          <w:i/>
          <w:iCs/>
          <w:noProof/>
        </w:rPr>
        <w:t>Člen 1</w:t>
      </w:r>
    </w:p>
    <w:p>
      <w:pPr>
        <w:widowControl/>
        <w:spacing w:before="120" w:after="120" w:line="240" w:lineRule="auto"/>
        <w:jc w:val="both"/>
        <w:rPr>
          <w:rFonts w:eastAsia="Calibri"/>
          <w:noProof/>
          <w:szCs w:val="24"/>
        </w:rPr>
      </w:pPr>
      <w:r>
        <w:rPr>
          <w:noProof/>
        </w:rPr>
        <w:t>Uporaba vseh določb Sporazuma o partnerstvu AKP-EU, podpisanega v Cotonouju dne 23. junija 2000, se podaljša do 31. decembra 2020 ali do začetka veljavnosti ali začasne uporabe novega Sporazuma o partnerstvu med Unijo in državami AKP, če ta nastopi pred 31. decembrom 2020.</w:t>
      </w:r>
    </w:p>
    <w:p>
      <w:pPr>
        <w:shd w:val="clear" w:color="auto" w:fill="FFFFFF"/>
        <w:spacing w:line="240" w:lineRule="auto"/>
        <w:jc w:val="both"/>
        <w:rPr>
          <w:noProof/>
          <w:vanish/>
          <w:szCs w:val="24"/>
        </w:rPr>
      </w:pPr>
    </w:p>
    <w:p>
      <w:pPr>
        <w:shd w:val="clear" w:color="auto" w:fill="FFFFFF"/>
        <w:spacing w:before="360" w:after="120" w:line="312" w:lineRule="atLeast"/>
        <w:jc w:val="center"/>
        <w:rPr>
          <w:i/>
          <w:iCs/>
          <w:noProof/>
          <w:szCs w:val="24"/>
        </w:rPr>
      </w:pPr>
    </w:p>
    <w:p>
      <w:pPr>
        <w:shd w:val="clear" w:color="auto" w:fill="FFFFFF"/>
        <w:spacing w:before="360" w:after="120" w:line="312" w:lineRule="atLeast"/>
        <w:jc w:val="center"/>
        <w:rPr>
          <w:i/>
          <w:iCs/>
          <w:noProof/>
          <w:szCs w:val="24"/>
        </w:rPr>
      </w:pPr>
      <w:r>
        <w:rPr>
          <w:i/>
          <w:iCs/>
          <w:noProof/>
        </w:rPr>
        <w:t>Člen 2</w:t>
      </w:r>
    </w:p>
    <w:p>
      <w:pPr>
        <w:shd w:val="clear" w:color="auto" w:fill="FFFFFF"/>
        <w:spacing w:before="120" w:line="312" w:lineRule="atLeast"/>
        <w:jc w:val="both"/>
        <w:rPr>
          <w:noProof/>
          <w:szCs w:val="24"/>
        </w:rPr>
      </w:pPr>
      <w:r>
        <w:rPr>
          <w:noProof/>
        </w:rPr>
        <w:t>Ta sklep začne veljati xxx 2020.</w:t>
      </w:r>
    </w:p>
    <w:p>
      <w:pPr>
        <w:shd w:val="clear" w:color="auto" w:fill="FFFFFF"/>
        <w:spacing w:line="312" w:lineRule="atLeast"/>
        <w:jc w:val="both"/>
        <w:rPr>
          <w:noProof/>
          <w:szCs w:val="24"/>
        </w:rPr>
      </w:pPr>
    </w:p>
    <w:p>
      <w:pPr>
        <w:shd w:val="clear" w:color="auto" w:fill="FFFFFF"/>
        <w:spacing w:line="312" w:lineRule="atLeast"/>
        <w:jc w:val="both"/>
        <w:rPr>
          <w:noProof/>
          <w:szCs w:val="24"/>
        </w:rPr>
      </w:pPr>
      <w:r>
        <w:rPr>
          <w:noProof/>
        </w:rPr>
        <w:t>V [Bruslju], [datum].</w:t>
      </w:r>
    </w:p>
    <w:p>
      <w:pPr>
        <w:shd w:val="clear" w:color="auto" w:fill="FFFFFF"/>
        <w:spacing w:before="60" w:after="60" w:line="312" w:lineRule="atLeast"/>
        <w:jc w:val="center"/>
        <w:rPr>
          <w:i/>
          <w:iCs/>
          <w:noProof/>
          <w:sz w:val="27"/>
          <w:szCs w:val="27"/>
        </w:rPr>
      </w:pPr>
    </w:p>
    <w:p>
      <w:pPr>
        <w:shd w:val="clear" w:color="auto" w:fill="FFFFFF"/>
        <w:spacing w:before="60" w:after="60" w:line="312" w:lineRule="atLeast"/>
        <w:rPr>
          <w:i/>
          <w:iCs/>
          <w:noProof/>
          <w:sz w:val="27"/>
          <w:szCs w:val="27"/>
        </w:rPr>
      </w:pPr>
    </w:p>
    <w:p>
      <w:pPr>
        <w:shd w:val="clear" w:color="auto" w:fill="FFFFFF"/>
        <w:spacing w:before="60" w:after="60" w:line="312" w:lineRule="atLeast"/>
        <w:jc w:val="center"/>
        <w:rPr>
          <w:noProof/>
          <w:szCs w:val="24"/>
        </w:rPr>
      </w:pPr>
      <w:r>
        <w:rPr>
          <w:i/>
          <w:iCs/>
          <w:noProof/>
        </w:rPr>
        <w:t>Za Odbor veleposlanikov AKP-EU</w:t>
      </w:r>
      <w:r>
        <w:rPr>
          <w:noProof/>
        </w:rPr>
        <w:t xml:space="preserve"> </w:t>
      </w:r>
      <w:r>
        <w:rPr>
          <w:noProof/>
        </w:rPr>
        <w:tab/>
      </w:r>
    </w:p>
    <w:p>
      <w:pPr>
        <w:widowControl/>
        <w:pBdr>
          <w:bottom w:val="single" w:sz="4" w:space="0" w:color="000000"/>
        </w:pBdr>
        <w:spacing w:before="360" w:after="120"/>
        <w:ind w:left="3400" w:right="3400"/>
        <w:jc w:val="center"/>
        <w:rPr>
          <w:rFonts w:eastAsia="Calibri"/>
          <w:b/>
          <w:noProof/>
          <w:szCs w:val="22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spacing w:after="60"/>
    </w:pPr>
  </w:p>
  <w:p>
    <w:pPr>
      <w:pStyle w:val="Footer"/>
    </w:pPr>
    <w:r>
      <w:t>ACP-UE xxx/19</w:t>
    </w:r>
    <w:r>
      <w:tab/>
      <w:t>ACP/xxx/19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  <w:tabs>
        <w:tab w:val="clear" w:pos="7371"/>
      </w:tabs>
      <w:spacing w:line="280" w:lineRule="exact"/>
    </w:pPr>
    <w:r>
      <w:tab/>
    </w:r>
    <w:r>
      <w:tab/>
    </w:r>
    <w:r>
      <w:rPr>
        <w:b/>
        <w:sz w:val="36"/>
      </w:rPr>
      <w:t xml:space="preserve">  SL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pStyle w:val="FootnoteText"/>
      </w:pPr>
      <w:r>
        <w:separator/>
      </w:r>
    </w:p>
  </w:footnote>
  <w:footnote w:type="continuationSeparator" w:id="0">
    <w:p>
      <w:pPr>
        <w:pStyle w:val="FootnoteText"/>
      </w:pPr>
      <w:r>
        <w:separator/>
      </w:r>
    </w:p>
  </w:footnote>
  <w:footnote w:id="1">
    <w:p>
      <w:pPr>
        <w:pStyle w:val="FootnoteText"/>
        <w:rPr>
          <w:sz w:val="20"/>
        </w:rPr>
      </w:pPr>
      <w:r>
        <w:rPr>
          <w:rStyle w:val="FootnoteReference"/>
          <w:bCs/>
          <w:sz w:val="20"/>
        </w:rPr>
        <w:footnoteRef/>
      </w:r>
      <w:r>
        <w:rPr>
          <w:sz w:val="20"/>
        </w:rPr>
        <w:tab/>
        <w:t>Sporazum (UL L 317, 15.12.2000, str. 3), kakor je bil spremenjen s sporazumom, podpisanim v Luxembourgu 25. junija 2005 (UL L 209, 11.8.2005, str. 27), in s sporazumom, podpisanim v Ouagadougouju 22. junija 2010 (UL L 287, 4.11.2010, str. 3).</w:t>
      </w:r>
    </w:p>
  </w:footnote>
  <w:footnote w:id="2">
    <w:p>
      <w:pPr>
        <w:pStyle w:val="FootnoteText"/>
      </w:pPr>
      <w:r>
        <w:rPr>
          <w:rStyle w:val="FootnoteReference"/>
          <w:b w:val="0"/>
        </w:rPr>
        <w:footnoteRef/>
      </w:r>
      <w:r>
        <w:rPr>
          <w:b/>
        </w:rPr>
        <w:t xml:space="preserve"> </w:t>
      </w:r>
      <w:r>
        <w:tab/>
      </w:r>
      <w:r>
        <w:rPr>
          <w:sz w:val="20"/>
        </w:rPr>
        <w:t>Sklep št. 1/2019 Sveta ministrov AKP-EU z dne 23. maja 2019 o prenosu pooblastil za odločitev o sprejetju prehodnih ukrepov na podlagi člena 95(4) Sporazuma o partnerstvu AKP-EU na Odbor veleposlanikov AKP-EU [2019/920] (UL L 146, 5.6.2019, str. 114).</w:t>
      </w:r>
      <w:r>
        <w:rPr>
          <w:b/>
          <w:bCs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F67088F"/>
    <w:multiLevelType w:val="singleLevel"/>
    <w:tmpl w:val="2CF07246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3">
    <w:nsid w:val="1DE57EBB"/>
    <w:multiLevelType w:val="singleLevel"/>
    <w:tmpl w:val="2CF07246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4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9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3EFF7248"/>
    <w:multiLevelType w:val="singleLevel"/>
    <w:tmpl w:val="2CF07246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1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</w:abstractNum>
  <w:abstractNum w:abstractNumId="14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</w:abstractNum>
  <w:abstractNum w:abstractNumId="15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214470D"/>
    <w:multiLevelType w:val="hybridMultilevel"/>
    <w:tmpl w:val="4BA8F898"/>
    <w:lvl w:ilvl="0" w:tplc="AE765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  <w:num w:numId="21">
    <w:abstractNumId w:val="3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pt-PT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Num" w:val="0"/>
    <w:docVar w:name="DocStatus" w:val="Green"/>
    <w:docVar w:name="DW_DocType" w:val="_GEN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F39C80E-F580-408F-BD8F-D43FF69858C7"/>
    <w:docVar w:name="LW_COVERPAGE_TYPE" w:val="1"/>
    <w:docVar w:name="LW_CROSSREFERENCE" w:val="&lt;UNUSED&gt;"/>
    <w:docVar w:name="LW_DocType" w:val="_GENEN"/>
    <w:docVar w:name="LW_EMISSION" w:val="25.10.2019"/>
    <w:docVar w:name="LW_EMISSION_ISODATE" w:val="2019-10-25"/>
    <w:docVar w:name="LW_EMISSION_LOCATION" w:val="BRX"/>
    <w:docVar w:name="LW_EMISSION_PREFIX" w:val="Bruselj, "/>
    <w:docVar w:name="LW_EMISSION_SUFFIX" w:val=" "/>
    <w:docVar w:name="LW_ID_DOCTYPE_NONLW" w:val="CP-036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&lt;FMT:Bold&gt;o stali\u353?\u269?u, ki se v imenu Evropske unije zastopa v Odboru veleposlanikov AKP-EU glede sprejetja odlo\u269?itve o prehodnih ukrepih na podlagi \u269?lena 95(4) Sporazuma o partnerstvu AKP-EU&lt;/FMT&gt;&lt;FMT:Font=Calibri&gt;_x000d__x000d__x000d__x000d__x000d__x000d_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predlogu_x000b__x000b_SKLEPA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link w:val="FootnoteTextChar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Pr>
      <w:color w:val="auto"/>
    </w:rPr>
  </w:style>
  <w:style w:type="paragraph" w:customStyle="1" w:styleId="AddReference">
    <w:name w:val="Add Referenc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ypedudocument">
    <w:name w:val="Type du document"/>
    <w:basedOn w:val="Normal"/>
    <w:next w:val="Normal"/>
    <w:pPr>
      <w:widowControl/>
      <w:spacing w:before="360"/>
      <w:jc w:val="center"/>
    </w:pPr>
    <w:rPr>
      <w:b/>
      <w:szCs w:val="24"/>
      <w:lang w:eastAsia="en-US"/>
    </w:rPr>
  </w:style>
  <w:style w:type="character" w:customStyle="1" w:styleId="FootnoteTextChar">
    <w:name w:val="Footnote Text Char"/>
    <w:link w:val="FootnoteText"/>
    <w:rPr>
      <w:sz w:val="24"/>
      <w:lang w:eastAsia="fr-BE"/>
    </w:rPr>
  </w:style>
  <w:style w:type="paragraph" w:customStyle="1" w:styleId="Text1">
    <w:name w:val="Text 1"/>
    <w:basedOn w:val="Normal"/>
    <w:pPr>
      <w:widowControl/>
      <w:spacing w:before="120" w:after="120"/>
      <w:ind w:left="850"/>
      <w:outlineLvl w:val="0"/>
    </w:pPr>
    <w:rPr>
      <w:szCs w:val="24"/>
      <w:lang w:eastAsia="en-US"/>
    </w:rPr>
  </w:style>
  <w:style w:type="paragraph" w:customStyle="1" w:styleId="Point0">
    <w:name w:val="Point 0"/>
    <w:basedOn w:val="Normal"/>
    <w:pPr>
      <w:widowControl/>
      <w:spacing w:before="120" w:after="120"/>
      <w:ind w:left="850" w:hanging="850"/>
    </w:pPr>
    <w:rPr>
      <w:szCs w:val="24"/>
      <w:lang w:eastAsia="en-US"/>
    </w:rPr>
  </w:style>
  <w:style w:type="paragraph" w:customStyle="1" w:styleId="ManualNumPar1">
    <w:name w:val="Manual NumPar 1"/>
    <w:basedOn w:val="Normal"/>
    <w:next w:val="Text1"/>
    <w:pPr>
      <w:widowControl/>
      <w:spacing w:before="120" w:after="120"/>
      <w:ind w:left="850" w:hanging="850"/>
      <w:outlineLvl w:val="0"/>
    </w:pPr>
    <w:rPr>
      <w:szCs w:val="24"/>
      <w:lang w:eastAsia="en-US"/>
    </w:rPr>
  </w:style>
  <w:style w:type="paragraph" w:customStyle="1" w:styleId="Datedadoption">
    <w:name w:val="Date d'adoption"/>
    <w:basedOn w:val="Normal"/>
    <w:next w:val="Titreobjet"/>
    <w:pPr>
      <w:widowControl/>
      <w:spacing w:before="360"/>
      <w:jc w:val="center"/>
    </w:pPr>
    <w:rPr>
      <w:b/>
      <w:szCs w:val="24"/>
      <w:lang w:eastAsia="en-US"/>
    </w:rPr>
  </w:style>
  <w:style w:type="paragraph" w:customStyle="1" w:styleId="Fait">
    <w:name w:val="Fait à"/>
    <w:basedOn w:val="Normal"/>
    <w:next w:val="Institutionquisigne"/>
    <w:pPr>
      <w:keepNext/>
      <w:widowControl/>
      <w:spacing w:before="120"/>
    </w:pPr>
    <w:rPr>
      <w:szCs w:val="24"/>
      <w:lang w:eastAsia="en-US"/>
    </w:rPr>
  </w:style>
  <w:style w:type="paragraph" w:customStyle="1" w:styleId="Formuledadoption">
    <w:name w:val="Formule d'adoption"/>
    <w:basedOn w:val="Normal"/>
    <w:next w:val="Titrearticle"/>
    <w:pPr>
      <w:keepNext/>
      <w:widowControl/>
      <w:spacing w:before="120" w:after="120"/>
    </w:pPr>
    <w:rPr>
      <w:szCs w:val="24"/>
      <w:lang w:eastAsia="en-US"/>
    </w:rPr>
  </w:style>
  <w:style w:type="paragraph" w:customStyle="1" w:styleId="Institutionquiagit">
    <w:name w:val="Institution qui agit"/>
    <w:basedOn w:val="Normal"/>
    <w:next w:val="Normal"/>
    <w:pPr>
      <w:keepNext/>
      <w:widowControl/>
      <w:spacing w:before="600" w:after="120"/>
    </w:pPr>
    <w:rPr>
      <w:szCs w:val="24"/>
      <w:lang w:eastAsia="en-US"/>
    </w:rPr>
  </w:style>
  <w:style w:type="paragraph" w:customStyle="1" w:styleId="Institutionquisigne">
    <w:name w:val="Institution qui signe"/>
    <w:basedOn w:val="Normal"/>
    <w:next w:val="Personnequisigne"/>
    <w:pPr>
      <w:keepNext/>
      <w:widowControl/>
      <w:tabs>
        <w:tab w:val="left" w:pos="5669"/>
      </w:tabs>
      <w:spacing w:before="720"/>
    </w:pPr>
    <w:rPr>
      <w:i/>
      <w:szCs w:val="24"/>
      <w:lang w:eastAsia="en-US"/>
    </w:rPr>
  </w:style>
  <w:style w:type="paragraph" w:customStyle="1" w:styleId="ManualConsidrant">
    <w:name w:val="Manual Considérant"/>
    <w:basedOn w:val="Normal"/>
    <w:pPr>
      <w:widowControl/>
      <w:spacing w:before="120" w:after="120"/>
      <w:ind w:left="850" w:hanging="850"/>
    </w:pPr>
    <w:rPr>
      <w:szCs w:val="24"/>
      <w:lang w:eastAsia="en-US"/>
    </w:rPr>
  </w:style>
  <w:style w:type="paragraph" w:customStyle="1" w:styleId="Personnequisigne">
    <w:name w:val="Personne qui signe"/>
    <w:basedOn w:val="Normal"/>
    <w:next w:val="Institutionquisigne"/>
    <w:pPr>
      <w:widowControl/>
      <w:tabs>
        <w:tab w:val="left" w:pos="5669"/>
      </w:tabs>
    </w:pPr>
    <w:rPr>
      <w:i/>
      <w:szCs w:val="24"/>
      <w:lang w:eastAsia="en-US"/>
    </w:rPr>
  </w:style>
  <w:style w:type="paragraph" w:customStyle="1" w:styleId="Titrearticle">
    <w:name w:val="Titre article"/>
    <w:basedOn w:val="Normal"/>
    <w:next w:val="Normal"/>
    <w:pPr>
      <w:keepNext/>
      <w:widowControl/>
      <w:spacing w:before="360" w:after="120"/>
      <w:jc w:val="center"/>
    </w:pPr>
    <w:rPr>
      <w:i/>
      <w:szCs w:val="24"/>
      <w:lang w:eastAsia="en-US"/>
    </w:rPr>
  </w:style>
  <w:style w:type="paragraph" w:customStyle="1" w:styleId="Titreobjet">
    <w:name w:val="Titre objet"/>
    <w:basedOn w:val="Normal"/>
    <w:next w:val="Normal"/>
    <w:pPr>
      <w:widowControl/>
      <w:spacing w:before="360" w:after="360"/>
      <w:jc w:val="center"/>
    </w:pPr>
    <w:rPr>
      <w:b/>
      <w:szCs w:val="24"/>
      <w:lang w:eastAsia="en-US"/>
    </w:rPr>
  </w:style>
  <w:style w:type="paragraph" w:customStyle="1" w:styleId="Lignefinal">
    <w:name w:val="Ligne final"/>
    <w:basedOn w:val="Normal"/>
    <w:next w:val="Normal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Tiret3">
    <w:name w:val="Tiret 3"/>
    <w:basedOn w:val="Normal"/>
    <w:pPr>
      <w:widowControl/>
      <w:numPr>
        <w:numId w:val="15"/>
      </w:numPr>
      <w:tabs>
        <w:tab w:val="clear" w:pos="2551"/>
        <w:tab w:val="num" w:pos="360"/>
      </w:tabs>
      <w:spacing w:before="120" w:after="120"/>
      <w:ind w:left="0" w:firstLine="0"/>
    </w:pPr>
    <w:rPr>
      <w:rFonts w:eastAsia="Calibri"/>
      <w:szCs w:val="22"/>
      <w:lang w:eastAsia="en-US"/>
    </w:rPr>
  </w:style>
  <w:style w:type="paragraph" w:customStyle="1" w:styleId="Tiret1">
    <w:name w:val="Tiret 1"/>
    <w:basedOn w:val="Normal"/>
    <w:pPr>
      <w:widowControl/>
      <w:numPr>
        <w:numId w:val="16"/>
      </w:numPr>
      <w:tabs>
        <w:tab w:val="clear" w:pos="1417"/>
        <w:tab w:val="num" w:pos="851"/>
      </w:tabs>
      <w:spacing w:before="120" w:after="120"/>
      <w:ind w:left="851" w:hanging="851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pPr>
      <w:widowControl/>
      <w:numPr>
        <w:ilvl w:val="1"/>
        <w:numId w:val="18"/>
      </w:numPr>
      <w:tabs>
        <w:tab w:val="clear" w:pos="567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pPr>
      <w:widowControl/>
      <w:numPr>
        <w:ilvl w:val="3"/>
        <w:numId w:val="18"/>
      </w:numPr>
      <w:tabs>
        <w:tab w:val="clear" w:pos="1134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pPr>
      <w:widowControl/>
      <w:numPr>
        <w:ilvl w:val="5"/>
        <w:numId w:val="18"/>
      </w:numPr>
      <w:tabs>
        <w:tab w:val="clear" w:pos="1701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pPr>
      <w:widowControl/>
      <w:numPr>
        <w:ilvl w:val="7"/>
        <w:numId w:val="18"/>
      </w:numPr>
      <w:tabs>
        <w:tab w:val="clear" w:pos="2268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pPr>
      <w:widowControl/>
      <w:numPr>
        <w:ilvl w:val="8"/>
        <w:numId w:val="18"/>
      </w:numPr>
      <w:tabs>
        <w:tab w:val="clear" w:pos="2835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pPr>
      <w:widowControl/>
      <w:numPr>
        <w:numId w:val="18"/>
      </w:numPr>
      <w:tabs>
        <w:tab w:val="clear" w:pos="567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pPr>
      <w:widowControl/>
      <w:numPr>
        <w:ilvl w:val="2"/>
        <w:numId w:val="18"/>
      </w:numPr>
      <w:tabs>
        <w:tab w:val="clear" w:pos="1134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pPr>
      <w:widowControl/>
      <w:numPr>
        <w:ilvl w:val="4"/>
        <w:numId w:val="18"/>
      </w:numPr>
      <w:tabs>
        <w:tab w:val="clear" w:pos="1701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pPr>
      <w:widowControl/>
      <w:numPr>
        <w:ilvl w:val="6"/>
        <w:numId w:val="18"/>
      </w:numPr>
      <w:tabs>
        <w:tab w:val="clear" w:pos="2268"/>
        <w:tab w:val="num" w:pos="1417"/>
      </w:tabs>
      <w:spacing w:before="120" w:after="120"/>
      <w:ind w:left="1417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fr-BE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33E5-AD12-461B-8D57-750D710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362</Words>
  <Characters>2065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RANDERS Berit</dc:creator>
  <cp:lastModifiedBy>WES PDFC Administrator</cp:lastModifiedBy>
  <cp:revision>15</cp:revision>
  <cp:lastPrinted>2018-12-18T09:14:00Z</cp:lastPrinted>
  <dcterms:created xsi:type="dcterms:W3CDTF">2019-10-16T07:40:00Z</dcterms:created>
  <dcterms:modified xsi:type="dcterms:W3CDTF">2019-10-25T09:19:00Z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