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2B" w:rsidRDefault="00237EF8">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DA30503-83AD-4D92-BB35-E6D65815D8C6" style="width:450.7pt;height:320.75pt">
            <v:imagedata r:id="rId8" o:title=""/>
          </v:shape>
        </w:pict>
      </w:r>
    </w:p>
    <w:bookmarkEnd w:id="0"/>
    <w:p w:rsidR="00B1412B" w:rsidRDefault="00B1412B">
      <w:pPr>
        <w:rPr>
          <w:noProof/>
        </w:rPr>
        <w:sectPr w:rsidR="00B1412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299"/>
        </w:sectPr>
      </w:pPr>
    </w:p>
    <w:p w:rsidR="00B1412B" w:rsidRDefault="00237EF8">
      <w:pPr>
        <w:spacing w:before="360" w:after="120" w:line="240" w:lineRule="auto"/>
        <w:jc w:val="both"/>
        <w:rPr>
          <w:rFonts w:ascii="Times New Roman" w:hAnsi="Times New Roman"/>
          <w:b/>
          <w:noProof/>
          <w:sz w:val="24"/>
          <w:szCs w:val="24"/>
        </w:rPr>
      </w:pPr>
      <w:r>
        <w:rPr>
          <w:rFonts w:ascii="Times New Roman" w:hAnsi="Times New Roman"/>
          <w:b/>
          <w:noProof/>
        </w:rPr>
        <w:lastRenderedPageBreak/>
        <w:t>1.</w:t>
      </w:r>
      <w:r>
        <w:rPr>
          <w:rFonts w:ascii="Times New Roman" w:hAnsi="Times New Roman"/>
          <w:b/>
          <w:noProof/>
        </w:rPr>
        <w:tab/>
        <w:t xml:space="preserve">ΕΙΣΑΓΩΓΗ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 xml:space="preserve">Ο μηχανισμός συνεργασίας και ελέγχου (ΜΣΕ) θεσπίστηκε κατά την προσχώρηση της Ρουμανίας στην Ευρωπαϊκή Ένωση, το 2007, ως μεταβατικό </w:t>
      </w:r>
      <w:r>
        <w:rPr>
          <w:rFonts w:ascii="Times New Roman" w:hAnsi="Times New Roman"/>
          <w:noProof/>
        </w:rPr>
        <w:t>μέτρο για τη διευκόλυνση των συνεχιζόμενων προσπαθειών της Ρουμανίας να μεταρρυθμίσει το δικαστικό της σύστημα και να εντείνει την καταπολέμηση της διαφθοράς</w:t>
      </w:r>
      <w:r>
        <w:rPr>
          <w:rStyle w:val="FootnoteReference"/>
          <w:rFonts w:ascii="Times New Roman" w:hAnsi="Times New Roman"/>
          <w:noProof/>
        </w:rPr>
        <w:footnoteReference w:id="2"/>
      </w:r>
      <w:r>
        <w:rPr>
          <w:noProof/>
        </w:rPr>
        <w:t>.</w:t>
      </w:r>
      <w:r>
        <w:rPr>
          <w:rFonts w:ascii="Times New Roman" w:hAnsi="Times New Roman"/>
          <w:noProof/>
        </w:rPr>
        <w:t xml:space="preserve"> Αποτελούσε κοινή δέσμευση του ρουμανικού κράτους και της ΕΕ. Σύμφωνα με την απόφαση για τη δημιο</w:t>
      </w:r>
      <w:r>
        <w:rPr>
          <w:rFonts w:ascii="Times New Roman" w:hAnsi="Times New Roman"/>
          <w:noProof/>
        </w:rPr>
        <w:t>υργία του μηχανισμού και όπως υπογραμμίζεται από το Συμβούλιο, ο ΜΣΕ λήγει όταν πληρούνται ικανοποιητικά όλα τα κριτήρια αναφοράς που ισχύουν για τη Ρουμανία</w:t>
      </w:r>
      <w:r>
        <w:rPr>
          <w:rStyle w:val="FootnoteReference"/>
          <w:rFonts w:ascii="Times New Roman" w:hAnsi="Times New Roman"/>
          <w:noProof/>
        </w:rPr>
        <w:footnoteReference w:id="3"/>
      </w:r>
      <w:r>
        <w:rPr>
          <w:noProof/>
        </w:rPr>
        <w:t>.</w:t>
      </w:r>
      <w:r>
        <w:rPr>
          <w:rStyle w:val="FootnoteReference"/>
          <w:rFonts w:ascii="Times New Roman" w:hAnsi="Times New Roman"/>
          <w:noProof/>
        </w:rPr>
        <w:t xml:space="preserve">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Ο ΜΣΕ εργάζεται από το 2007 για να ενθαρρύνει και να παρακολουθεί τη διαδικασία μεταρρύθμισης σ</w:t>
      </w:r>
      <w:r>
        <w:rPr>
          <w:rFonts w:ascii="Times New Roman" w:hAnsi="Times New Roman"/>
          <w:noProof/>
        </w:rPr>
        <w:t>τα θέματα αυτά. Τον Ιανουάριο του 2017, η Επιτροπή προέβη σε συνολική αξιολόγηση της προόδου κατά τα δέκα έτη του μηχανισμού.</w:t>
      </w:r>
      <w:r>
        <w:rPr>
          <w:rStyle w:val="FootnoteReference"/>
          <w:rFonts w:ascii="Times New Roman" w:hAnsi="Times New Roman"/>
          <w:noProof/>
        </w:rPr>
        <w:footnoteReference w:id="4"/>
      </w:r>
      <w:r>
        <w:rPr>
          <w:noProof/>
        </w:rPr>
        <w:t>.</w:t>
      </w:r>
      <w:r>
        <w:rPr>
          <w:rFonts w:ascii="Times New Roman" w:hAnsi="Times New Roman"/>
          <w:noProof/>
        </w:rPr>
        <w:t xml:space="preserve"> Η προοπτική αυτή έδωσε μια σαφέστερη εικόνα της σημαντικής προόδου που σημειώθηκε μετά την προσχώρηση και επέτρεψε στην Επιτροπή</w:t>
      </w:r>
      <w:r>
        <w:rPr>
          <w:rFonts w:ascii="Times New Roman" w:hAnsi="Times New Roman"/>
          <w:noProof/>
        </w:rPr>
        <w:t xml:space="preserve"> να εκδώσει δώδεκα συστάσεις η υλοποίηση των οποίων θα επαρκούσε για τον τερματισμό της διαδικασίας του ΜΣΕ, και οι οποίες θα μπορούσαν να εκπληρωθούν στο πλαίσιο της εντολής της παρούσας Επιτροπής. Ο τερματισμός του ΜΣΕ θα εξαρτιόταν από την υλοποίηση των</w:t>
      </w:r>
      <w:r>
        <w:rPr>
          <w:rFonts w:ascii="Times New Roman" w:hAnsi="Times New Roman"/>
          <w:noProof/>
        </w:rPr>
        <w:t xml:space="preserve"> συστάσεων κατά μη αναστρέψιμο τρόπο, αλλά και από την προϋπόθεση ότι οι εξελίξεις δεν θα ήταν τέτοιες που να αντιστρέφουν σαφώς την πορεία της προόδου. </w:t>
      </w:r>
    </w:p>
    <w:p w:rsidR="00B1412B" w:rsidRDefault="00237EF8">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rPr>
        <w:t>Έκτοτε, η Επιτροπή διενήργησε δύο αξιολογήσεις προόδου όσον αφορά την εφαρμογή των συστάσεων. Τον Νοέμ</w:t>
      </w:r>
      <w:r>
        <w:rPr>
          <w:rFonts w:ascii="Times New Roman" w:hAnsi="Times New Roman"/>
          <w:noProof/>
        </w:rPr>
        <w:t>βριο του 2017</w:t>
      </w:r>
      <w:r>
        <w:rPr>
          <w:rStyle w:val="FootnoteReference"/>
          <w:rFonts w:ascii="Times New Roman" w:hAnsi="Times New Roman"/>
          <w:noProof/>
        </w:rPr>
        <w:footnoteReference w:id="5"/>
      </w:r>
      <w:r>
        <w:rPr>
          <w:rFonts w:ascii="Times New Roman" w:hAnsi="Times New Roman"/>
          <w:noProof/>
        </w:rPr>
        <w:t>, η Επιτροπή κατέγραψε πρόοδο σε μια σειρά συστάσεων, αλλά σημείωσε ότι η δυναμική των μεταρρυθμίσεων είχε χαθεί εντός του 2017. Προειδοποίησε για τον κίνδυνο να ανοίξουν εκ νέου ζητήματα που η έκθεση του Ιανουαρίου 2017 είχε θεωρήσει ότι είχ</w:t>
      </w:r>
      <w:r>
        <w:rPr>
          <w:rFonts w:ascii="Times New Roman" w:hAnsi="Times New Roman"/>
          <w:noProof/>
        </w:rPr>
        <w:t>αν υλοποιηθεί. Οι ανησυχίες αυτές διατυπώθηκαν και από το Συμβούλιο</w:t>
      </w:r>
      <w:r>
        <w:rPr>
          <w:rStyle w:val="FootnoteReference"/>
          <w:rFonts w:ascii="Times New Roman" w:hAnsi="Times New Roman"/>
          <w:noProof/>
        </w:rPr>
        <w:footnoteReference w:id="6"/>
      </w:r>
      <w:r>
        <w:rPr>
          <w:noProof/>
        </w:rPr>
        <w:t>.</w:t>
      </w:r>
    </w:p>
    <w:p w:rsidR="00B1412B" w:rsidRDefault="00237EF8">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rPr>
        <w:t>Στην έκθεση του Νοεμβρίου 2018</w:t>
      </w:r>
      <w:r>
        <w:rPr>
          <w:rStyle w:val="FootnoteReference"/>
          <w:rFonts w:ascii="Times New Roman" w:hAnsi="Times New Roman"/>
          <w:noProof/>
        </w:rPr>
        <w:footnoteReference w:id="7"/>
      </w:r>
      <w:r>
        <w:rPr>
          <w:rFonts w:ascii="Times New Roman" w:hAnsi="Times New Roman"/>
          <w:noProof/>
        </w:rPr>
        <w:t>, η Επιτροπή κατέληξε στο συμπέρασμα ότι οι εξελίξεις είχαν ανατρέψει ή υπονομεύσει τη μη αναστρεψιμότητα της προόδου. Ως εκ τούτου, οι δώδεκα συστάσεις πο</w:t>
      </w:r>
      <w:r>
        <w:rPr>
          <w:rFonts w:ascii="Times New Roman" w:hAnsi="Times New Roman"/>
          <w:noProof/>
        </w:rPr>
        <w:t>υ περιλαμβάνονταν στην έκθεση του Ιανουαρίου 2017 δεν ήταν πλέον επαρκείς για την περάτωση της διαδικασίας του ΜΣΕ και χρειάστηκε να διατυπωθούν οκτώ πρόσθετες συστάσεις. Η έκθεση καλούσε τα κύρια θεσμικά όργανα της Ρουμανίας να επιδείξουν ισχυρή προσήλωση</w:t>
      </w:r>
      <w:r>
        <w:rPr>
          <w:rFonts w:ascii="Times New Roman" w:hAnsi="Times New Roman"/>
          <w:noProof/>
        </w:rPr>
        <w:t xml:space="preserve"> στην ανεξαρτησία της δικαιοσύνης και στην καταπολέμηση της διαφθοράς που αποτελούν απαραίτητους ακρογωνιαίους λίθους, καθώς και στην αποκατάσταση της ικανότητας των εθνικών δικλείδων ασφαλείας και θεσμικών αντίβαρων να αναλαμβάνουν δράση όταν υπάρχει κίνδ</w:t>
      </w:r>
      <w:r>
        <w:rPr>
          <w:rFonts w:ascii="Times New Roman" w:hAnsi="Times New Roman"/>
          <w:noProof/>
        </w:rPr>
        <w:t>υνος οπισθοδρόμησης. Η άποψη αυτή υποστηρίχθηκε τόσο από το Ευρωπαϊκό Κοινοβούλιο όσο και από το Συμβούλιο. Το Ευρωπαϊκό Κοινοβούλιο εξέδωσε ψήφισμα με το οποίο ζητούσε συνεργασία και ανέφερε τον κίνδυνο για το κράτος δικαίου</w:t>
      </w:r>
      <w:r>
        <w:rPr>
          <w:rStyle w:val="FootnoteReference"/>
          <w:rFonts w:ascii="Times New Roman" w:hAnsi="Times New Roman"/>
          <w:noProof/>
        </w:rPr>
        <w:footnoteReference w:id="8"/>
      </w:r>
      <w:r>
        <w:rPr>
          <w:noProof/>
        </w:rPr>
        <w:t>.</w:t>
      </w:r>
      <w:r>
        <w:rPr>
          <w:rFonts w:ascii="Times New Roman" w:hAnsi="Times New Roman"/>
          <w:noProof/>
        </w:rPr>
        <w:t xml:space="preserve"> Στα συμπεράσματα του Δεκεμβρ</w:t>
      </w:r>
      <w:r>
        <w:rPr>
          <w:rFonts w:ascii="Times New Roman" w:hAnsi="Times New Roman"/>
          <w:noProof/>
        </w:rPr>
        <w:t>ίου 2018, το Συμβούλιο κάλεσε ρητά τη Ρουμανία να εφαρμόσει τις πρόσθετες συστάσεις</w:t>
      </w:r>
      <w:r>
        <w:rPr>
          <w:rStyle w:val="FootnoteReference"/>
          <w:rFonts w:ascii="Times New Roman" w:hAnsi="Times New Roman"/>
          <w:noProof/>
        </w:rPr>
        <w:footnoteReference w:id="9"/>
      </w:r>
      <w:r>
        <w:rPr>
          <w:noProof/>
        </w:rPr>
        <w:t>.</w:t>
      </w:r>
    </w:p>
    <w:p w:rsidR="00B1412B" w:rsidRDefault="00237EF8">
      <w:pPr>
        <w:tabs>
          <w:tab w:val="left" w:pos="2940"/>
        </w:tabs>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rPr>
        <w:lastRenderedPageBreak/>
        <w:t xml:space="preserve">Στην παρούσα έκθεση παρατίθεται απολογισμός της κατάστασης από τον Νοέμβριο του 2018. Κατά την περίοδο αυτή, η Επιτροπή χρειάστηκε αρκετές φορές να διατυπώσει ανησυχίες </w:t>
      </w:r>
      <w:r>
        <w:rPr>
          <w:rFonts w:ascii="Times New Roman" w:hAnsi="Times New Roman"/>
          <w:noProof/>
        </w:rPr>
        <w:t>σχετικά με το κράτος δικαίου, εκφράζοντας συγκεκριμένα τις ανησυχίες της για την οπισθοδρόμηση από την πρόοδο που σημειώθηκε κατά τα προηγούμενα έτη. Κατά το μεγαλύτερο διάστημα αυτής της περιόδου, οι ρουμανικές αρχές επέδειξαν ελάχιστη ή και μηδενική προθ</w:t>
      </w:r>
      <w:r>
        <w:rPr>
          <w:rFonts w:ascii="Times New Roman" w:hAnsi="Times New Roman"/>
          <w:noProof/>
        </w:rPr>
        <w:t>υμία να ασχοληθούν με τις πρόσθετες συστάσεις του Νοεμβρίου 2018 — ή ακόμη και με τις συστάσεις της Επιτροπής της Βενετίας και της ομάδας των κρατών του Συμβουλίου της Ευρώπης για την καταπολέμηση της διαφθοράς</w:t>
      </w:r>
      <w:r>
        <w:rPr>
          <w:rStyle w:val="FootnoteReference"/>
          <w:rFonts w:ascii="Times New Roman" w:hAnsi="Times New Roman"/>
          <w:noProof/>
        </w:rPr>
        <w:footnoteReference w:id="10"/>
      </w:r>
      <w:r>
        <w:rPr>
          <w:noProof/>
        </w:rPr>
        <w:t>.</w:t>
      </w:r>
      <w:r>
        <w:rPr>
          <w:rFonts w:ascii="Times New Roman" w:hAnsi="Times New Roman"/>
          <w:noProof/>
        </w:rPr>
        <w:t xml:space="preserve"> Οι προσπάθειες όσων επιδιώκουν να αντιστρέψ</w:t>
      </w:r>
      <w:r>
        <w:rPr>
          <w:rFonts w:ascii="Times New Roman" w:hAnsi="Times New Roman"/>
          <w:noProof/>
        </w:rPr>
        <w:t>ουν την αρνητική τάση —στους οποίους συγκαταλέγονται όχι μόνο πολιτικές φωνές, αλλά και η κοινωνία των πολιτών και  εκπρόσωποι του δικαστικού σώματος— δεν μπόρεσαν να επικρατήσουν. Αυτό οδήγησε σε ριζικές αμφιβολίες σχετικά με το κατά πόσον λειτουργούσαν τ</w:t>
      </w:r>
      <w:r>
        <w:rPr>
          <w:rFonts w:ascii="Times New Roman" w:hAnsi="Times New Roman"/>
          <w:noProof/>
        </w:rPr>
        <w:t>α θεσμικά αντίβαρα που αναγνωρίστηκαν στην έκθεση του Ιανουαρίου 2017. Τον Μάιο του 2019, η Επιτροπή απηύθυνε επιστολή στις ρουμανικές αρχές εξηγώντας πώς οι πρόσφατες εξελίξεις επιδείνωσαν περαιτέρω τα υφιστάμενα προβλήματα όσον αφορά τον σεβασμό του κράτ</w:t>
      </w:r>
      <w:r>
        <w:rPr>
          <w:rFonts w:ascii="Times New Roman" w:hAnsi="Times New Roman"/>
          <w:noProof/>
        </w:rPr>
        <w:t>ους δικαίου εν γένει. Άφησε ανοικτό το ενδεχόμενο, εάν δεν βελτιωθεί η κατάσταση, η Επιτροπή να λάβει μέτρα βάσει του πλαισίου για το κράτος δικαίου</w:t>
      </w:r>
      <w:r>
        <w:rPr>
          <w:rStyle w:val="FootnoteReference"/>
          <w:rFonts w:ascii="Times New Roman" w:hAnsi="Times New Roman"/>
          <w:noProof/>
        </w:rPr>
        <w:footnoteReference w:id="11"/>
      </w:r>
      <w:r>
        <w:rPr>
          <w:noProof/>
        </w:rPr>
        <w:t>.</w:t>
      </w:r>
      <w:r>
        <w:rPr>
          <w:rFonts w:ascii="Times New Roman" w:hAnsi="Times New Roman"/>
          <w:noProof/>
        </w:rPr>
        <w:t xml:space="preserve"> Τον Ιούνιο του 2019, σε συνάντηση με τον πρόεδρο κ. Juncker και τον πρώτο αντιπρόεδρο κ. Timmermans, ο πρ</w:t>
      </w:r>
      <w:r>
        <w:rPr>
          <w:rFonts w:ascii="Times New Roman" w:hAnsi="Times New Roman"/>
          <w:noProof/>
        </w:rPr>
        <w:t>ωθυπουργός της Ρουμανίας δεσμεύτηκε να μην δώσει συνέχεια στις αμφιλεγόμενες μεταρρυθμίσεις του δικαστικού συστήματος και να αρχίσει αμέσως εκ νέου τον διάλογο στο πλαίσιο του ΜΣΕ προκειμένου να σημειωθεί πρόοδος όσον αφορά τις μεταρρυθμίσεις του δικαστικο</w:t>
      </w:r>
      <w:r>
        <w:rPr>
          <w:rFonts w:ascii="Times New Roman" w:hAnsi="Times New Roman"/>
          <w:noProof/>
        </w:rPr>
        <w:t>ύ συστήματος και την καταπολέμηση της διαφθοράς. Αυτή η αλλαγή προσέγγισης ήταν επίσης σύμφωνη με τα αποτελέσματα δημοψηφίσματος που διεξήχθη τον Μάιο του 2019, το οποίο συγκάλεσε ο πρόεδρος της Ρουμανίας, και στο οποίο η συντριπτική πλειοψηφία των Ρουμάνω</w:t>
      </w:r>
      <w:r>
        <w:rPr>
          <w:rFonts w:ascii="Times New Roman" w:hAnsi="Times New Roman"/>
          <w:noProof/>
        </w:rPr>
        <w:t>ν πολιτών υποστήριξε προτάσεις για την ενίσχυση των δικλείδων ασφαλείας κατά της διαφθοράς και κατά της αυθαίρετης χρήσης έκτακτων διαταγμάτων</w:t>
      </w:r>
      <w:r>
        <w:rPr>
          <w:rFonts w:ascii="Times New Roman" w:hAnsi="Times New Roman"/>
          <w:noProof/>
          <w:vertAlign w:val="superscript"/>
        </w:rPr>
        <w:footnoteReference w:id="12"/>
      </w:r>
      <w:r>
        <w:rPr>
          <w:rFonts w:ascii="Times New Roman" w:hAnsi="Times New Roman"/>
          <w:noProof/>
        </w:rPr>
        <w:t>.</w:t>
      </w:r>
    </w:p>
    <w:p w:rsidR="00B1412B" w:rsidRDefault="00237EF8">
      <w:pPr>
        <w:tabs>
          <w:tab w:val="left" w:pos="2940"/>
        </w:tabs>
        <w:autoSpaceDE w:val="0"/>
        <w:autoSpaceDN w:val="0"/>
        <w:adjustRightInd w:val="0"/>
        <w:spacing w:after="360" w:line="240" w:lineRule="auto"/>
        <w:jc w:val="both"/>
        <w:rPr>
          <w:rFonts w:ascii="Times New Roman" w:hAnsi="Times New Roman"/>
          <w:noProof/>
          <w:sz w:val="24"/>
          <w:szCs w:val="24"/>
        </w:rPr>
      </w:pPr>
      <w:r>
        <w:rPr>
          <w:rFonts w:ascii="Times New Roman" w:hAnsi="Times New Roman"/>
          <w:noProof/>
        </w:rPr>
        <w:t>Όπως και τα προηγούμενα έτη, η παρούσα έκθεση είναι το αποτέλεσμα ενδελεχούς διαδικασίας ανάλυσης εκ μέρους της</w:t>
      </w:r>
      <w:r>
        <w:rPr>
          <w:rFonts w:ascii="Times New Roman" w:hAnsi="Times New Roman"/>
          <w:noProof/>
        </w:rPr>
        <w:t xml:space="preserve"> Επιτροπής, η οποία βασίζεται στη στενή συνεργασία με τα θεσμικά όργανα της Ρουμανίας, καθώς και στη συμβολή  άλλων κρατών μελών, και της κοινωνίας των πολιτών και άλλων φορέων.</w:t>
      </w:r>
    </w:p>
    <w:p w:rsidR="00B1412B" w:rsidRDefault="00237EF8">
      <w:pPr>
        <w:keepNext/>
        <w:spacing w:after="120" w:line="240" w:lineRule="auto"/>
        <w:ind w:left="567" w:hanging="567"/>
        <w:jc w:val="both"/>
        <w:rPr>
          <w:rFonts w:ascii="Times New Roman" w:hAnsi="Times New Roman"/>
          <w:b/>
          <w:noProof/>
          <w:sz w:val="24"/>
          <w:szCs w:val="24"/>
        </w:rPr>
      </w:pPr>
      <w:r>
        <w:rPr>
          <w:rFonts w:ascii="Times New Roman" w:hAnsi="Times New Roman"/>
          <w:b/>
          <w:noProof/>
        </w:rPr>
        <w:lastRenderedPageBreak/>
        <w:t xml:space="preserve">2. </w:t>
      </w:r>
      <w:r>
        <w:rPr>
          <w:rFonts w:ascii="Times New Roman" w:hAnsi="Times New Roman"/>
          <w:b/>
          <w:noProof/>
        </w:rPr>
        <w:tab/>
        <w:t>Η ΚΑΤΑΣΤΑΣΗ ΕΝ ΓΕΝΕΙ</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Στην έκθεση του Ιανουαρίου του 2017, επισημαίνεται ότ</w:t>
      </w:r>
      <w:r>
        <w:rPr>
          <w:rFonts w:ascii="Times New Roman" w:hAnsi="Times New Roman"/>
          <w:noProof/>
        </w:rPr>
        <w:t>ι υπάρχουν ευρύτεροι κοινωνικοί, νομικοί και πολιτικοί παράγοντες που δεν εμπίπτουν στο πεδίο εφαρμογής του ΜΣΕ και δεν καλύπτονται από τις συστάσεις του, οι οποίοι, ωστόσο, «έχουν άμεσο αντίκτυπο στην ικανότητα υλοποίησης μεταρρυθμίσεων και ιδίως έχουν κα</w:t>
      </w:r>
      <w:r>
        <w:rPr>
          <w:rFonts w:ascii="Times New Roman" w:hAnsi="Times New Roman"/>
          <w:noProof/>
        </w:rPr>
        <w:t>ταστήσει δυσκολότερο για τη Ρουμανία να αποδείξει ότι η μεταρρύθμιση αυτή κατοχυρώνεται σε μόνιμη βάση». Μεταξύ των σημείων που επισημαίνονται είναι το γεγονός ότι η νομοθετική πρακτική δεν έχει ακόμη αναπτύξει αρχές για τη βελτίωση της νομοθεσίας, η ατμόσ</w:t>
      </w:r>
      <w:r>
        <w:rPr>
          <w:rFonts w:ascii="Times New Roman" w:hAnsi="Times New Roman"/>
          <w:noProof/>
        </w:rPr>
        <w:t>φαιρα αντιπαράθεσης μεταξύ κρατικών παραγόντων και το περιβάλλον των μέσων ενημέρωσης. Μεταγενέστερες εκθέσεις επιβεβαίωσαν την αρνητική επίδραση που έχουν οι παράγοντες αυτοί στην πρόοδο της μεταρρύθμισης του δικαστικού συστήματος και στην καταπολέμηση τη</w:t>
      </w:r>
      <w:r>
        <w:rPr>
          <w:rFonts w:ascii="Times New Roman" w:hAnsi="Times New Roman"/>
          <w:noProof/>
        </w:rPr>
        <w:t xml:space="preserve">ς διαφθοράς.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Οι εξελίξεις που σημειώθηκαν μετά την τελευταία έκθεση έδειξαν εκ νέου ότι σημαντικές νομοθετικές αλλαγές, και εκτός του τομέα της δικαιοσύνης, κατατέθηκαν εσπευσμένα με διαδικασίες κατεπείγοντος και ελάχιστη διαβούλευση, με αποτέλεσμα να πλ</w:t>
      </w:r>
      <w:r>
        <w:rPr>
          <w:rFonts w:ascii="Times New Roman" w:hAnsi="Times New Roman"/>
          <w:noProof/>
        </w:rPr>
        <w:t>ηγεί τόσο η ποιότητα της νομοθεσίας όσο και η εμπιστοσύνη του κοινού στη χάραξη πολιτικής. Οι αναφορές των μέσων ενημέρωσης σε δικαστές και εισαγγελείς εξακολουθούν να είναι παραπλανητικές και να περιέχουν αδικαιολόγητες προσωπικές επιθέσεις, ενώ οι μηχανι</w:t>
      </w:r>
      <w:r>
        <w:rPr>
          <w:rFonts w:ascii="Times New Roman" w:hAnsi="Times New Roman"/>
          <w:noProof/>
        </w:rPr>
        <w:t>σμοί προσφυγής υστερούν, επηρεάζοντας εντέλει τη φήμη και την αξιοπιστία του δικαστικού συστήματος εν γένει. Διαφορετικοί κρατικοί τομείς βρίσκονται εκ νέου σε σύγκρουση μεταξύ τους, και αυτές οι αντιμαχίες εκτυλίσσονται ολοένα και περισσότερο στο Συνταγμα</w:t>
      </w:r>
      <w:r>
        <w:rPr>
          <w:rFonts w:ascii="Times New Roman" w:hAnsi="Times New Roman"/>
          <w:noProof/>
        </w:rPr>
        <w:t xml:space="preserve">τικό Δικαστήριο, γεγονός που αυξάνει περαιτέρω τις εντάσεις και καταδεικνύει την έλλειψη καλόπιστης συνεργασίας.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Οι συζητήσεις γύρω από τις συμφωνίες συνεργασίας μεταξύ των δικαστικών οργάνων και των ρουμανικών υπηρεσιών πληροφοριών («απόρρητα πρωτόκολλ</w:t>
      </w:r>
      <w:r>
        <w:rPr>
          <w:rFonts w:ascii="Times New Roman" w:hAnsi="Times New Roman"/>
          <w:noProof/>
        </w:rPr>
        <w:t>α»)</w:t>
      </w:r>
      <w:r>
        <w:rPr>
          <w:rStyle w:val="FootnoteReference"/>
          <w:rFonts w:ascii="Times New Roman" w:hAnsi="Times New Roman"/>
          <w:noProof/>
        </w:rPr>
        <w:footnoteReference w:id="13"/>
      </w:r>
      <w:r>
        <w:rPr>
          <w:rFonts w:ascii="Times New Roman" w:hAnsi="Times New Roman"/>
          <w:noProof/>
        </w:rPr>
        <w:t xml:space="preserve"> εξακολουθούν να είναι διχαστικές. Μια απόφαση του Συνταγματικού Δικαστηρίου άνοιξε τον δρόμο ώστε τα δικαστήρια να ασχοληθούν με τις εν εξελίξει και τις μελλοντικές υποθέσεις, αλλά εξακολουθεί να υπάρχει αβεβαιότητα σχετικά με τον πραγματικό αντίκτυπο</w:t>
      </w:r>
      <w:r>
        <w:rPr>
          <w:rFonts w:ascii="Times New Roman" w:hAnsi="Times New Roman"/>
          <w:noProof/>
        </w:rPr>
        <w:t xml:space="preserve">. Η Επιτροπή δεν μπορεί παρά να επαναλάβει ότι ο στόχος θα πρέπει να είναι ένα πλαίσιο δέουσας δημοκρατικής εποπτείας των υπηρεσιών πληροφοριών, αποτελεσματικής διερεύνησης και τιμωρίας των εγκλημάτων με πλήρη σεβασμό των θεμελιωδών δικαιωμάτων, εντός του </w:t>
      </w:r>
      <w:r>
        <w:rPr>
          <w:rFonts w:ascii="Times New Roman" w:hAnsi="Times New Roman"/>
          <w:noProof/>
        </w:rPr>
        <w:t>οποίου οι πολίτες θα μπορούν να είναι βέβαιοι ότι η ανεξαρτησία της δικαιοσύνης προστατεύεται. Η Επιτροπή υπενθυμίζει την προηγούμενη υπόδειξή της, ότι η άντληση εμπειρογνωσίας από άλλα κράτη μέλη θα μπορούσε να συμβάλει στη δημιουργία ισχυρότερου συστήματ</w:t>
      </w:r>
      <w:r>
        <w:rPr>
          <w:rFonts w:ascii="Times New Roman" w:hAnsi="Times New Roman"/>
          <w:noProof/>
        </w:rPr>
        <w:t>ος για τεχνικά μέτρα εποπτείας που θα χρησιμοποιούν οι εισαγγελικές αρχές, καθώς και για τη συνεργασία μεταξύ των υπηρεσιών πληροφοριών και των εισαγγελικών αρχών η οποία είναι απαραίτητη για τη δίωξη σοβαρών εγκλημάτων, όπως η τρομοκρατία και το ηλεκτρονι</w:t>
      </w:r>
      <w:r>
        <w:rPr>
          <w:rFonts w:ascii="Times New Roman" w:hAnsi="Times New Roman"/>
          <w:noProof/>
        </w:rPr>
        <w:t>κό έγκλημα</w:t>
      </w:r>
      <w:r>
        <w:rPr>
          <w:rStyle w:val="FootnoteReference"/>
          <w:rFonts w:ascii="Times New Roman" w:hAnsi="Times New Roman"/>
          <w:noProof/>
        </w:rPr>
        <w:footnoteReference w:id="14"/>
      </w:r>
      <w:r>
        <w:rPr>
          <w:noProof/>
        </w:rPr>
        <w:t>.</w:t>
      </w:r>
    </w:p>
    <w:p w:rsidR="00B1412B" w:rsidRDefault="00237EF8">
      <w:pPr>
        <w:spacing w:after="360" w:line="240" w:lineRule="auto"/>
        <w:jc w:val="both"/>
        <w:rPr>
          <w:rFonts w:ascii="Times New Roman" w:hAnsi="Times New Roman"/>
          <w:noProof/>
          <w:sz w:val="24"/>
          <w:szCs w:val="24"/>
        </w:rPr>
      </w:pPr>
      <w:r>
        <w:rPr>
          <w:rFonts w:ascii="Times New Roman" w:hAnsi="Times New Roman"/>
          <w:noProof/>
        </w:rPr>
        <w:t xml:space="preserve">Η προσέγγιση της ΕΕ στο κράτος δικαίου, πέραν του πεδίου εφαρμογής του ΜΣΕ, επηρεάζει επίσης το ευρύτερο περιβάλλον σε επίπεδο ΕΕ. Ο αποτελεσματικός δικαστικός έλεγχος από ανεξάρτητα δικαστήρια επιβάλλεται από το άρθρο 19 παράγραφος 1 της ΣΕΕ </w:t>
      </w:r>
      <w:r>
        <w:rPr>
          <w:rFonts w:ascii="Times New Roman" w:hAnsi="Times New Roman"/>
          <w:noProof/>
        </w:rPr>
        <w:t>ως απτή έκφραση της αξίας του κράτους δικαίου, όπως επιβεβαιώνεται από την πρόσφατη νομολογία του Δικαστηρίου της Ευρωπαϊκής Ένωσης. Στην ανακοίνωση της Επιτροπής του Ιουλίου 2019</w:t>
      </w:r>
      <w:r>
        <w:rPr>
          <w:rFonts w:ascii="Times New Roman" w:hAnsi="Times New Roman"/>
          <w:noProof/>
          <w:vertAlign w:val="superscript"/>
        </w:rPr>
        <w:footnoteReference w:id="15"/>
      </w:r>
      <w:r>
        <w:rPr>
          <w:rFonts w:ascii="Times New Roman" w:hAnsi="Times New Roman"/>
          <w:noProof/>
        </w:rPr>
        <w:t xml:space="preserve"> καθορίζονται συγκεκριμένες δράσεις για την ενίσχυση της ικανότητας της Ένωσ</w:t>
      </w:r>
      <w:r>
        <w:rPr>
          <w:rFonts w:ascii="Times New Roman" w:hAnsi="Times New Roman"/>
          <w:noProof/>
        </w:rPr>
        <w:t xml:space="preserve">ης να προάγει και να υποστηρίζει το κράτος δικαίου, να προλαμβάνει την εκδήλωση ανησυχιών σχετικών με το κράτος δικαίου μέσω της καθιέρωσης ενός κύκλου επανεξέτασης του κράτους δικαίου για την παρακολούθηση των εξελίξεων στα κράτη μέλη, και να αποκρίνεται </w:t>
      </w:r>
      <w:r>
        <w:rPr>
          <w:rFonts w:ascii="Times New Roman" w:hAnsi="Times New Roman"/>
          <w:noProof/>
        </w:rPr>
        <w:t xml:space="preserve">αποτελεσματικά. Στις πολιτικές κατευθύνσεις για την επόμενη Επιτροπή διατυπώνεται η πρόθεση σύστασης ολοκληρωμένου μηχανισμού για το κράτος </w:t>
      </w:r>
      <w:r>
        <w:rPr>
          <w:rFonts w:ascii="Times New Roman" w:hAnsi="Times New Roman"/>
          <w:noProof/>
        </w:rPr>
        <w:lastRenderedPageBreak/>
        <w:t xml:space="preserve">δικαίου με πανευρωπαϊκή εμβέλεια και υποβολή αντικειμενικών εκθέσεων από όλα τα κράτη μέλη </w:t>
      </w:r>
      <w:r>
        <w:rPr>
          <w:rStyle w:val="FootnoteReference"/>
          <w:rFonts w:ascii="Times New Roman" w:hAnsi="Times New Roman"/>
          <w:noProof/>
        </w:rPr>
        <w:footnoteReference w:id="16"/>
      </w:r>
      <w:r>
        <w:rPr>
          <w:noProof/>
        </w:rPr>
        <w:t>.</w:t>
      </w:r>
      <w:r>
        <w:rPr>
          <w:rFonts w:ascii="Times New Roman" w:hAnsi="Times New Roman"/>
          <w:noProof/>
        </w:rPr>
        <w:t xml:space="preserve"> Η εμβάθυνση τέτοιων ορ</w:t>
      </w:r>
      <w:r>
        <w:rPr>
          <w:rFonts w:ascii="Times New Roman" w:hAnsi="Times New Roman"/>
          <w:noProof/>
        </w:rPr>
        <w:t xml:space="preserve">ιζόντιων διαδικασιών παρακολούθησης σε όλα τα κράτη μέλη και η προοπτική περαιτέρω εξέλιξής τους υπογραμμίζουν τον ειδικό χαρακτήρα που έχει ο ΜΣΕ ως διαδικασία παρακολούθησης, περιορισμένη τόσο όσον αφορά τα εμπλεκόμενα κράτη μέλη όσο και τα ζητήματα που </w:t>
      </w:r>
      <w:r>
        <w:rPr>
          <w:rFonts w:ascii="Times New Roman" w:hAnsi="Times New Roman"/>
          <w:noProof/>
        </w:rPr>
        <w:t>εξετάζει. Τέτοιου είδους οριζόντιες διαδικασίες παρακολούθησης του κράτους δικαίου σε όλα τα κράτη μέλη θα αποτελέσουν τη βάση για περαιτέρω στήριξη των μεταρρυθμίσεων στη Ρουμανία εκ μέρους της ΕΕ, μόλις η Επιτροπή κρίνει ότι η πρόοδος επαρκεί για την τήρ</w:t>
      </w:r>
      <w:r>
        <w:rPr>
          <w:rFonts w:ascii="Times New Roman" w:hAnsi="Times New Roman"/>
          <w:noProof/>
        </w:rPr>
        <w:t xml:space="preserve">ηση των δεσμεύσεων που είχε αναλάβει η Ρουμανία έως την προσχώρησή της στην ΕΕ. Στο μεταξύ, ζητήματα που άπτονται του κράτους δικαίου αλλά δεν εμπίπτουν στο πεδίο αρμοδιότητας του ΜΣΕ θα αντιμετωπίζονται στο πλαίσιο του νέου μηχανισμού. </w:t>
      </w:r>
    </w:p>
    <w:p w:rsidR="00B1412B" w:rsidRDefault="00B1412B">
      <w:pPr>
        <w:spacing w:after="0" w:line="240" w:lineRule="auto"/>
        <w:jc w:val="both"/>
        <w:rPr>
          <w:rFonts w:ascii="Times New Roman" w:hAnsi="Times New Roman"/>
          <w:noProof/>
          <w:sz w:val="24"/>
          <w:szCs w:val="24"/>
        </w:rPr>
      </w:pPr>
    </w:p>
    <w:p w:rsidR="00B1412B" w:rsidRDefault="00237EF8">
      <w:pPr>
        <w:keepNext/>
        <w:spacing w:after="120" w:line="240" w:lineRule="auto"/>
        <w:ind w:left="567" w:hanging="567"/>
        <w:jc w:val="both"/>
        <w:rPr>
          <w:rFonts w:ascii="Times New Roman" w:hAnsi="Times New Roman"/>
          <w:b/>
          <w:noProof/>
          <w:sz w:val="24"/>
          <w:szCs w:val="24"/>
        </w:rPr>
      </w:pPr>
      <w:r>
        <w:rPr>
          <w:rFonts w:ascii="Times New Roman" w:hAnsi="Times New Roman"/>
          <w:b/>
          <w:noProof/>
        </w:rPr>
        <w:t>3.</w:t>
      </w:r>
      <w:r>
        <w:rPr>
          <w:rFonts w:ascii="Times New Roman" w:hAnsi="Times New Roman"/>
          <w:b/>
          <w:noProof/>
        </w:rPr>
        <w:tab/>
        <w:t>ΑΞΙΟΛΟΓΗΣΗ ΤΗΣ</w:t>
      </w:r>
      <w:r>
        <w:rPr>
          <w:rFonts w:ascii="Times New Roman" w:hAnsi="Times New Roman"/>
          <w:b/>
          <w:noProof/>
        </w:rPr>
        <w:t xml:space="preserve"> ΠΡΟΟΔΟΥ ΟΣΟΝ ΑΦΟΡΑ ΤΗΝ ΕΚΠΛΗΡΩΣΗ ΤΩΝ ΣΥΣΤΑΣΕΩΝ </w:t>
      </w:r>
    </w:p>
    <w:p w:rsidR="00B1412B" w:rsidRDefault="00237EF8">
      <w:pPr>
        <w:keepNext/>
        <w:spacing w:after="120" w:line="240" w:lineRule="auto"/>
        <w:jc w:val="both"/>
        <w:rPr>
          <w:rFonts w:ascii="Times New Roman" w:hAnsi="Times New Roman"/>
          <w:noProof/>
          <w:sz w:val="24"/>
          <w:szCs w:val="24"/>
        </w:rPr>
      </w:pPr>
      <w:r>
        <w:rPr>
          <w:rFonts w:ascii="Times New Roman" w:hAnsi="Times New Roman"/>
          <w:noProof/>
        </w:rPr>
        <w:t xml:space="preserve">Στην παρούσα ενότητα αξιολογείται η πρόοδος όσον αφορά τις 12 συστάσεις του Ιανουαρίου 2017 και στις οκτώ πρόσθετες συστάσεις του Νοεμβρίου 2018. Η εκπλήρωση αυτών των πρόσθετων συστάσεων παραμένει ουσιώδης </w:t>
      </w:r>
      <w:r>
        <w:rPr>
          <w:rFonts w:ascii="Times New Roman" w:hAnsi="Times New Roman"/>
          <w:noProof/>
        </w:rPr>
        <w:t xml:space="preserve">για την επαναφορά της μεταρρυθμιστικής διαδικασίας σε τροχιά προόδου, την αποκατάσταση των αρνητικών επιπτώσεων της οπισθοδρόμησης που διαπιστώθηκε τον Νοέμβριο του 2017 και τον Νοέμβριο του 2018 και την εκ νέου πρόοδο προς την περάτωση του ΜΣΕ. </w:t>
      </w:r>
    </w:p>
    <w:p w:rsidR="00B1412B" w:rsidRDefault="00237EF8">
      <w:pPr>
        <w:keepNext/>
        <w:spacing w:after="120" w:line="240" w:lineRule="auto"/>
        <w:jc w:val="both"/>
        <w:rPr>
          <w:rFonts w:ascii="Times New Roman" w:hAnsi="Times New Roman"/>
          <w:b/>
          <w:noProof/>
          <w:sz w:val="24"/>
          <w:szCs w:val="24"/>
        </w:rPr>
      </w:pPr>
      <w:r>
        <w:rPr>
          <w:rFonts w:ascii="Times New Roman" w:hAnsi="Times New Roman"/>
          <w:b/>
          <w:noProof/>
        </w:rPr>
        <w:t xml:space="preserve">3.1. </w:t>
      </w:r>
      <w:r>
        <w:rPr>
          <w:rFonts w:ascii="Times New Roman" w:hAnsi="Times New Roman"/>
          <w:b/>
          <w:noProof/>
        </w:rPr>
        <w:tab/>
        <w:t>Κρι</w:t>
      </w:r>
      <w:r>
        <w:rPr>
          <w:rFonts w:ascii="Times New Roman" w:hAnsi="Times New Roman"/>
          <w:b/>
          <w:noProof/>
        </w:rPr>
        <w:t>τήριο αναφοράς 1: Ανεξαρτησία της δικαιοσύνης και μεταρρύθμιση του δικαστικού συστήματος</w:t>
      </w:r>
    </w:p>
    <w:p w:rsidR="00B1412B" w:rsidRDefault="00237EF8">
      <w:pPr>
        <w:spacing w:after="120" w:line="240" w:lineRule="auto"/>
        <w:jc w:val="both"/>
        <w:rPr>
          <w:rFonts w:ascii="Times New Roman" w:hAnsi="Times New Roman"/>
          <w:i/>
          <w:noProof/>
          <w:sz w:val="24"/>
          <w:szCs w:val="24"/>
        </w:rPr>
      </w:pPr>
      <w:r>
        <w:rPr>
          <w:rFonts w:ascii="Times New Roman" w:hAnsi="Times New Roman"/>
          <w:b/>
          <w:i/>
          <w:noProof/>
        </w:rPr>
        <w:t>3.1.1.</w:t>
      </w:r>
      <w:r>
        <w:rPr>
          <w:rFonts w:ascii="Times New Roman" w:hAnsi="Times New Roman"/>
          <w:b/>
          <w:i/>
          <w:noProof/>
        </w:rPr>
        <w:tab/>
        <w:t>Οι συστάσεις του Νοεμβρίου 2018: επαναφορά της μεταρρυθμιστικής διαδικασίας σε τροχιά προόδου</w:t>
      </w:r>
    </w:p>
    <w:p w:rsidR="00B1412B" w:rsidRDefault="00237EF8">
      <w:pPr>
        <w:spacing w:after="120" w:line="240" w:lineRule="auto"/>
        <w:jc w:val="both"/>
        <w:rPr>
          <w:rFonts w:ascii="Times New Roman" w:hAnsi="Times New Roman"/>
          <w:i/>
          <w:noProof/>
          <w:sz w:val="24"/>
          <w:szCs w:val="24"/>
        </w:rPr>
      </w:pPr>
      <w:r>
        <w:rPr>
          <w:rFonts w:ascii="Times New Roman" w:hAnsi="Times New Roman"/>
          <w:i/>
          <w:noProof/>
        </w:rPr>
        <w:t>Νόμοι περί δικαιοσύνης και νομικές εγγυήσεις για την ανεξαρτησία τ</w:t>
      </w:r>
      <w:r>
        <w:rPr>
          <w:rFonts w:ascii="Times New Roman" w:hAnsi="Times New Roman"/>
          <w:i/>
          <w:noProof/>
        </w:rPr>
        <w:t>ης δικαιοσύνης</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Στην έκθεση του Νοεμβρίου 2018 επισημαίνεται ότι οι τροποποιημένοι νόμοι περί δικαιοσύνης που τέθηκαν σε ισχύ τον Ιούλιο και τον Οκτώβριο του 2018 θα μπορούσαν να έχουν αποτέλεσμα την άσκηση πίεσης στους δικαστές και τους εισαγγελείς και, σε</w:t>
      </w:r>
      <w:r>
        <w:rPr>
          <w:rFonts w:ascii="Times New Roman" w:hAnsi="Times New Roman"/>
          <w:noProof/>
        </w:rPr>
        <w:t xml:space="preserve"> τελική ανάλυση, να υπονομεύσουν την ανεξαρτησία, την αποτελεσματικότητα και την ποιότητα της δικαστικής εξουσίας. Αντί να αντιμετωπίζουν ζητήματα που τέθηκαν σε προηγούμενες εκθέσεις του ΜΣΕ, οι νόμοι δημιουργούσαν νέους κινδύνους, ιδίως μέσω του Ειδικού </w:t>
      </w:r>
      <w:r>
        <w:rPr>
          <w:rFonts w:ascii="Times New Roman" w:hAnsi="Times New Roman"/>
          <w:noProof/>
        </w:rPr>
        <w:t>Τμήματος για τη διερεύνηση εκπροσώπων του δικαστικού σώματος, καθώς και του καθεστώτος για τις πειθαρχικές διαδικασίες και την εμπράγματη ευθύνη. Ως εκ τούτου, η Επιτροπή κατέληξε στο συμπέρασμα ότι οι νόμοι αντιπροσώπευαν οπισθοδρόμηση έναντι της αξιολόγη</w:t>
      </w:r>
      <w:r>
        <w:rPr>
          <w:rFonts w:ascii="Times New Roman" w:hAnsi="Times New Roman"/>
          <w:noProof/>
        </w:rPr>
        <w:t xml:space="preserve">σης του Ιανουαρίου 2017 και πρότεινε μια παύση για αναστοχασμό, με αναστολή της έναρξης ισχύος των αλλαγών. </w:t>
      </w:r>
    </w:p>
    <w:tbl>
      <w:tblPr>
        <w:tblW w:w="927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1412B">
        <w:trPr>
          <w:trHeight w:val="1090"/>
        </w:trPr>
        <w:tc>
          <w:tcPr>
            <w:tcW w:w="9270" w:type="dxa"/>
          </w:tcPr>
          <w:p w:rsidR="00B1412B" w:rsidRDefault="00237EF8">
            <w:pPr>
              <w:spacing w:after="0" w:line="240" w:lineRule="auto"/>
              <w:contextualSpacing/>
              <w:jc w:val="both"/>
              <w:rPr>
                <w:rFonts w:ascii="Times New Roman" w:hAnsi="Times New Roman"/>
                <w:noProof/>
                <w:sz w:val="24"/>
                <w:szCs w:val="24"/>
              </w:rPr>
            </w:pPr>
            <w:r>
              <w:rPr>
                <w:rFonts w:ascii="Times New Roman" w:hAnsi="Times New Roman"/>
                <w:noProof/>
              </w:rPr>
              <w:t>Στην έκθεση του Νοεμβρίου 2018 διατυπώνονταν οι ακόλουθες συστάσεις:</w:t>
            </w:r>
          </w:p>
          <w:p w:rsidR="00B1412B" w:rsidRDefault="00237EF8">
            <w:pPr>
              <w:numPr>
                <w:ilvl w:val="0"/>
                <w:numId w:val="14"/>
              </w:numPr>
              <w:spacing w:after="0" w:line="240" w:lineRule="auto"/>
              <w:ind w:left="411" w:hanging="396"/>
              <w:contextualSpacing/>
              <w:jc w:val="both"/>
              <w:rPr>
                <w:rFonts w:ascii="Times New Roman" w:hAnsi="Times New Roman"/>
                <w:i/>
                <w:noProof/>
                <w:sz w:val="24"/>
                <w:szCs w:val="24"/>
              </w:rPr>
            </w:pPr>
            <w:r>
              <w:rPr>
                <w:rFonts w:ascii="Times New Roman" w:hAnsi="Times New Roman"/>
                <w:i/>
                <w:noProof/>
              </w:rPr>
              <w:t xml:space="preserve">Άμεση αναστολή της εφαρμογής των νόμων περί δικαιοσύνης και των επακόλουθων </w:t>
            </w:r>
            <w:r>
              <w:rPr>
                <w:rFonts w:ascii="Times New Roman" w:hAnsi="Times New Roman"/>
                <w:i/>
                <w:noProof/>
              </w:rPr>
              <w:t>έκτακτων διαταγμάτων.</w:t>
            </w:r>
          </w:p>
          <w:p w:rsidR="00B1412B" w:rsidRDefault="00237EF8">
            <w:pPr>
              <w:numPr>
                <w:ilvl w:val="0"/>
                <w:numId w:val="14"/>
              </w:numPr>
              <w:spacing w:after="0" w:line="240" w:lineRule="auto"/>
              <w:ind w:left="411" w:hanging="396"/>
              <w:contextualSpacing/>
              <w:jc w:val="both"/>
              <w:rPr>
                <w:rFonts w:ascii="Times New Roman" w:hAnsi="Times New Roman"/>
                <w:i/>
                <w:noProof/>
              </w:rPr>
            </w:pPr>
            <w:r>
              <w:rPr>
                <w:rFonts w:ascii="Times New Roman" w:hAnsi="Times New Roman"/>
                <w:i/>
                <w:noProof/>
              </w:rPr>
              <w:t xml:space="preserve">Αναθεώρηση των νόμων περί δικαιοσύνης λαμβανομένων πλήρως υπόψη των συστάσεων που έχουν διατυπωθεί στο πλαίσιο του ΜΣΕ και των συστάσεων που έχουν εκδοθεί από την Επιτροπή της Βενετίας και τη GRECO. </w:t>
            </w:r>
          </w:p>
        </w:tc>
      </w:tr>
    </w:tbl>
    <w:p w:rsidR="00B1412B" w:rsidRDefault="00237EF8">
      <w:pPr>
        <w:spacing w:before="120" w:after="120" w:line="240" w:lineRule="auto"/>
        <w:jc w:val="both"/>
        <w:rPr>
          <w:rFonts w:ascii="Times New Roman" w:hAnsi="Times New Roman"/>
          <w:noProof/>
          <w:sz w:val="24"/>
          <w:szCs w:val="24"/>
        </w:rPr>
      </w:pPr>
      <w:r>
        <w:rPr>
          <w:rFonts w:ascii="Times New Roman" w:hAnsi="Times New Roman"/>
          <w:noProof/>
        </w:rPr>
        <w:t>Οι ρουμανικές αρχές δεν συμμορφώθ</w:t>
      </w:r>
      <w:r>
        <w:rPr>
          <w:rFonts w:ascii="Times New Roman" w:hAnsi="Times New Roman"/>
          <w:noProof/>
        </w:rPr>
        <w:t xml:space="preserve">ηκαν με τις εν λόγω συστάσεις, και υποστήριξαν επίσης ότι οι νόμοι περί δικαιοσύνης παρήγαγαν έννομα αποτελέσματα τα οποία δεν μπορούσαν να ανακοπούν.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 xml:space="preserve">Ο στόχος της σύστασης ήταν να εξεταστεί η ουσία των προβλημάτων που δημιουργούνται από τους νόμους, και </w:t>
      </w:r>
      <w:r>
        <w:rPr>
          <w:rFonts w:ascii="Times New Roman" w:hAnsi="Times New Roman"/>
          <w:noProof/>
        </w:rPr>
        <w:t xml:space="preserve">τα επακόλουθα βήματα ενέτειναν τα προβλήματα αυτά. Επιπλέον των τριών έκτακτων διαταγμάτων που εκδόθηκαν τον Σεπτέμβριο και τον Οκτώβριο του 2018, στις αρχές του 2019 η </w:t>
      </w:r>
      <w:r>
        <w:rPr>
          <w:rFonts w:ascii="Times New Roman" w:hAnsi="Times New Roman"/>
          <w:noProof/>
        </w:rPr>
        <w:lastRenderedPageBreak/>
        <w:t>κυβέρνηση εξέδωσε δύο επιπλέον έκτακτα διατάγματα για την τροποποίηση των νόμων περί δι</w:t>
      </w:r>
      <w:r>
        <w:rPr>
          <w:rFonts w:ascii="Times New Roman" w:hAnsi="Times New Roman"/>
          <w:noProof/>
        </w:rPr>
        <w:t>καιοσύνης</w:t>
      </w:r>
      <w:r>
        <w:rPr>
          <w:rFonts w:ascii="Times New Roman" w:hAnsi="Times New Roman"/>
          <w:noProof/>
          <w:vertAlign w:val="superscript"/>
        </w:rPr>
        <w:footnoteReference w:id="17"/>
      </w:r>
      <w:r>
        <w:rPr>
          <w:rFonts w:ascii="Times New Roman" w:hAnsi="Times New Roman"/>
          <w:noProof/>
        </w:rPr>
        <w:t>. Όπως και σε προηγούμενες περιπτώσεις, η ταχύτητα της έκδοσης, η έλλειψη διαβούλευσης και το ασαφές σκεπτικό που διέπει αυτά τα έκτακτα διατάγματα επηρέασαν την ασφάλεια δικαίου και την προβλεψιμότητα της δικαστικής διαδικασίας. Οι τροπολογίες γ</w:t>
      </w:r>
      <w:r>
        <w:rPr>
          <w:rFonts w:ascii="Times New Roman" w:hAnsi="Times New Roman"/>
          <w:noProof/>
        </w:rPr>
        <w:t>ια την επιτάχυνση της σύστασης του Ειδικού Τμήματος για τη διερεύνηση εγκλημάτων που έχουν διαπράξει μέλη του δικαστικού σώματος και η επέκταση των αρμοδιοτήτων του, ή οι διαδοχικές αλλαγές στις απαιτήσεις και τους διαδικαστικούς κανόνες για τον διορισμό τ</w:t>
      </w:r>
      <w:r>
        <w:rPr>
          <w:rFonts w:ascii="Times New Roman" w:hAnsi="Times New Roman"/>
          <w:noProof/>
        </w:rPr>
        <w:t>ων εισαγγελέων (συμπεριλαμβανομένης της διοίκησης) στην Εθνική Διεύθυνση Καταπολέμησης της Διαφθοράς (DNA) αύξησαν περαιτέρω τις ανησυχίες και την έλλειψη εμπιστοσύνης στις εν λόγω τροποποιήσεις</w:t>
      </w:r>
      <w:r>
        <w:rPr>
          <w:rStyle w:val="FootnoteReference"/>
          <w:rFonts w:ascii="Times New Roman" w:hAnsi="Times New Roman"/>
          <w:noProof/>
        </w:rPr>
        <w:footnoteReference w:id="18"/>
      </w:r>
      <w:r>
        <w:rPr>
          <w:noProof/>
        </w:rPr>
        <w:t>.</w:t>
      </w:r>
      <w:r>
        <w:rPr>
          <w:rFonts w:ascii="Times New Roman" w:hAnsi="Times New Roman"/>
          <w:noProof/>
        </w:rPr>
        <w:t xml:space="preserve"> Ειδικότερα, ορισμένες από τις τροπολογίες αυτές φαίνονταν να έχουν μεταβάλει τη νομοθεσία ώστε να εξυπηρετηθούν τα συμφέροντα συγκεκριμένων προσώπων</w:t>
      </w:r>
      <w:r>
        <w:rPr>
          <w:rStyle w:val="FootnoteReference"/>
          <w:rFonts w:ascii="Times New Roman" w:hAnsi="Times New Roman"/>
          <w:noProof/>
        </w:rPr>
        <w:footnoteReference w:id="19"/>
      </w:r>
      <w:r>
        <w:rPr>
          <w:noProof/>
        </w:rPr>
        <w:t>.</w:t>
      </w:r>
      <w:r>
        <w:rPr>
          <w:rStyle w:val="FootnoteReference"/>
          <w:noProof/>
        </w:rPr>
        <w:t>,</w:t>
      </w:r>
      <w:r>
        <w:rPr>
          <w:rFonts w:ascii="Times New Roman" w:hAnsi="Times New Roman"/>
          <w:noProof/>
          <w:vertAlign w:val="superscript"/>
        </w:rPr>
        <w:footnoteReference w:id="20"/>
      </w:r>
      <w:r>
        <w:rPr>
          <w:rFonts w:ascii="Times New Roman" w:hAnsi="Times New Roman"/>
          <w:noProof/>
        </w:rPr>
        <w:t xml:space="preserve"> Τα εν λόγω έκτακτα διατάγματα πυροδότησαν πολύ αρνητικές αντιδράσεις, που συνέβαλαν στη συγκεκριμένη α</w:t>
      </w:r>
      <w:r>
        <w:rPr>
          <w:rFonts w:ascii="Times New Roman" w:hAnsi="Times New Roman"/>
          <w:noProof/>
        </w:rPr>
        <w:t xml:space="preserve">ντίδραση του κοινού στο δημοψήφισμα που διεξήχθη στις 26 Μαΐου 2019 σχετικά με την τροποποίηση της νομοθεσίας στον τομέα της δικαιοσύνης μέσω έκτακτων διαταγμάτων.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Κατά την εφαρμογή στην πράξη των τροποποιημένων νόμων περί δικαιοσύνης επιβεβαιώθηκαν οι α</w:t>
      </w:r>
      <w:r>
        <w:rPr>
          <w:rFonts w:ascii="Times New Roman" w:hAnsi="Times New Roman"/>
          <w:noProof/>
        </w:rPr>
        <w:t xml:space="preserve">νησυχίες που εκφράστηκαν στην έκθεση του Νοεμβρίου σχετικά με τη ζημιά για το δικαστικό σύστημα. Ειδικότερα, η λειτουργία του Ειδικού Τμήματος για τη διερεύνηση αδικημάτων που διαπράχθηκαν από δικαστικούς επιβεβαίωσε τους φόβους που εκφράστηκαν τόσο εντός </w:t>
      </w:r>
      <w:r>
        <w:rPr>
          <w:rFonts w:ascii="Times New Roman" w:hAnsi="Times New Roman"/>
          <w:noProof/>
        </w:rPr>
        <w:t>όσο και εκτός Ρουμανίας ότι το εν λόγω τμήμα θα μπορούσε να χρησιμοποιηθεί ως μέσο άσκησης πολιτικής πίεσης</w:t>
      </w:r>
      <w:r>
        <w:rPr>
          <w:rStyle w:val="FootnoteReference"/>
          <w:rFonts w:ascii="Times New Roman" w:hAnsi="Times New Roman"/>
          <w:noProof/>
        </w:rPr>
        <w:footnoteReference w:id="21"/>
      </w:r>
      <w:r>
        <w:rPr>
          <w:noProof/>
        </w:rPr>
        <w:t>.</w:t>
      </w:r>
      <w:r>
        <w:rPr>
          <w:rFonts w:ascii="Times New Roman" w:hAnsi="Times New Roman"/>
          <w:noProof/>
        </w:rPr>
        <w:t xml:space="preserve"> Υπάρχουν διάφορα παραδείγματα περιπτώσεων στις οποίες το Ειδικό Τμήμα άσκησε την εξουσία του προκειμένου να μεταβάλει την πορεία ποινικών ερευνών </w:t>
      </w:r>
      <w:r>
        <w:rPr>
          <w:rFonts w:ascii="Times New Roman" w:hAnsi="Times New Roman"/>
          <w:noProof/>
        </w:rPr>
        <w:t>κατά τρόπο που προκαλεί σοβαρές αμφιβολίες για την αντικειμενικότητά του.</w:t>
      </w:r>
      <w:r>
        <w:rPr>
          <w:rFonts w:ascii="Times New Roman" w:hAnsi="Times New Roman"/>
          <w:noProof/>
          <w:vertAlign w:val="superscript"/>
        </w:rPr>
        <w:footnoteReference w:id="22"/>
      </w:r>
      <w:r>
        <w:rPr>
          <w:rFonts w:ascii="Times New Roman" w:hAnsi="Times New Roman"/>
          <w:noProof/>
        </w:rPr>
        <w:t xml:space="preserve"> Στα εν λόγω παραδείγματα περιλαμβάνονται περιπτώσεις στις οποίες το Ειδικό Τμήμα κίνησε έρευνες κατά δικαστών και εισαγγελέων που είχαν αντιταχθεί στις τρέχουσες αλλαγές στο δικαστι</w:t>
      </w:r>
      <w:r>
        <w:rPr>
          <w:rFonts w:ascii="Times New Roman" w:hAnsi="Times New Roman"/>
          <w:noProof/>
        </w:rPr>
        <w:t>κό σύστημα, καθώς και αιφνίδιες αλλαγές στην προσέγγιση που ακολουθείται σε εκκρεμείς υποθέσεις, όπως η απόσυρση προσφυγών που είχαν προηγουμένως υποβληθεί από το DNA σε υποθέσεις διαφθοράς υψηλού επιπέδου</w:t>
      </w:r>
      <w:r>
        <w:rPr>
          <w:rStyle w:val="FootnoteReference"/>
          <w:rFonts w:ascii="Times New Roman" w:hAnsi="Times New Roman"/>
          <w:noProof/>
        </w:rPr>
        <w:footnoteReference w:id="23"/>
      </w:r>
      <w:r>
        <w:rPr>
          <w:noProof/>
        </w:rPr>
        <w:t>.</w:t>
      </w:r>
      <w:r>
        <w:rPr>
          <w:rFonts w:ascii="Times New Roman" w:hAnsi="Times New Roman"/>
          <w:noProof/>
        </w:rPr>
        <w:t xml:space="preserve"> Αιτία διαμάχης αποτέλεσαν επίσης οι διορισμοί τη</w:t>
      </w:r>
      <w:r>
        <w:rPr>
          <w:rFonts w:ascii="Times New Roman" w:hAnsi="Times New Roman"/>
          <w:noProof/>
        </w:rPr>
        <w:t>ς διοίκησης του Ειδικού Τμήματος. Το αποτέλεσμα ήταν πολλοί ενδιαφερόμενοι στη Ρουμανία να απευθύνουν εκκλήσεις να καταργηθεί το Ειδικό Τμήμα</w:t>
      </w:r>
      <w:r>
        <w:rPr>
          <w:rFonts w:ascii="Times New Roman" w:hAnsi="Times New Roman"/>
          <w:noProof/>
          <w:vertAlign w:val="superscript"/>
        </w:rPr>
        <w:footnoteReference w:id="24"/>
      </w:r>
      <w:r>
        <w:rPr>
          <w:rFonts w:ascii="Times New Roman" w:hAnsi="Times New Roman"/>
          <w:noProof/>
        </w:rPr>
        <w:t>.</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Η Επιτροπή της Βενετίας εξέδωσε γνώμη σχετικά με τα έκτακτα διατάγματα του Ιουνίου 2019</w:t>
      </w:r>
      <w:r>
        <w:rPr>
          <w:rStyle w:val="FootnoteReference"/>
          <w:rFonts w:ascii="Times New Roman" w:hAnsi="Times New Roman"/>
          <w:noProof/>
        </w:rPr>
        <w:footnoteReference w:id="25"/>
      </w:r>
      <w:r>
        <w:rPr>
          <w:rFonts w:ascii="Times New Roman" w:hAnsi="Times New Roman"/>
          <w:noProof/>
        </w:rPr>
        <w:t>, επιβεβαιώνοντας τις πρ</w:t>
      </w:r>
      <w:r>
        <w:rPr>
          <w:rFonts w:ascii="Times New Roman" w:hAnsi="Times New Roman"/>
          <w:noProof/>
        </w:rPr>
        <w:t>όσθετες ανησυχίες που προέκυψαν από τις νέες τροπολογίες</w:t>
      </w:r>
      <w:r>
        <w:rPr>
          <w:rFonts w:ascii="Times New Roman" w:hAnsi="Times New Roman"/>
          <w:noProof/>
          <w:vertAlign w:val="superscript"/>
        </w:rPr>
        <w:footnoteReference w:id="26"/>
      </w:r>
      <w:r>
        <w:rPr>
          <w:rFonts w:ascii="Times New Roman" w:hAnsi="Times New Roman"/>
          <w:noProof/>
        </w:rPr>
        <w:t xml:space="preserve"> και από τη λειτουργία του Ειδικού Τμήματος. Σε δύο νέες εκθέσεις του Ιουνίου 2019, η GRECO εξέφρασε παρόμοιες ανησυχίες</w:t>
      </w:r>
      <w:r>
        <w:rPr>
          <w:rStyle w:val="FootnoteReference"/>
          <w:rFonts w:ascii="Times New Roman" w:hAnsi="Times New Roman"/>
          <w:noProof/>
        </w:rPr>
        <w:footnoteReference w:id="27"/>
      </w:r>
      <w:r>
        <w:rPr>
          <w:noProof/>
        </w:rPr>
        <w:t>.</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Τον Ιούλιο του 2019, ο υπουργός Δικαιοσύνης εξέφρασε την προθυμία του να εντ</w:t>
      </w:r>
      <w:r>
        <w:rPr>
          <w:rFonts w:ascii="Times New Roman" w:hAnsi="Times New Roman"/>
          <w:noProof/>
        </w:rPr>
        <w:t>οπίσει τις κατάλληλες νομοθετικές λύσεις, σε διαβούλευση με το δικαστικό σώμα και το Κοινοβούλιο, στο πλαίσιο μιας νέας διαδικασίας διαρθρωμένης διαβούλευσης</w:t>
      </w:r>
      <w:r>
        <w:rPr>
          <w:rStyle w:val="FootnoteReference"/>
          <w:rFonts w:ascii="Times New Roman" w:hAnsi="Times New Roman"/>
          <w:noProof/>
        </w:rPr>
        <w:footnoteReference w:id="28"/>
      </w:r>
      <w:r>
        <w:rPr>
          <w:noProof/>
        </w:rPr>
        <w:t>.</w:t>
      </w:r>
      <w:r>
        <w:rPr>
          <w:rFonts w:ascii="Times New Roman" w:hAnsi="Times New Roman"/>
          <w:noProof/>
        </w:rPr>
        <w:t xml:space="preserve"> Ωστόσο, μεταγενέστερες δηλώσεις της ηγεσίας της κυβέρνησης στο σύνολό της άφηναν να εννοηθεί ότι</w:t>
      </w:r>
      <w:r>
        <w:rPr>
          <w:rFonts w:ascii="Times New Roman" w:hAnsi="Times New Roman"/>
          <w:noProof/>
        </w:rPr>
        <w:t xml:space="preserve"> δεν επρόκειτο να προταθεί καμία αλλαγή στο Ειδικό Τμήμα. Ως εκ τούτου, τα ζητήματα που έθεσαν η Ευρωπαϊκή Επιτροπή, η Επιτροπή της Βενετίας και η GRECO δεν είχαν ως αποτέλεσμα περαιτέρω τροπολογίες.</w:t>
      </w:r>
    </w:p>
    <w:p w:rsidR="00B1412B" w:rsidRDefault="00237EF8">
      <w:pPr>
        <w:spacing w:after="120" w:line="240" w:lineRule="auto"/>
        <w:jc w:val="both"/>
        <w:rPr>
          <w:noProof/>
        </w:rPr>
      </w:pPr>
      <w:r>
        <w:rPr>
          <w:rFonts w:ascii="Times New Roman" w:hAnsi="Times New Roman"/>
          <w:i/>
          <w:noProof/>
        </w:rPr>
        <w:t>Διορισμοί στο δικαστικό σώμα και άσκηση πίεσης στα δικασ</w:t>
      </w:r>
      <w:r>
        <w:rPr>
          <w:rFonts w:ascii="Times New Roman" w:hAnsi="Times New Roman"/>
          <w:i/>
          <w:noProof/>
        </w:rPr>
        <w:t>τικά όργανα</w:t>
      </w:r>
    </w:p>
    <w:p w:rsidR="00B1412B" w:rsidRDefault="00237EF8">
      <w:pPr>
        <w:pStyle w:val="Body"/>
        <w:spacing w:after="120" w:line="240" w:lineRule="auto"/>
        <w:jc w:val="both"/>
        <w:rPr>
          <w:rFonts w:ascii="Times New Roman" w:hAnsi="Times New Roman" w:cs="Times New Roman"/>
          <w:noProof/>
          <w:sz w:val="24"/>
          <w:szCs w:val="24"/>
        </w:rPr>
      </w:pPr>
      <w:r>
        <w:rPr>
          <w:rFonts w:ascii="Times New Roman" w:hAnsi="Times New Roman"/>
          <w:noProof/>
        </w:rPr>
        <w:t>Οι εξελίξεις από τον Νοέμβριο του 2018 επιβεβαίωσαν την επικαιρότητα της παλαιάς σύστασης του ΜΣΕ να καταστεί η διαδικασία διορισμού των ανώτατων εισαγγελέων πιο ισχυρή και ανεξάρτητη. Στην έκθεση του ΜΣΕ του 2018 εγείρονταν ανησυχίες, ιδίως όσ</w:t>
      </w:r>
      <w:r>
        <w:rPr>
          <w:rFonts w:ascii="Times New Roman" w:hAnsi="Times New Roman"/>
          <w:noProof/>
        </w:rPr>
        <w:t xml:space="preserve">ον αφορά τις εν εξελίξει διαδικασίες απομάκρυνσης/διορισμού του προϊστάμενου εισαγγελέα της Εθνικής Διεύθυνσης Καταπολέμησης της Διαφθοράς (DNA) και της Γενικής Εισαγγελέως. </w:t>
      </w:r>
    </w:p>
    <w:tbl>
      <w:tblPr>
        <w:tblW w:w="927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1412B">
        <w:trPr>
          <w:trHeight w:val="1090"/>
        </w:trPr>
        <w:tc>
          <w:tcPr>
            <w:tcW w:w="9270" w:type="dxa"/>
          </w:tcPr>
          <w:p w:rsidR="00B1412B" w:rsidRDefault="00237EF8">
            <w:pPr>
              <w:spacing w:after="0" w:line="240" w:lineRule="auto"/>
              <w:contextualSpacing/>
              <w:jc w:val="both"/>
              <w:rPr>
                <w:rFonts w:ascii="Times New Roman" w:hAnsi="Times New Roman"/>
                <w:noProof/>
                <w:sz w:val="24"/>
                <w:szCs w:val="24"/>
              </w:rPr>
            </w:pPr>
            <w:r>
              <w:rPr>
                <w:rFonts w:ascii="Times New Roman" w:hAnsi="Times New Roman"/>
                <w:noProof/>
              </w:rPr>
              <w:t>Στην έκθεση του Νοεμβρίου 2018 διατυπώνονταν οι ακόλουθες συστάσεις:</w:t>
            </w:r>
          </w:p>
          <w:p w:rsidR="00B1412B" w:rsidRDefault="00237EF8">
            <w:pPr>
              <w:numPr>
                <w:ilvl w:val="0"/>
                <w:numId w:val="14"/>
              </w:numPr>
              <w:spacing w:after="0" w:line="240" w:lineRule="auto"/>
              <w:ind w:left="411" w:hanging="309"/>
              <w:contextualSpacing/>
              <w:jc w:val="both"/>
              <w:rPr>
                <w:rFonts w:ascii="Times New Roman" w:hAnsi="Times New Roman"/>
                <w:i/>
                <w:noProof/>
                <w:sz w:val="24"/>
                <w:szCs w:val="24"/>
              </w:rPr>
            </w:pPr>
            <w:r>
              <w:rPr>
                <w:rFonts w:ascii="Times New Roman" w:hAnsi="Times New Roman"/>
                <w:i/>
                <w:noProof/>
              </w:rPr>
              <w:t xml:space="preserve">Άμεση </w:t>
            </w:r>
            <w:r>
              <w:rPr>
                <w:rFonts w:ascii="Times New Roman" w:hAnsi="Times New Roman"/>
                <w:i/>
                <w:noProof/>
              </w:rPr>
              <w:t>αναστολή όλων των εν εξελίξει διορισμών και των απολύσεων ανώτερων εισαγγελέων.</w:t>
            </w:r>
          </w:p>
          <w:p w:rsidR="00B1412B" w:rsidRDefault="00237EF8">
            <w:pPr>
              <w:numPr>
                <w:ilvl w:val="0"/>
                <w:numId w:val="14"/>
              </w:numPr>
              <w:spacing w:after="0" w:line="240" w:lineRule="auto"/>
              <w:ind w:left="411" w:hanging="309"/>
              <w:contextualSpacing/>
              <w:jc w:val="both"/>
              <w:rPr>
                <w:rFonts w:ascii="Times New Roman" w:hAnsi="Times New Roman"/>
                <w:i/>
                <w:noProof/>
                <w:sz w:val="24"/>
                <w:szCs w:val="24"/>
              </w:rPr>
            </w:pPr>
            <w:r>
              <w:rPr>
                <w:rFonts w:ascii="Times New Roman" w:hAnsi="Times New Roman"/>
                <w:i/>
                <w:noProof/>
              </w:rPr>
              <w:t>Επανεκκίνηση της διαδικασίας για τον διορισμό προϊστάμενου εισαγγελέα της DNA με αποδεδειγμένη πείρα όσον αφορά την άσκηση διώξεων για εγκλήματα διαφθοράς και με σαφή εντολή να</w:t>
            </w:r>
            <w:r>
              <w:rPr>
                <w:rFonts w:ascii="Times New Roman" w:hAnsi="Times New Roman"/>
                <w:i/>
                <w:noProof/>
              </w:rPr>
              <w:t xml:space="preserve"> συνεχίσει η DNA τη διεξαγωγή επαγγελματικής, ανεξάρτητης και αμερόληπτης διερεύνησης υποθέσεων διαφθοράς.  </w:t>
            </w:r>
          </w:p>
          <w:p w:rsidR="00B1412B" w:rsidRDefault="00237EF8">
            <w:pPr>
              <w:numPr>
                <w:ilvl w:val="0"/>
                <w:numId w:val="14"/>
              </w:numPr>
              <w:spacing w:after="0" w:line="240" w:lineRule="auto"/>
              <w:ind w:left="411" w:hanging="309"/>
              <w:contextualSpacing/>
              <w:jc w:val="both"/>
              <w:rPr>
                <w:rFonts w:ascii="Times New Roman" w:hAnsi="Times New Roman"/>
                <w:i/>
                <w:noProof/>
              </w:rPr>
            </w:pPr>
            <w:r>
              <w:rPr>
                <w:rFonts w:ascii="Times New Roman" w:hAnsi="Times New Roman"/>
                <w:i/>
                <w:noProof/>
              </w:rPr>
              <w:t>Σεβασμός των αρνητικών γνωμοδοτήσεων του Ανώτατου Συμβουλίου όσον αφορά τους διορισμούς ή τις απολύσεις εισαγγελέων σε διευθυντικές θέσεις, έως ότο</w:t>
            </w:r>
            <w:r>
              <w:rPr>
                <w:rFonts w:ascii="Times New Roman" w:hAnsi="Times New Roman"/>
                <w:i/>
                <w:noProof/>
              </w:rPr>
              <w:t xml:space="preserve">υ τεθεί σε εφαρμογή νέο νομικό πλαίσιο σύμφωνο με τη σύσταση 1 του Ιανουαρίου του 2017. </w:t>
            </w:r>
          </w:p>
        </w:tc>
      </w:tr>
    </w:tbl>
    <w:p w:rsidR="00B1412B" w:rsidRDefault="00237EF8">
      <w:pPr>
        <w:pStyle w:val="Body"/>
        <w:spacing w:before="120" w:after="120" w:line="240" w:lineRule="auto"/>
        <w:jc w:val="both"/>
        <w:rPr>
          <w:rFonts w:ascii="Times New Roman" w:hAnsi="Times New Roman" w:cs="Times New Roman"/>
          <w:noProof/>
          <w:sz w:val="24"/>
          <w:szCs w:val="24"/>
        </w:rPr>
      </w:pPr>
      <w:r>
        <w:rPr>
          <w:rFonts w:ascii="Times New Roman" w:hAnsi="Times New Roman"/>
          <w:noProof/>
        </w:rPr>
        <w:t xml:space="preserve">Αρχικά δεν δόθηκε καμία συνέχεια σε αυτές τις συστάσεις. Ο πρώην υπουργός Δικαιοσύνης επέμεινε στη δική του επιλογή υποψηφίου για τη θέση προϊστάμενου εισαγγελέα της </w:t>
      </w:r>
      <w:r>
        <w:rPr>
          <w:rFonts w:ascii="Times New Roman" w:hAnsi="Times New Roman"/>
          <w:noProof/>
        </w:rPr>
        <w:t xml:space="preserve">DNA. Τον Ιανουάριο του 2019, ο Πρόεδρος της Ρουμανίας αρνήθηκε να διορίσει τον εν λόγω υποψήφιο για δεύτερη φορά. Έκτοτε, η διαδικασία βρίσκεται σε de facto αναστολή, και το DNA τελεί υπό προσωρινή διοίκηση. Ο πρώην υπουργός Δικαιοσύνης συνέχισε επίσης τη </w:t>
      </w:r>
      <w:r>
        <w:rPr>
          <w:rFonts w:ascii="Times New Roman" w:hAnsi="Times New Roman"/>
          <w:noProof/>
        </w:rPr>
        <w:t>διαδικασία απόλυσης της Γενικής Εισαγγελέως, παρά την αρνητική γνώμη του Ανώτατου Δικαστικού Συμβουλίου. Ο Πρόεδρος της Ρουμανίας αρνήθηκε την απόλυση τον Ιανουάριο του 2019. Ωστόσο, καθώς η θέση ήταν προς ανανέωση τον Μάιο του 2019, ο υπουργός κίνησε τη δ</w:t>
      </w:r>
      <w:r>
        <w:rPr>
          <w:rFonts w:ascii="Times New Roman" w:hAnsi="Times New Roman"/>
          <w:noProof/>
        </w:rPr>
        <w:t>ιαδικασία διορισμού τον Απρίλιο. Όπως και στην περίπτωση της διαδικασίας για τον προϊστάμενο εισαγγελέα της DNA του Ιουλίου 2018, ο υπουργός απέρριψε όλους τους υποψηφίους ως ακατάλληλους, παρότι πολλοί, συμπεριλαμβανομένης της εν ενεργεία Γενικής Εισαγγελ</w:t>
      </w:r>
      <w:r>
        <w:rPr>
          <w:rFonts w:ascii="Times New Roman" w:hAnsi="Times New Roman"/>
          <w:noProof/>
        </w:rPr>
        <w:t>έως, υπηρετούσαν σε θέσεις ανώτερων εισαγγελέων. Ως εκ τούτου, η Γενική Εισαγγελέας αποφάσισε να συνταξιοδοτηθεί και τα εν λόγω καθήκοντα ασκούνται πλέον προσωρινά</w:t>
      </w:r>
      <w:r>
        <w:rPr>
          <w:rStyle w:val="FootnoteReference"/>
          <w:rFonts w:ascii="Times New Roman" w:hAnsi="Times New Roman" w:cs="Times New Roman"/>
          <w:noProof/>
        </w:rPr>
        <w:footnoteReference w:id="29"/>
      </w:r>
      <w:r>
        <w:rPr>
          <w:noProof/>
        </w:rPr>
        <w:t>.</w:t>
      </w:r>
      <w:r>
        <w:rPr>
          <w:rFonts w:ascii="Times New Roman" w:hAnsi="Times New Roman"/>
          <w:noProof/>
        </w:rPr>
        <w:t xml:space="preserve"> Ο πρώην υπουργός είχε δρομολογήσει νέα διαδικασία διορισμού Γενικού Εισαγγελέα, η οποία όμως ακυρώθηκε από τον νέο Υπουργό Δικαιοσύνης, ο οποίος ανέλαβε τα καθήκοντά του τον Απρίλιο του 2019. Η προσέγγιση του σημερινού υπουργού απέτρεψε την περαιτέρω επιδ</w:t>
      </w:r>
      <w:r>
        <w:rPr>
          <w:rFonts w:ascii="Times New Roman" w:hAnsi="Times New Roman"/>
          <w:noProof/>
        </w:rPr>
        <w:t>είνωση της κατάστασης και έδωσε περιθώρια βελτίωσης της διαδικασίας. Αυτό θα πρέπει να επιδιωχθεί κατά προτεραιότητα από τη ρουμανική κυβέρνηση, καθώς η εμπειρία των τελευταίων ετών επιβεβαιώνει τον κίνδυνο πολιτικού επηρεασμού της διαδικασίας, εις βάρος τ</w:t>
      </w:r>
      <w:r>
        <w:rPr>
          <w:rFonts w:ascii="Times New Roman" w:hAnsi="Times New Roman"/>
          <w:noProof/>
        </w:rPr>
        <w:t xml:space="preserve">ης ποιότητας των διορισμών, και την ανάγκη για μια μακροπρόθεσμη και βιώσιμη λύση. </w:t>
      </w:r>
    </w:p>
    <w:p w:rsidR="00B1412B" w:rsidRDefault="00237EF8">
      <w:pPr>
        <w:spacing w:after="120" w:line="240" w:lineRule="auto"/>
        <w:jc w:val="both"/>
        <w:rPr>
          <w:rFonts w:ascii="Times New Roman" w:eastAsia="SimSun" w:hAnsi="Times New Roman"/>
          <w:noProof/>
          <w:sz w:val="24"/>
          <w:szCs w:val="24"/>
        </w:rPr>
      </w:pPr>
      <w:r>
        <w:rPr>
          <w:rFonts w:ascii="Times New Roman" w:hAnsi="Times New Roman"/>
          <w:noProof/>
        </w:rPr>
        <w:t>Η Δικαστική Επιθεώρηση διαδραματίζει καίριο ρόλο στη διασφάλιση της εμπιστοσύνης του κοινού στην ανεξαρτησία, τον επαγγελματισμό και την ακεραιότητα του δικαστικού σώματος.</w:t>
      </w:r>
      <w:r>
        <w:rPr>
          <w:rFonts w:ascii="Times New Roman" w:hAnsi="Times New Roman"/>
          <w:noProof/>
        </w:rPr>
        <w:t xml:space="preserve"> Μετά από έτη θετικής αξιολόγησης, η έκθεση του Νοεμβρίου 2018 επεσήμανε σημαντικές ανησυχίες σχετικά με την Επιθεώρηση: συστηματικές πειθαρχικές διαδικασίες κατά δικαστών οι οποίοι αντιτίθενται δημοσίως στην κατεύθυνση της μεταρρύθμισης του δικαστικού συσ</w:t>
      </w:r>
      <w:r>
        <w:rPr>
          <w:rFonts w:ascii="Times New Roman" w:hAnsi="Times New Roman"/>
          <w:noProof/>
        </w:rPr>
        <w:t>τήματος, διαρροές εγγράφων –τα οποία στη συνέχεια χρησιμοποιήθηκαν από πολιτικούς για την επίθεση εναντίον των δικαστικών θεσμών– και παράταση της θητείας της ομάδας διαχείρισης από την κυβέρνηση.</w:t>
      </w:r>
    </w:p>
    <w:tbl>
      <w:tblPr>
        <w:tblW w:w="927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1412B">
        <w:trPr>
          <w:trHeight w:val="132"/>
        </w:trPr>
        <w:tc>
          <w:tcPr>
            <w:tcW w:w="9270" w:type="dxa"/>
          </w:tcPr>
          <w:p w:rsidR="00B1412B" w:rsidRDefault="00237EF8">
            <w:pPr>
              <w:spacing w:after="0" w:line="240" w:lineRule="auto"/>
              <w:contextualSpacing/>
              <w:jc w:val="both"/>
              <w:rPr>
                <w:rFonts w:ascii="Times New Roman" w:hAnsi="Times New Roman"/>
                <w:noProof/>
                <w:sz w:val="24"/>
                <w:szCs w:val="24"/>
              </w:rPr>
            </w:pPr>
            <w:r>
              <w:rPr>
                <w:rFonts w:ascii="Times New Roman" w:hAnsi="Times New Roman"/>
                <w:noProof/>
              </w:rPr>
              <w:t>Στην έκθεση του Νοεμβρίου 2018 διατυπώνονταν οι ακόλουθες σ</w:t>
            </w:r>
            <w:r>
              <w:rPr>
                <w:rFonts w:ascii="Times New Roman" w:hAnsi="Times New Roman"/>
                <w:noProof/>
              </w:rPr>
              <w:t xml:space="preserve">υστάσεις: </w:t>
            </w:r>
          </w:p>
          <w:p w:rsidR="00B1412B" w:rsidRDefault="00237EF8">
            <w:pPr>
              <w:numPr>
                <w:ilvl w:val="0"/>
                <w:numId w:val="14"/>
              </w:numPr>
              <w:spacing w:after="0" w:line="240" w:lineRule="auto"/>
              <w:ind w:left="411" w:hanging="309"/>
              <w:contextualSpacing/>
              <w:jc w:val="both"/>
              <w:rPr>
                <w:rFonts w:ascii="Times New Roman" w:hAnsi="Times New Roman"/>
                <w:i/>
                <w:noProof/>
              </w:rPr>
            </w:pPr>
            <w:r>
              <w:rPr>
                <w:rFonts w:ascii="Times New Roman" w:hAnsi="Times New Roman"/>
                <w:i/>
                <w:noProof/>
              </w:rPr>
              <w:t xml:space="preserve">Άμεσος διορισμός από το Ανώτατο Δικαστικό Συμβούλιο ενδιάμεσης ομάδας για τη διαχείριση της Δικαστικής Επιθεώρησης και, εντός τριών μηνών, διορισμός νέας διευθυντικής ομάδας της Επιθεώρησης μέσω διαγωνισμού. </w:t>
            </w:r>
          </w:p>
        </w:tc>
      </w:tr>
    </w:tbl>
    <w:p w:rsidR="00B1412B" w:rsidRDefault="00237EF8">
      <w:pPr>
        <w:spacing w:before="120" w:after="120" w:line="240" w:lineRule="auto"/>
        <w:jc w:val="both"/>
        <w:rPr>
          <w:rFonts w:ascii="Times New Roman" w:eastAsia="SimSun" w:hAnsi="Times New Roman"/>
          <w:noProof/>
          <w:sz w:val="24"/>
          <w:szCs w:val="24"/>
        </w:rPr>
      </w:pPr>
      <w:r>
        <w:rPr>
          <w:rFonts w:ascii="Times New Roman" w:hAnsi="Times New Roman"/>
          <w:noProof/>
        </w:rPr>
        <w:t xml:space="preserve">Το Ανώτατο Δικαστικό Συμβούλιο δεν </w:t>
      </w:r>
      <w:r>
        <w:rPr>
          <w:rFonts w:ascii="Times New Roman" w:hAnsi="Times New Roman"/>
          <w:noProof/>
        </w:rPr>
        <w:t>διόρισε νέα προσωρινή ομάδα διαχείρισης και, ως εκ τούτου, ο επικεφαλής επιθεωρητής εκτελούσε χρέη έως τον Μάιο του 2019, όταν το Ανώτατο Συμβούλιο διόρισε εκ νέου τον ίδιο επικεφαλής επιθεωρητή, παρά τις διενέξεις. Ταυτόχρονα, από την τελευταία έκθεση, συ</w:t>
      </w:r>
      <w:r>
        <w:rPr>
          <w:rFonts w:ascii="Times New Roman" w:hAnsi="Times New Roman"/>
          <w:noProof/>
        </w:rPr>
        <w:t>νεχίζονται οι συστηματικές πειθαρχικές διαδικασίες κατά δικαστών</w:t>
      </w:r>
      <w:r>
        <w:rPr>
          <w:rStyle w:val="FootnoteReference"/>
          <w:rFonts w:ascii="Times New Roman" w:eastAsia="SimSun" w:hAnsi="Times New Roman"/>
          <w:noProof/>
        </w:rPr>
        <w:footnoteReference w:id="30"/>
      </w:r>
      <w:r>
        <w:rPr>
          <w:rFonts w:ascii="Times New Roman" w:hAnsi="Times New Roman"/>
          <w:noProof/>
        </w:rPr>
        <w:t>, συμπεριλαμβανομένων των προϊσταμένων των δικαστικών οργάνων που αντιτίθενται στις μεταρρυθμίσεις του δικαστικού συστήματος, καθώς και η διαρροή εγγράφων</w:t>
      </w:r>
      <w:r>
        <w:rPr>
          <w:rStyle w:val="FootnoteReference"/>
          <w:rFonts w:ascii="Times New Roman" w:eastAsia="SimSun" w:hAnsi="Times New Roman"/>
          <w:noProof/>
        </w:rPr>
        <w:footnoteReference w:id="31"/>
      </w:r>
      <w:r>
        <w:rPr>
          <w:noProof/>
        </w:rPr>
        <w:t>.</w:t>
      </w:r>
      <w:r>
        <w:rPr>
          <w:rFonts w:ascii="Times New Roman" w:hAnsi="Times New Roman"/>
          <w:noProof/>
        </w:rPr>
        <w:t xml:space="preserve"> Ως εκ τούτου, η σύσταση του Νοεμβρ</w:t>
      </w:r>
      <w:r>
        <w:rPr>
          <w:rFonts w:ascii="Times New Roman" w:hAnsi="Times New Roman"/>
          <w:noProof/>
        </w:rPr>
        <w:t xml:space="preserve">ίου 2018 έχει ξεπεραστεί από τα γεγονότα, αλλά οι βασικές ανησυχίες εξακολουθούν να ισχύουν πλήρως. </w:t>
      </w:r>
    </w:p>
    <w:p w:rsidR="00B1412B" w:rsidRDefault="00237EF8">
      <w:pPr>
        <w:spacing w:after="120" w:line="240" w:lineRule="auto"/>
        <w:jc w:val="both"/>
        <w:rPr>
          <w:rFonts w:ascii="Times New Roman" w:eastAsia="SimSun" w:hAnsi="Times New Roman"/>
          <w:noProof/>
          <w:sz w:val="24"/>
          <w:szCs w:val="24"/>
        </w:rPr>
      </w:pPr>
      <w:r>
        <w:rPr>
          <w:rFonts w:ascii="Times New Roman" w:hAnsi="Times New Roman"/>
          <w:noProof/>
        </w:rPr>
        <w:t>Διαδοχικές εκθέσεις του ΜΣΕ επισήμαναν την πίεση που ασκείται σε δικαστές και δικαστικά όργανα από δημόσιες επιθέσεις που εκπορεύονται από τον πολιτικό κόσ</w:t>
      </w:r>
      <w:r>
        <w:rPr>
          <w:rFonts w:ascii="Times New Roman" w:hAnsi="Times New Roman"/>
          <w:noProof/>
        </w:rPr>
        <w:t>μο και τα μέσα ενημέρωσης. Από τις αρχές του 2018, το φαινόμενο αυτό επιδεινώθηκε με τις ενέργειες των αρχών που είναι αρμόδιες για πειθαρχικές και ποινικές έρευνες δικαστών. Η Εθνική Διεύθυνση Καταπολέμησης της Διαφθοράς αποτελεί εδώ και πολύ καιρό το σημ</w:t>
      </w:r>
      <w:r>
        <w:rPr>
          <w:rFonts w:ascii="Times New Roman" w:hAnsi="Times New Roman"/>
          <w:noProof/>
        </w:rPr>
        <w:t>είο στο οποίο επικεντρώνεται αυτή η πίεση, όπως εξάλλου και το γραφείο της Γενικής Εισαγγελίας. Κατά την περίοδο αναφοράς σημειώθηκε επίσης απότομη αύξηση της πίεσης στο Ανώτατο Ακυρωτικό Δικαστήριο, το οποίο είναι αρμόδιο για πολλές δίκες διαφθοράς υψηλού</w:t>
      </w:r>
      <w:r>
        <w:rPr>
          <w:rFonts w:ascii="Times New Roman" w:hAnsi="Times New Roman"/>
          <w:noProof/>
        </w:rPr>
        <w:t xml:space="preserve"> επιπέδου. Η κυβέρνηση προκάλεσε δύο συνταγματικές συγκρούσεις με το Ανώτατο Δικαστήριο σχετικά με την εκ μέρους του ερμηνεία των διαδικαστικών κανόνων για τη σύνθεση των ποινικών δικαστηρίων</w:t>
      </w:r>
      <w:r>
        <w:rPr>
          <w:rStyle w:val="FootnoteReference"/>
          <w:rFonts w:ascii="Times New Roman" w:eastAsia="SimSun" w:hAnsi="Times New Roman"/>
          <w:noProof/>
        </w:rPr>
        <w:footnoteReference w:id="32"/>
      </w:r>
      <w:r>
        <w:rPr>
          <w:noProof/>
        </w:rPr>
        <w:t>.</w:t>
      </w:r>
      <w:r>
        <w:rPr>
          <w:rFonts w:ascii="Times New Roman" w:hAnsi="Times New Roman"/>
          <w:noProof/>
          <w:vertAlign w:val="superscript"/>
        </w:rPr>
        <w:t>,</w:t>
      </w:r>
      <w:r>
        <w:rPr>
          <w:rStyle w:val="FootnoteReference"/>
          <w:rFonts w:ascii="Times New Roman" w:eastAsia="SimSun" w:hAnsi="Times New Roman"/>
          <w:noProof/>
        </w:rPr>
        <w:footnoteReference w:id="33"/>
      </w:r>
      <w:r>
        <w:rPr>
          <w:noProof/>
        </w:rPr>
        <w:t xml:space="preserve"> </w:t>
      </w:r>
      <w:r>
        <w:rPr>
          <w:rFonts w:ascii="Times New Roman" w:hAnsi="Times New Roman"/>
          <w:noProof/>
        </w:rPr>
        <w:t>Επιπλέον, η Δικαστική Επιθεώρηση κατέθεσε πειθαρχική καταγγε</w:t>
      </w:r>
      <w:r>
        <w:rPr>
          <w:rFonts w:ascii="Times New Roman" w:hAnsi="Times New Roman"/>
          <w:noProof/>
        </w:rPr>
        <w:t>λία εις βάρος της προέδρου του και το δικαστικό τμήμα του Ανώτατου Συμβουλίου ζήτησε την ανάκλησή της. Αυτά τα συνδυασμένα μέτρα φαίνεται να έχουν ως στόχο την άσκηση πίεσης στο Ανώτατο Δικαστήριο και όταν η Πρόεδρος ανακοίνωσε την πρόθεσή της να μην υποβά</w:t>
      </w:r>
      <w:r>
        <w:rPr>
          <w:rFonts w:ascii="Times New Roman" w:hAnsi="Times New Roman"/>
          <w:noProof/>
        </w:rPr>
        <w:t>λει αίτηση για δεύτερη θητεία, κατέστησε σαφές ότι αυτός ήταν ο λόγος</w:t>
      </w:r>
      <w:r>
        <w:rPr>
          <w:rStyle w:val="FootnoteReference"/>
          <w:rFonts w:ascii="Times New Roman" w:eastAsia="SimSun" w:hAnsi="Times New Roman"/>
          <w:noProof/>
        </w:rPr>
        <w:footnoteReference w:id="34"/>
      </w:r>
      <w:r>
        <w:rPr>
          <w:noProof/>
        </w:rPr>
        <w:t>.</w:t>
      </w:r>
      <w:r>
        <w:rPr>
          <w:rFonts w:ascii="Times New Roman" w:hAnsi="Times New Roman"/>
          <w:noProof/>
        </w:rPr>
        <w:t xml:space="preserve">  </w:t>
      </w:r>
    </w:p>
    <w:p w:rsidR="00B1412B" w:rsidRDefault="00237EF8">
      <w:pPr>
        <w:spacing w:after="120" w:line="240" w:lineRule="auto"/>
        <w:jc w:val="both"/>
        <w:rPr>
          <w:rFonts w:ascii="Times New Roman" w:eastAsia="SimSun" w:hAnsi="Times New Roman"/>
          <w:noProof/>
          <w:sz w:val="24"/>
          <w:szCs w:val="24"/>
        </w:rPr>
      </w:pPr>
      <w:r>
        <w:rPr>
          <w:rFonts w:ascii="Times New Roman" w:hAnsi="Times New Roman"/>
          <w:noProof/>
        </w:rPr>
        <w:t>Το Ανώτατο Συμβούλιο διόρισε πρόσφατα νέο Πρόεδρο του Ανώτατου Δικαστηρίου. Θα είναι ιδιαίτερα σημαντικό το Ανώτατο Δικαστήριο, υπό τη νέα ηγεσία του, να διατηρήσει την ανεξαρτησία κ</w:t>
      </w:r>
      <w:r>
        <w:rPr>
          <w:rFonts w:ascii="Times New Roman" w:hAnsi="Times New Roman"/>
          <w:noProof/>
        </w:rPr>
        <w:t>αι τον υψηλό επαγγελματισμό του, μεταξύ άλλων στην καταπολέμηση της διαφθοράς σε υψηλό επίπεδο.</w:t>
      </w:r>
    </w:p>
    <w:p w:rsidR="00B1412B" w:rsidRDefault="00237EF8">
      <w:pPr>
        <w:pStyle w:val="Body"/>
        <w:spacing w:after="120" w:line="240" w:lineRule="auto"/>
        <w:jc w:val="both"/>
        <w:rPr>
          <w:rFonts w:ascii="Times New Roman" w:hAnsi="Times New Roman"/>
          <w:noProof/>
          <w:sz w:val="24"/>
        </w:rPr>
      </w:pPr>
      <w:r>
        <w:rPr>
          <w:rFonts w:ascii="Times New Roman" w:hAnsi="Times New Roman"/>
          <w:noProof/>
        </w:rPr>
        <w:t>Οι εξελίξεις αυτές επιβεβαιώνουν την αξιολόγηση της Επιτροπής στην έκθεση του Νοεμβρίου 2018, σύμφωνα με την οποία το Ανώτατο Δικαστικό Συμβούλιο δεν εκπληρώνει</w:t>
      </w:r>
      <w:r>
        <w:rPr>
          <w:rFonts w:ascii="Times New Roman" w:hAnsi="Times New Roman"/>
          <w:noProof/>
        </w:rPr>
        <w:t xml:space="preserve"> τον ρόλο του που είναι να λειτουργεί ως θεσμικό αντίβαρο για την υπεράσπιση της ανεξαρτησίας των δικαστικών θεσμών που λειτουργούν υπό πίεση. (βλ. σύσταση 7).</w:t>
      </w:r>
    </w:p>
    <w:p w:rsidR="00B1412B" w:rsidRDefault="00B1412B">
      <w:pPr>
        <w:pStyle w:val="Body"/>
        <w:spacing w:after="120" w:line="240" w:lineRule="auto"/>
        <w:jc w:val="both"/>
        <w:rPr>
          <w:rFonts w:ascii="Times New Roman" w:hAnsi="Times New Roman" w:cs="Times New Roman"/>
          <w:noProof/>
          <w:sz w:val="24"/>
          <w:szCs w:val="24"/>
        </w:rPr>
      </w:pPr>
    </w:p>
    <w:p w:rsidR="00B1412B" w:rsidRDefault="00237EF8">
      <w:pPr>
        <w:pStyle w:val="Body"/>
        <w:spacing w:after="120" w:line="240" w:lineRule="auto"/>
        <w:jc w:val="both"/>
        <w:rPr>
          <w:rFonts w:ascii="Times New Roman" w:hAnsi="Times New Roman" w:cs="Times New Roman"/>
          <w:i/>
          <w:noProof/>
          <w:sz w:val="24"/>
          <w:szCs w:val="24"/>
        </w:rPr>
      </w:pPr>
      <w:r>
        <w:rPr>
          <w:rFonts w:ascii="Times New Roman" w:hAnsi="Times New Roman"/>
          <w:i/>
          <w:noProof/>
        </w:rPr>
        <w:t>Ποινικοί κώδικες</w:t>
      </w:r>
    </w:p>
    <w:p w:rsidR="00B1412B" w:rsidRDefault="00237EF8">
      <w:pPr>
        <w:spacing w:after="120" w:line="240" w:lineRule="auto"/>
        <w:jc w:val="both"/>
        <w:rPr>
          <w:rFonts w:ascii="Times New Roman" w:eastAsia="Times New Roman" w:hAnsi="Times New Roman"/>
          <w:noProof/>
          <w:sz w:val="24"/>
          <w:szCs w:val="24"/>
        </w:rPr>
      </w:pPr>
      <w:r>
        <w:rPr>
          <w:rFonts w:ascii="Times New Roman" w:hAnsi="Times New Roman"/>
          <w:noProof/>
        </w:rPr>
        <w:t xml:space="preserve">Τον Ιούλιο του 2018, το ρουμανικό κοινοβούλιο ενέκρινε με διαδικασία </w:t>
      </w:r>
      <w:r>
        <w:rPr>
          <w:rFonts w:ascii="Times New Roman" w:hAnsi="Times New Roman"/>
          <w:noProof/>
        </w:rPr>
        <w:t>κατεπείγοντος τροποποιήσεις του ποινικού κώδικα και του κώδικα ποινικής δικονομίας. Οι τροποποιήσεις αυτές επικρίθηκαν έντονα, μεταξύ άλλων από την Ευρωπαϊκή Επιτροπή και την Επιτροπή της Βενετίας</w:t>
      </w:r>
      <w:r>
        <w:rPr>
          <w:rStyle w:val="FootnoteReference"/>
          <w:rFonts w:ascii="Times New Roman" w:eastAsia="Times New Roman" w:hAnsi="Times New Roman"/>
          <w:noProof/>
        </w:rPr>
        <w:footnoteReference w:id="35"/>
      </w:r>
      <w:r>
        <w:rPr>
          <w:noProof/>
        </w:rPr>
        <w:t>.</w:t>
      </w:r>
      <w:r>
        <w:rPr>
          <w:rFonts w:ascii="Times New Roman" w:hAnsi="Times New Roman"/>
          <w:noProof/>
        </w:rPr>
        <w:t xml:space="preserve"> Μια ιδιαίτερη πηγή ανησυχίας ήταν η αιφνίδια αλλαγή στην </w:t>
      </w:r>
      <w:r>
        <w:rPr>
          <w:rFonts w:ascii="Times New Roman" w:hAnsi="Times New Roman"/>
          <w:noProof/>
        </w:rPr>
        <w:t>ισορροπία μεταξύ των δικαιωμάτων των κατηγορουμένων, των δικαιωμάτων των θυμάτων και της υποχρέωσης του κράτους να διώκει αποτελεσματικά τα εγκλήματα. Οι αλλαγές έρχονταν σαφώς σε αντίθεση με τη σύσταση του ΜΣΕ να βελτιωθεί η σταθερότητα των κωδίκων και να</w:t>
      </w:r>
      <w:r>
        <w:rPr>
          <w:rFonts w:ascii="Times New Roman" w:hAnsi="Times New Roman"/>
          <w:noProof/>
        </w:rPr>
        <w:t xml:space="preserve"> τροποποιηθούν μόνο όπου αυτό απαιτείται ειδικά από τις αποφάσεις του Συνταγματικού Δικαστηρίου και τη μεταφορά των οδηγιών της ΕΕ στο εθνικό δίκαιο. Πολλές αλλαγές φαίνονταν ασυμβίβαστες με τη νομοθεσία της ΕΕ ή με τις διεθνείς υποχρεώσεις της Ρουμανίας. </w:t>
      </w:r>
      <w:r>
        <w:rPr>
          <w:rFonts w:ascii="Times New Roman" w:hAnsi="Times New Roman"/>
          <w:noProof/>
        </w:rPr>
        <w:t xml:space="preserve">Τον Οκτώβριο του 2018, το Συνταγματικό Δικαστήριο έκρινε ότι πολλές από τις αλλαγές ήταν αντισυνταγματικές. </w:t>
      </w:r>
    </w:p>
    <w:tbl>
      <w:tblPr>
        <w:tblStyle w:val="TableGrid"/>
        <w:tblW w:w="0" w:type="auto"/>
        <w:tblLook w:val="04A0" w:firstRow="1" w:lastRow="0" w:firstColumn="1" w:lastColumn="0" w:noHBand="0" w:noVBand="1"/>
      </w:tblPr>
      <w:tblGrid>
        <w:gridCol w:w="9288"/>
      </w:tblGrid>
      <w:tr w:rsidR="00B1412B">
        <w:tc>
          <w:tcPr>
            <w:tcW w:w="9288" w:type="dxa"/>
          </w:tcPr>
          <w:p w:rsidR="00B1412B" w:rsidRDefault="00237EF8">
            <w:pPr>
              <w:spacing w:after="0" w:line="240" w:lineRule="auto"/>
              <w:contextualSpacing/>
              <w:jc w:val="both"/>
              <w:rPr>
                <w:rFonts w:ascii="Times New Roman" w:hAnsi="Times New Roman"/>
                <w:noProof/>
                <w:sz w:val="24"/>
                <w:szCs w:val="24"/>
              </w:rPr>
            </w:pPr>
            <w:r>
              <w:rPr>
                <w:rFonts w:ascii="Times New Roman" w:hAnsi="Times New Roman"/>
                <w:noProof/>
              </w:rPr>
              <w:t>Στην έκθεση του Νοεμβρίου 2018 διατυπώνονταν οι ακόλουθες συστάσεις:</w:t>
            </w:r>
          </w:p>
          <w:p w:rsidR="00B1412B" w:rsidRDefault="00237EF8">
            <w:pPr>
              <w:numPr>
                <w:ilvl w:val="0"/>
                <w:numId w:val="14"/>
              </w:numPr>
              <w:spacing w:after="0" w:line="240" w:lineRule="auto"/>
              <w:ind w:left="295" w:hanging="295"/>
              <w:contextualSpacing/>
              <w:jc w:val="both"/>
              <w:rPr>
                <w:rFonts w:ascii="Times New Roman" w:hAnsi="Times New Roman"/>
                <w:i/>
                <w:noProof/>
                <w:sz w:val="24"/>
                <w:szCs w:val="24"/>
              </w:rPr>
            </w:pPr>
            <w:r>
              <w:rPr>
                <w:rFonts w:ascii="Times New Roman" w:hAnsi="Times New Roman"/>
                <w:i/>
                <w:noProof/>
              </w:rPr>
              <w:t>Αναστολή της έναρξης ισχύος των τροποποιήσεων του Ποινικού Κώδικα και του Κώδι</w:t>
            </w:r>
            <w:r>
              <w:rPr>
                <w:rFonts w:ascii="Times New Roman" w:hAnsi="Times New Roman"/>
                <w:i/>
                <w:noProof/>
              </w:rPr>
              <w:t>κα Ποινικής Δικονομίας.</w:t>
            </w:r>
          </w:p>
          <w:p w:rsidR="00B1412B" w:rsidRDefault="00237EF8">
            <w:pPr>
              <w:pStyle w:val="ListParagraph"/>
              <w:numPr>
                <w:ilvl w:val="0"/>
                <w:numId w:val="14"/>
              </w:numPr>
              <w:spacing w:after="0" w:line="240" w:lineRule="auto"/>
              <w:ind w:left="284" w:hanging="294"/>
              <w:jc w:val="both"/>
              <w:rPr>
                <w:rFonts w:ascii="Times New Roman" w:eastAsia="Times New Roman" w:hAnsi="Times New Roman"/>
                <w:noProof/>
                <w:sz w:val="24"/>
                <w:szCs w:val="24"/>
              </w:rPr>
            </w:pPr>
            <w:r>
              <w:rPr>
                <w:rFonts w:ascii="Times New Roman" w:hAnsi="Times New Roman"/>
                <w:i/>
                <w:noProof/>
              </w:rPr>
              <w:t xml:space="preserve">Επανεκκίνηση της αναθεώρησης του Ποινικού Κώδικα και του Κώδικα Ποινικής Δικονομίας, λαμβανομένης πλήρως υπόψη της ανάγκης συμμόρφωσης με το δίκαιο της ΕΕ, τα διεθνή νομικά μέσα για την καταπολέμηση της διαφθοράς, τις συστάσεις στο </w:t>
            </w:r>
            <w:r>
              <w:rPr>
                <w:rFonts w:ascii="Times New Roman" w:hAnsi="Times New Roman"/>
                <w:i/>
                <w:noProof/>
              </w:rPr>
              <w:t>πλαίσιο του ΜΣΕ και τη γνωμοδότηση της Επιτροπής της Βενετίας.</w:t>
            </w:r>
          </w:p>
        </w:tc>
      </w:tr>
    </w:tbl>
    <w:p w:rsidR="00B1412B" w:rsidRDefault="00237EF8">
      <w:pPr>
        <w:spacing w:before="120" w:after="120" w:line="240" w:lineRule="auto"/>
        <w:jc w:val="both"/>
        <w:rPr>
          <w:rFonts w:ascii="Times New Roman" w:eastAsia="Times New Roman" w:hAnsi="Times New Roman"/>
          <w:noProof/>
          <w:sz w:val="24"/>
          <w:szCs w:val="24"/>
        </w:rPr>
      </w:pPr>
      <w:r>
        <w:rPr>
          <w:rFonts w:ascii="Times New Roman" w:hAnsi="Times New Roman"/>
          <w:noProof/>
        </w:rPr>
        <w:t>Στις συστάσεις αυτές δεν δόθηκε συνέχεια. Υπήρξε μια παύση αλλά καμία αναγνώριση των ανησυχιών, και ο χρόνος δεν αξιοποιήθηκε για την εμβάθυνση του προβληματισμού και της διαβούλευσης. Τον Απρ</w:t>
      </w:r>
      <w:r>
        <w:rPr>
          <w:rFonts w:ascii="Times New Roman" w:hAnsi="Times New Roman"/>
          <w:noProof/>
        </w:rPr>
        <w:t>ίλιο, το Κοινοβούλιο ενέκρινε τροποποιημένες τροποποιήσεις των δύο κωδίκων, καθώς και τον ειδικό νόμο για τη διαφθορά, με τη χρήση έκτακτης νομοθετικής διαδικασίας. Πολλές τροποποιήσεις εξακολουθούν να εγείρουν ανησυχίες λόγω του αντικτύπου τους στην ικανό</w:t>
      </w:r>
      <w:r>
        <w:rPr>
          <w:rFonts w:ascii="Times New Roman" w:hAnsi="Times New Roman"/>
          <w:noProof/>
        </w:rPr>
        <w:t>τητα των αρχών επιβολής του νόμου και της δικαστικής εξουσίας να ερευνούν και να επιβάλλουν κυρώσεις για εγκλήματα εν γένει, και ειδικότερα για εγκλήματα που σχετίζονται με τη διαφθορά, ειδικότερα. Η αιτιολόγηση που παρασχέθηκε από την πλειοψηφία που υποστ</w:t>
      </w:r>
      <w:r>
        <w:rPr>
          <w:rFonts w:ascii="Times New Roman" w:hAnsi="Times New Roman"/>
          <w:noProof/>
        </w:rPr>
        <w:t xml:space="preserve">ηρίζει τις αλλαγές στο Κοινοβούλιο ήταν η διατήρηση μόνο των τροποποιήσεων εκείνων που δεν κρίθηκαν αντισυνταγματικές από τις αποφάσεις του Συνταγματικού Δικαστηρίου του Οκτωβρίου 2018. Τα κόμματα της αντιπολίτευσης και ο Πρόεδρος της Ρουμανίας προσέβαλαν </w:t>
      </w:r>
      <w:r>
        <w:rPr>
          <w:rFonts w:ascii="Times New Roman" w:hAnsi="Times New Roman"/>
          <w:noProof/>
        </w:rPr>
        <w:t>τις εν λόγω τροποποιήσεις ενώπιον του Συνταγματικού Δικαστηρίου, το οποίο, τον Ιούλιο του 2019, αποφάνθηκε ότι οι τροποποιήσεις συνολικά είναι αντισυνταγματικές και δεν συνάδουν με τις προηγούμενες αποφάσεις του</w:t>
      </w:r>
      <w:r>
        <w:rPr>
          <w:rFonts w:ascii="Times New Roman" w:eastAsia="Times New Roman" w:hAnsi="Times New Roman"/>
          <w:noProof/>
          <w:vertAlign w:val="superscript"/>
        </w:rPr>
        <w:footnoteReference w:id="36"/>
      </w:r>
      <w:r>
        <w:rPr>
          <w:rFonts w:ascii="Times New Roman" w:hAnsi="Times New Roman"/>
          <w:noProof/>
        </w:rPr>
        <w:t xml:space="preserve">. </w:t>
      </w:r>
    </w:p>
    <w:p w:rsidR="00B1412B" w:rsidRDefault="00237EF8">
      <w:pPr>
        <w:spacing w:after="120" w:line="240" w:lineRule="auto"/>
        <w:jc w:val="both"/>
        <w:rPr>
          <w:noProof/>
        </w:rPr>
      </w:pPr>
      <w:r>
        <w:rPr>
          <w:rFonts w:ascii="Times New Roman" w:hAnsi="Times New Roman"/>
          <w:noProof/>
        </w:rPr>
        <w:t>Ενώ η παρέμβαση του Συνταγματικού Δικαστη</w:t>
      </w:r>
      <w:r>
        <w:rPr>
          <w:rFonts w:ascii="Times New Roman" w:hAnsi="Times New Roman"/>
          <w:noProof/>
        </w:rPr>
        <w:t>ρίου έθεσε πρακτικά τέλος στην εν λόγω νομοθετική διαδικασία και είχε ως αποτέλεσμα να μην τεθούν σε ισχύ οι τροποποιήσεις για λόγους συνταγματικότητας, οι ανησυχίες της Ευρωπαϊκής Επιτροπής και πολλών άλλων παρατηρητών βασίστηκαν στις πολιτικές επιλογές π</w:t>
      </w:r>
      <w:r>
        <w:rPr>
          <w:rFonts w:ascii="Times New Roman" w:hAnsi="Times New Roman"/>
          <w:noProof/>
        </w:rPr>
        <w:t>ου έγιναν στις τροποποιήσεις. Παραμένει, ως εκ τούτου, η ανησυχία ότι η πολιτική που επιλέχθηκε δεν έχει αποτελέσει αντικείμενο ρητής αποποίησης</w:t>
      </w:r>
      <w:r>
        <w:rPr>
          <w:rStyle w:val="FootnoteReference"/>
          <w:rFonts w:ascii="Times New Roman" w:hAnsi="Times New Roman"/>
          <w:noProof/>
        </w:rPr>
        <w:footnoteReference w:id="37"/>
      </w:r>
      <w:r>
        <w:rPr>
          <w:noProof/>
        </w:rPr>
        <w:t>.</w:t>
      </w:r>
    </w:p>
    <w:p w:rsidR="00B1412B" w:rsidRDefault="00237EF8">
      <w:pPr>
        <w:keepNext/>
        <w:spacing w:before="240" w:after="240" w:line="240" w:lineRule="auto"/>
        <w:jc w:val="both"/>
        <w:rPr>
          <w:rFonts w:ascii="Times New Roman" w:hAnsi="Times New Roman"/>
          <w:b/>
          <w:i/>
          <w:noProof/>
          <w:sz w:val="24"/>
          <w:szCs w:val="24"/>
        </w:rPr>
      </w:pPr>
      <w:r>
        <w:rPr>
          <w:rFonts w:ascii="Times New Roman" w:hAnsi="Times New Roman"/>
          <w:b/>
          <w:i/>
          <w:noProof/>
        </w:rPr>
        <w:t>3.1.2.</w:t>
      </w:r>
      <w:r>
        <w:rPr>
          <w:rFonts w:ascii="Times New Roman" w:hAnsi="Times New Roman"/>
          <w:b/>
          <w:i/>
          <w:noProof/>
        </w:rPr>
        <w:tab/>
        <w:t>Οι συστάσεις του Ιανουαρίου 2017: Ανεξαρτησία της δικαιοσύνης και μεταρρύθμιση του δικαστικού συστήματ</w:t>
      </w:r>
      <w:r>
        <w:rPr>
          <w:rFonts w:ascii="Times New Roman" w:hAnsi="Times New Roman"/>
          <w:b/>
          <w:i/>
          <w:noProof/>
        </w:rPr>
        <w:t>ος</w:t>
      </w:r>
    </w:p>
    <w:p w:rsidR="00B1412B" w:rsidRDefault="00237EF8">
      <w:pPr>
        <w:keepNext/>
        <w:spacing w:before="240" w:after="240" w:line="240" w:lineRule="auto"/>
        <w:jc w:val="both"/>
        <w:rPr>
          <w:rFonts w:ascii="Times New Roman" w:hAnsi="Times New Roman"/>
          <w:b/>
          <w:noProof/>
          <w:sz w:val="24"/>
        </w:rPr>
      </w:pPr>
      <w:r>
        <w:rPr>
          <w:rFonts w:ascii="Times New Roman" w:hAnsi="Times New Roman"/>
          <w:b/>
          <w:noProof/>
        </w:rPr>
        <w:t>3.1.2.1</w:t>
      </w:r>
      <w:r>
        <w:rPr>
          <w:rFonts w:ascii="Times New Roman" w:hAnsi="Times New Roman"/>
          <w:b/>
          <w:noProof/>
        </w:rPr>
        <w:tab/>
        <w:t>Ανεξαρτησία της δικαιοσύνης</w:t>
      </w:r>
    </w:p>
    <w:p w:rsidR="00B1412B" w:rsidRDefault="00237EF8">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rPr>
        <w:t xml:space="preserve">Σύσταση 1: να τεθεί σε εφαρμογή ένα ισχυρό και ανεξάρτητο σύστημα διορισμού των ανώτερων εισαγγελέων, βάσει σαφών και διαφανών κριτηρίων, με τη στήριξη της Επιτροπής της Βενετίας. </w:t>
      </w:r>
    </w:p>
    <w:p w:rsidR="00B1412B" w:rsidRDefault="00237EF8">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rPr>
        <w:t>Σύσταση 2: να διασφαλιστεί ότι ο κώδ</w:t>
      </w:r>
      <w:r>
        <w:rPr>
          <w:rFonts w:ascii="Times New Roman" w:hAnsi="Times New Roman"/>
          <w:i/>
          <w:noProof/>
        </w:rPr>
        <w:t>ικας δεοντολογίας για τους βουλευτές που εξετάζεται επί του παρόντος στο Κοινοβούλιο περιλαμβάνει σαφείς διατάξεις για τον αμοιβαίο σεβασμό μεταξύ των θεσμικών οργάνων και να καταστεί σαφές ότι οι βουλευτές και η κοινοβουλευτική διαδικασία πρέπει να σέβοντ</w:t>
      </w:r>
      <w:r>
        <w:rPr>
          <w:rFonts w:ascii="Times New Roman" w:hAnsi="Times New Roman"/>
          <w:i/>
          <w:noProof/>
        </w:rPr>
        <w:t>αι την ανεξαρτησία της δικαστικής εξουσίας. Παρόμοιος κώδικας δεοντολογίας θα μπορούσε να θεσπιστεί για τους υπουργούς.</w:t>
      </w:r>
    </w:p>
    <w:p w:rsidR="00B1412B" w:rsidRDefault="00237EF8">
      <w:pPr>
        <w:keepNext/>
        <w:spacing w:after="120" w:line="240" w:lineRule="auto"/>
        <w:jc w:val="both"/>
        <w:rPr>
          <w:rFonts w:ascii="Times New Roman" w:hAnsi="Times New Roman"/>
          <w:i/>
          <w:noProof/>
          <w:sz w:val="24"/>
          <w:szCs w:val="24"/>
        </w:rPr>
      </w:pPr>
      <w:r>
        <w:rPr>
          <w:rFonts w:ascii="Times New Roman" w:hAnsi="Times New Roman"/>
          <w:i/>
          <w:noProof/>
        </w:rPr>
        <w:t>Διορισμοί</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 xml:space="preserve">Τον Ιανουάριο του 2017, η Επιτροπή επανέλαβε τη σύστασή της για τη θέσπιση συστήματος διαφανών και αξιοκρατικών διορισμών των </w:t>
      </w:r>
      <w:r>
        <w:rPr>
          <w:rFonts w:ascii="Times New Roman" w:hAnsi="Times New Roman"/>
          <w:noProof/>
        </w:rPr>
        <w:t>ανώτατων εισαγγελέων που θα παρέχει επαρκείς εγγυήσεις κατά της πολιτικοποίησης. Η έκθεση του Νοεμβρίου 2018 κατέληγε στο συμπέρασμα ότι η κατάσταση είχε επιδεινωθεί και η τάση αυτή συνεχίστηκε (βλ. ανωτέρω)</w:t>
      </w:r>
      <w:r>
        <w:rPr>
          <w:rFonts w:ascii="Times New Roman" w:hAnsi="Times New Roman"/>
          <w:noProof/>
          <w:vertAlign w:val="superscript"/>
        </w:rPr>
        <w:footnoteReference w:id="38"/>
      </w:r>
      <w:r>
        <w:rPr>
          <w:rFonts w:ascii="Times New Roman" w:hAnsi="Times New Roman"/>
          <w:noProof/>
        </w:rPr>
        <w:t>.</w:t>
      </w:r>
    </w:p>
    <w:p w:rsidR="00B1412B" w:rsidRDefault="00237EF8">
      <w:pPr>
        <w:pStyle w:val="Body"/>
        <w:spacing w:after="120" w:line="240" w:lineRule="auto"/>
        <w:jc w:val="both"/>
        <w:rPr>
          <w:rFonts w:ascii="Times New Roman" w:hAnsi="Times New Roman" w:cs="Times New Roman"/>
          <w:noProof/>
          <w:sz w:val="24"/>
          <w:szCs w:val="24"/>
        </w:rPr>
      </w:pPr>
      <w:r>
        <w:rPr>
          <w:rFonts w:ascii="Times New Roman" w:hAnsi="Times New Roman"/>
          <w:noProof/>
        </w:rPr>
        <w:t xml:space="preserve">Η διαφάνεια της διαδικασίας έχει αυξηθεί, </w:t>
      </w:r>
      <w:r>
        <w:rPr>
          <w:rFonts w:ascii="Times New Roman" w:hAnsi="Times New Roman"/>
          <w:noProof/>
        </w:rPr>
        <w:t>ιδίως με τη δημοσίευση των κριτηρίων επιλογής και αξιολόγησης από το Υπουργείο Δικαιοσύνης. Ο νυν Υπουργός Δικαιοσύνης αναγνώρισε την ανάγκη περαιτέρω βελτιώσεων. Ωστόσο, το γεγονός ότι υπήρξαν τέσσερις αλλαγές σε λιγότερο από έξι μήνες δείχνει ότι βραχυπρ</w:t>
      </w:r>
      <w:r>
        <w:rPr>
          <w:rFonts w:ascii="Times New Roman" w:hAnsi="Times New Roman"/>
          <w:noProof/>
        </w:rPr>
        <w:t xml:space="preserve">όθεσμες χρήσιμες βελτιώσεις δεν ισοδυναμούν με μακροπρόθεσμη λύση. Όπως αναφέρεται σε προηγούμενες εκθέσεις του ΜΣΕ, τα προβλήματα χρονίζουν σε τέτοιο βαθμό που οι αλλαγές που θα γίνουν θα πρέπει να βασίζονται σε συναίνεση και να αποτυπώνονται στο δίκαιο. </w:t>
      </w:r>
      <w:r>
        <w:rPr>
          <w:rFonts w:ascii="Times New Roman" w:hAnsi="Times New Roman"/>
          <w:noProof/>
        </w:rPr>
        <w:t>Η συμμετοχή της Επιτροπής της Βενετίας παραμένει ο καλύτερος τρόπος για να επιτευχθεί ισορροπία μεταξύ της συμμετοχής της κυβέρνησης και των δικαστικών αρχών, ώστε να αποκατασταθεί η εμπιστοσύνη του κοινού.</w:t>
      </w:r>
    </w:p>
    <w:p w:rsidR="00B1412B" w:rsidRDefault="00237EF8">
      <w:pPr>
        <w:keepNext/>
        <w:spacing w:after="120" w:line="240" w:lineRule="auto"/>
        <w:jc w:val="both"/>
        <w:rPr>
          <w:rFonts w:ascii="Times New Roman" w:hAnsi="Times New Roman"/>
          <w:noProof/>
          <w:sz w:val="24"/>
          <w:szCs w:val="24"/>
        </w:rPr>
      </w:pPr>
      <w:r>
        <w:rPr>
          <w:rFonts w:ascii="Times New Roman" w:hAnsi="Times New Roman"/>
          <w:i/>
          <w:noProof/>
        </w:rPr>
        <w:t>Κώδικες δεοντολογίας</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Κατά την περίοδο αναφοράς, σ</w:t>
      </w:r>
      <w:r>
        <w:rPr>
          <w:rFonts w:ascii="Times New Roman" w:hAnsi="Times New Roman"/>
          <w:noProof/>
        </w:rPr>
        <w:t>υνεχίστηκε να είναι ασκείται συστηματική κριτική στο δικαστικό σύστημα και σε επιμέρους δικαστικούς στα μέσα ενημέρωσης και από κυβερνητικούς και κοινοβουλευτικούς εκπροσώπους.</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Από τα τέλη του 2017 έχει τεθεί σε ισχύ κώδικας δεοντολογίας για τους βουλευτές</w:t>
      </w:r>
      <w:r>
        <w:rPr>
          <w:rFonts w:ascii="Times New Roman" w:hAnsi="Times New Roman"/>
          <w:noProof/>
        </w:rPr>
        <w:t>. Στην έκθεση του Νοεμβρίου 2018 διαπιστώθηκε ότι, ελλείψει ρητής διάταξης για σεβασμό της ανεξαρτησίας του δικαστικού σώματος, ο κώδικας δεν επιτελεί ακόμη αυτή τη λειτουργία. Από την έκθεση του Νοεμβρίου 2018, σε ορισμένες περιπτώσεις επιβλήθηκαν κυρώσει</w:t>
      </w:r>
      <w:r>
        <w:rPr>
          <w:rFonts w:ascii="Times New Roman" w:hAnsi="Times New Roman"/>
          <w:noProof/>
        </w:rPr>
        <w:t>ς από τη Βουλή για παραβάσεις του κώδικα, αλλά οι υποθέσεις αυτές δεν φαίνεται να αφορούν περιπτώσεις άσκησης κριτικής στο δικαστικό σώμα που μπορούν να υπονομεύσουν την ανεξαρτησία του.</w:t>
      </w:r>
      <w:r>
        <w:rPr>
          <w:rFonts w:ascii="Times New Roman" w:hAnsi="Times New Roman"/>
          <w:noProof/>
          <w:vertAlign w:val="superscript"/>
        </w:rPr>
        <w:t xml:space="preserve"> </w:t>
      </w:r>
      <w:r>
        <w:rPr>
          <w:rFonts w:ascii="Times New Roman" w:hAnsi="Times New Roman"/>
          <w:noProof/>
          <w:vertAlign w:val="superscript"/>
        </w:rPr>
        <w:footnoteReference w:id="39"/>
      </w:r>
      <w:r>
        <w:rPr>
          <w:rFonts w:ascii="Times New Roman" w:hAnsi="Times New Roman"/>
          <w:noProof/>
        </w:rPr>
        <w:t xml:space="preserve"> </w:t>
      </w:r>
    </w:p>
    <w:p w:rsidR="00B1412B" w:rsidRDefault="00237EF8">
      <w:pPr>
        <w:spacing w:after="0" w:line="240" w:lineRule="auto"/>
        <w:jc w:val="both"/>
        <w:rPr>
          <w:rFonts w:ascii="Times New Roman" w:hAnsi="Times New Roman"/>
          <w:noProof/>
          <w:sz w:val="24"/>
          <w:szCs w:val="24"/>
        </w:rPr>
      </w:pPr>
      <w:r>
        <w:rPr>
          <w:rFonts w:ascii="Times New Roman" w:hAnsi="Times New Roman"/>
          <w:noProof/>
        </w:rPr>
        <w:t>Η Επιτροπή είχε επίσης προτείνει ότι θα ήταν χρήσιμο να υπάρχει έν</w:t>
      </w:r>
      <w:r>
        <w:rPr>
          <w:rFonts w:ascii="Times New Roman" w:hAnsi="Times New Roman"/>
          <w:noProof/>
        </w:rPr>
        <w:t>ας υπουργικός κώδικας και, τον Απρίλιο του 2019, η κυβέρνηση τροποποίησε τον υπουργικό κώδικα δεοντολογίας ώστε να συμπεριληφθεί ρητή αναφορά στην ανάγκη σεβασμού της ανεξαρτησίας της δικαιοσύνης. Δεν είναι ακόμη σαφές κατά πόσον ο εν λόγω κώδικας μπορεί ν</w:t>
      </w:r>
      <w:r>
        <w:rPr>
          <w:rFonts w:ascii="Times New Roman" w:hAnsi="Times New Roman"/>
          <w:noProof/>
        </w:rPr>
        <w:t>α λειτουργήσει ως αποτελεσματικό μέσο λογοδοσίας.</w:t>
      </w:r>
    </w:p>
    <w:p w:rsidR="00B1412B" w:rsidRDefault="00237EF8">
      <w:pPr>
        <w:keepNext/>
        <w:spacing w:before="240" w:after="240" w:line="240" w:lineRule="auto"/>
        <w:jc w:val="both"/>
        <w:rPr>
          <w:rFonts w:ascii="Times New Roman" w:hAnsi="Times New Roman"/>
          <w:b/>
          <w:noProof/>
          <w:sz w:val="24"/>
          <w:szCs w:val="24"/>
        </w:rPr>
      </w:pPr>
      <w:r>
        <w:rPr>
          <w:rFonts w:ascii="Times New Roman" w:hAnsi="Times New Roman"/>
          <w:b/>
          <w:noProof/>
        </w:rPr>
        <w:t>3.1.2.2</w:t>
      </w:r>
      <w:r>
        <w:rPr>
          <w:rFonts w:ascii="Times New Roman" w:hAnsi="Times New Roman"/>
          <w:b/>
          <w:noProof/>
        </w:rPr>
        <w:tab/>
        <w:t>Μεταρρύθμιση του δικαστικού συστήματος</w:t>
      </w:r>
    </w:p>
    <w:p w:rsidR="00B1412B" w:rsidRDefault="00237EF8">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rPr>
        <w:t>Σύσταση 3: η παρούσα φάση της μεταρρύθμισης του ρουμανικού Ποινικού Κώδικα θα πρέπει να ολοκληρωθεί, με την προώθηση από το Κοινοβούλιο των σχεδίων του για έγκ</w:t>
      </w:r>
      <w:r>
        <w:rPr>
          <w:rFonts w:ascii="Times New Roman" w:hAnsi="Times New Roman"/>
          <w:i/>
          <w:noProof/>
        </w:rPr>
        <w:t>ριση των τροποποιήσεων που υποβλήθηκαν από την κυβέρνηση το 2016 κατόπιν διαβούλευσης με τις δικαστικές αρχές. Το Υπουργείο Δικαιοσύνης, το Ανώτατο Δικαστικό Συμβούλιο και το Ανώτατο Ακυρωτικό Δικαστήριο θα πρέπει να οριστικοποιήσουν ένα σχέδιο δράσης με σ</w:t>
      </w:r>
      <w:r>
        <w:rPr>
          <w:rFonts w:ascii="Times New Roman" w:hAnsi="Times New Roman"/>
          <w:i/>
          <w:noProof/>
        </w:rPr>
        <w:t>κοπό να εξασφαλιστεί ότι η νέα προθεσμία για την εφαρμογή των υπόλοιπων διατάξεων του Κώδικα Πολιτικής Δικονομίας μπορεί να τηρηθεί</w:t>
      </w:r>
      <w:r>
        <w:rPr>
          <w:rFonts w:ascii="Times New Roman" w:hAnsi="Times New Roman"/>
          <w:noProof/>
        </w:rPr>
        <w:t>.</w:t>
      </w:r>
    </w:p>
    <w:p w:rsidR="00B1412B" w:rsidRDefault="00237EF8">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rPr>
        <w:t>Σύσταση 4: προκειμένου να βελτιωθεί περαιτέρω η διαφάνεια και η προβλεψιμότητα της νομοθετικής διαδικασίας και να ενισχυθού</w:t>
      </w:r>
      <w:r>
        <w:rPr>
          <w:rFonts w:ascii="Times New Roman" w:hAnsi="Times New Roman"/>
          <w:i/>
          <w:noProof/>
        </w:rPr>
        <w:t>ν οι εσωτερικές ασφαλιστικές δικλείδες προς το συμφέρον της μη αναστρεψιμότητας, η κυβέρνηση και το Κοινοβούλιο θα πρέπει να εξασφαλίσουν την πλήρη διαφάνεια και να λαμβάνουν δεόντως υπόψη τις διαβουλεύσεις με τις αρμόδιες αρχές και τους ενδιαφερόμενους φο</w:t>
      </w:r>
      <w:r>
        <w:rPr>
          <w:rFonts w:ascii="Times New Roman" w:hAnsi="Times New Roman"/>
          <w:i/>
          <w:noProof/>
        </w:rPr>
        <w:t xml:space="preserve">ρείς στη διαδικασία λήψης αποφάσεων και στη νομοθετική δραστηριότητα όσον αφορά τον Ποινικό Κώδικα και τον Κώδικα Ποινικής Δικονομίας, τους νόμους για τη διαφθορά, τους νόμους περί ακεραιότητας (σχετικά με περιπτώσεις ασυμβίβαστου, σύγκρουσης συμφερόντων, </w:t>
      </w:r>
      <w:r>
        <w:rPr>
          <w:rFonts w:ascii="Times New Roman" w:hAnsi="Times New Roman"/>
          <w:i/>
          <w:noProof/>
        </w:rPr>
        <w:t>μη δικαιολογημένου πλουτισμού), τους νόμους περί δικαιοσύνης (που αφορούν την οργάνωση του δικαστικού συστήματος) και τον Αστικό Κώδικα και τον Κώδικα Ποινικής Δικονομίας, αντλώντας έμπνευση από τη διαφάνεια στη διαδικασία λήψης αποφάσεων που θεσπίστηκε απ</w:t>
      </w:r>
      <w:r>
        <w:rPr>
          <w:rFonts w:ascii="Times New Roman" w:hAnsi="Times New Roman"/>
          <w:i/>
          <w:noProof/>
        </w:rPr>
        <w:t>ό την κυβέρνηση το 2016.</w:t>
      </w:r>
    </w:p>
    <w:p w:rsidR="00B1412B" w:rsidRDefault="00237EF8">
      <w:pPr>
        <w:keepNext/>
        <w:spacing w:after="120" w:line="240" w:lineRule="auto"/>
        <w:jc w:val="both"/>
        <w:rPr>
          <w:rFonts w:ascii="Times New Roman" w:hAnsi="Times New Roman"/>
          <w:i/>
          <w:noProof/>
          <w:sz w:val="24"/>
          <w:szCs w:val="24"/>
        </w:rPr>
      </w:pPr>
      <w:r>
        <w:rPr>
          <w:rFonts w:ascii="Times New Roman" w:hAnsi="Times New Roman"/>
          <w:i/>
          <w:noProof/>
        </w:rPr>
        <w:t>Κώδικας Πολιτικής Δικονομίας</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Η σύσταση αριθ. 3 καλύπτει την ολοκλήρωση της μεταρρύθμισης του Κώδικα Πολιτικής Δικονομίας, βάσει του οποίου έχει δημιουργηθεί ένα στάδιο δικαστικού συμβουλίου στην πολιτική δικονομία. Το 2018, η εν λό</w:t>
      </w:r>
      <w:r>
        <w:rPr>
          <w:rFonts w:ascii="Times New Roman" w:hAnsi="Times New Roman"/>
          <w:noProof/>
        </w:rPr>
        <w:t>γω μεταρρύθμιση εγκαταλείφθηκε</w:t>
      </w:r>
      <w:r>
        <w:rPr>
          <w:rStyle w:val="FootnoteReference"/>
          <w:rFonts w:ascii="Times New Roman" w:hAnsi="Times New Roman"/>
          <w:noProof/>
        </w:rPr>
        <w:footnoteReference w:id="40"/>
      </w:r>
      <w:r>
        <w:rPr>
          <w:noProof/>
        </w:rPr>
        <w:t>.</w:t>
      </w:r>
      <w:r>
        <w:rPr>
          <w:rFonts w:ascii="Times New Roman" w:hAnsi="Times New Roman"/>
          <w:noProof/>
        </w:rPr>
        <w:t xml:space="preserve"> Αυτό σημαίνει ότι ένα μέτρο για την αύξηση της αποτελεσματικότητας της αστικής δικαιοσύνης δεν θα εφαρμοστεί, αλλά αυτό θα πρέπει να αποτελέσει ευκαιρία για μια περίοδο σταθερότητας στον εν λόγω κλάδο του δικαστικού συστήμα</w:t>
      </w:r>
      <w:r>
        <w:rPr>
          <w:rFonts w:ascii="Times New Roman" w:hAnsi="Times New Roman"/>
          <w:noProof/>
        </w:rPr>
        <w:t xml:space="preserve">τος.  </w:t>
      </w:r>
    </w:p>
    <w:p w:rsidR="00B1412B" w:rsidRDefault="00237EF8">
      <w:pPr>
        <w:spacing w:after="120" w:line="240" w:lineRule="auto"/>
        <w:jc w:val="both"/>
        <w:rPr>
          <w:rFonts w:ascii="Times New Roman" w:hAnsi="Times New Roman"/>
          <w:noProof/>
          <w:sz w:val="24"/>
          <w:szCs w:val="24"/>
        </w:rPr>
      </w:pPr>
      <w:r>
        <w:rPr>
          <w:rFonts w:ascii="Times New Roman" w:hAnsi="Times New Roman"/>
          <w:i/>
          <w:noProof/>
        </w:rPr>
        <w:t>Διαφάνεια και προβλεψιμότητα της νομοθετικής διαδικασίας για τη νομοθεσία σχετικά με τη μεταρρύθμιση του δικαστικού συστήματος και τα μέτρα για την καταπολέμηση της διαφθοράς (για τους ποινικούς κώδικες, βλ. ανωτέρω)</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Η έκθεση του Ιανουαρίου 2017 κατ</w:t>
      </w:r>
      <w:r>
        <w:rPr>
          <w:rFonts w:ascii="Times New Roman" w:hAnsi="Times New Roman"/>
          <w:noProof/>
        </w:rPr>
        <w:t xml:space="preserve">έστησε σαφές ότι η </w:t>
      </w:r>
      <w:r>
        <w:rPr>
          <w:rFonts w:ascii="Times New Roman" w:hAnsi="Times New Roman"/>
          <w:i/>
          <w:noProof/>
        </w:rPr>
        <w:t>διαδικασία</w:t>
      </w:r>
      <w:r>
        <w:rPr>
          <w:rFonts w:ascii="Times New Roman" w:hAnsi="Times New Roman"/>
          <w:noProof/>
        </w:rPr>
        <w:t xml:space="preserve"> που χρησιμοποιήθηκε για τη νομοθέτηση ήταν η ίδια σημαντική. Το ζήτημα αυτό εξακολουθεί να εγείρει ανησυχίες. Η Επιτροπή της Βενετίας άσκησε σφοδρή κριτική στη διαδικασία τροποποίησης των νόμων περί δικαιοσύνης με μια σειρά έκ</w:t>
      </w:r>
      <w:r>
        <w:rPr>
          <w:rFonts w:ascii="Times New Roman" w:hAnsi="Times New Roman"/>
          <w:noProof/>
        </w:rPr>
        <w:t>τακτων διαταγμάτων,</w:t>
      </w:r>
      <w:r>
        <w:rPr>
          <w:rFonts w:ascii="Times New Roman" w:hAnsi="Times New Roman"/>
          <w:noProof/>
          <w:vertAlign w:val="superscript"/>
        </w:rPr>
        <w:footnoteReference w:id="41"/>
      </w:r>
      <w:r>
        <w:rPr>
          <w:rFonts w:ascii="Times New Roman" w:hAnsi="Times New Roman"/>
          <w:noProof/>
        </w:rPr>
        <w:t xml:space="preserve"> λόγω του αντικτύπου που έχει η διαδικασία αυτή στην ποιότητα της νομοθεσίας, στην ασφάλεια δικαίου, στον εξωτερικό έλεγχο της κυβέρνησης και στην αρχή της διάκρισης των εξουσιών.</w:t>
      </w:r>
      <w:r>
        <w:rPr>
          <w:rFonts w:ascii="Times New Roman" w:hAnsi="Times New Roman"/>
          <w:noProof/>
          <w:vertAlign w:val="superscript"/>
        </w:rPr>
        <w:footnoteReference w:id="42"/>
      </w:r>
      <w:r>
        <w:rPr>
          <w:rFonts w:ascii="Times New Roman" w:hAnsi="Times New Roman"/>
          <w:noProof/>
        </w:rPr>
        <w:t xml:space="preserve"> Ομοίως, όπως προαναφέρθηκε, η νομοθετική διαδικασία στο</w:t>
      </w:r>
      <w:r>
        <w:rPr>
          <w:rFonts w:ascii="Times New Roman" w:hAnsi="Times New Roman"/>
          <w:noProof/>
        </w:rPr>
        <w:t xml:space="preserve"> Κοινοβούλιο τον Απρίλιο του 2019 για την τροποποίηση του ποινικού κώδικα και του κώδικα ποινικής δικονομίας και του ειδικού νόμου για τη διαφθορά διήρκεσε μόλις μία εβδομάδα περίπου.    </w:t>
      </w:r>
    </w:p>
    <w:p w:rsidR="00B1412B" w:rsidRDefault="00237EF8">
      <w:pPr>
        <w:spacing w:after="120" w:line="240" w:lineRule="auto"/>
        <w:jc w:val="both"/>
        <w:rPr>
          <w:rFonts w:ascii="Times New Roman" w:hAnsi="Times New Roman"/>
          <w:iCs/>
          <w:noProof/>
          <w:sz w:val="24"/>
          <w:szCs w:val="24"/>
        </w:rPr>
      </w:pPr>
      <w:r>
        <w:rPr>
          <w:rFonts w:ascii="Times New Roman" w:hAnsi="Times New Roman"/>
          <w:noProof/>
        </w:rPr>
        <w:t xml:space="preserve">Πρόκειται για ένα σημαντικό σημείο που αναφέρεται στην επιστολή της </w:t>
      </w:r>
      <w:r>
        <w:rPr>
          <w:rFonts w:ascii="Times New Roman" w:hAnsi="Times New Roman"/>
          <w:noProof/>
        </w:rPr>
        <w:t>Επιτροπής του Μαΐου 2019 με την οποία εκφράζονται ανησυχίες σχετικά με τους κινδύνους που απειλούν το κράτος δικαίου. Η ανησυχία αυτή αποτυπώθηκε επίσης στο δημοψήφισμα του Μαΐου, όπου υπήρχε ισχυρή δημόσια στήριξη για μια πιο ομαλή διαδικασία. Ο πρωθυπουρ</w:t>
      </w:r>
      <w:r>
        <w:rPr>
          <w:rFonts w:ascii="Times New Roman" w:hAnsi="Times New Roman"/>
          <w:noProof/>
        </w:rPr>
        <w:t>γός δήλωσε ότι η κυβέρνηση θα συμμορφωθεί με τα αποτελέσματα και θα απόσχει από την έκδοση έκτακτων διαταγμάτων στον τομέα της δικαιοσύνης. Τον Σεπτέμβριο του 2019, το Κοινοβούλιο διέλυσε επίσης την ειδική κοινοβουλευτική επιτροπή για τη συστηματοποίηση, τ</w:t>
      </w:r>
      <w:r>
        <w:rPr>
          <w:rFonts w:ascii="Times New Roman" w:hAnsi="Times New Roman"/>
          <w:noProof/>
        </w:rPr>
        <w:t>ην ενοποίηση και τη διασφάλιση της νομοθετικής σταθερότητας στο δικαστικό σώμα, η οποία ήταν υπεύθυνη για ορισμένες από τις πιο απότομες διαδικασίες που χρησιμοποιήθηκαν.</w:t>
      </w:r>
    </w:p>
    <w:p w:rsidR="00B1412B" w:rsidRDefault="00237EF8">
      <w:pPr>
        <w:spacing w:after="240" w:line="240" w:lineRule="auto"/>
        <w:jc w:val="both"/>
        <w:rPr>
          <w:rFonts w:ascii="Times New Roman" w:hAnsi="Times New Roman"/>
          <w:iCs/>
          <w:noProof/>
          <w:sz w:val="24"/>
          <w:szCs w:val="24"/>
        </w:rPr>
      </w:pPr>
      <w:r>
        <w:rPr>
          <w:rFonts w:ascii="Times New Roman" w:hAnsi="Times New Roman"/>
          <w:iCs/>
          <w:noProof/>
        </w:rPr>
        <w:t>Μετά την έκθεση του Νοεμβρίου 2018, παρόμοιες ανησυχίες προκλήθηκαν από τις νομοθετικ</w:t>
      </w:r>
      <w:r>
        <w:rPr>
          <w:rFonts w:ascii="Times New Roman" w:hAnsi="Times New Roman"/>
          <w:iCs/>
          <w:noProof/>
        </w:rPr>
        <w:t>ές εξελίξεις σε σχέση με το νομικό πλαίσιο για την ακεραιότητα. Οι διαδοχικές αλλαγές στη νομοθεσία για την ακεραιότητα έχουν αυξήσει σημαντικά την έλλειψη σαφήνειας και ασφάλειας δικαίου (βλ. κριτήριο αναφοράς 2).</w:t>
      </w:r>
    </w:p>
    <w:p w:rsidR="00B1412B" w:rsidRDefault="00237EF8">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rPr>
        <w:t xml:space="preserve">Σύσταση 5: η κυβέρνηση θα πρέπει να </w:t>
      </w:r>
      <w:r>
        <w:rPr>
          <w:rFonts w:ascii="Times New Roman" w:hAnsi="Times New Roman"/>
          <w:i/>
          <w:noProof/>
        </w:rPr>
        <w:t xml:space="preserve">καταρτίσει κατάλληλο σχέδιο δράσης για την αντιμετώπιση του ζητήματος της εφαρμογής των δικαστικών αποφάσεων και της εφαρμογής της νομολογίας των δικαστηρίων από τη δημόσια διοίκηση, συμπεριλαμβανομένου ενός μηχανισμού για την παροχή επακριβών στατιστικών </w:t>
      </w:r>
      <w:r>
        <w:rPr>
          <w:rFonts w:ascii="Times New Roman" w:hAnsi="Times New Roman"/>
          <w:i/>
          <w:noProof/>
        </w:rPr>
        <w:t>στοιχείων, ώστε να είναι δυνατή η παρακολούθηση στο μέλλον. Θα πρέπει επίσης να αναπτύξει ένα σύστημα εσωτερικού ελέγχου, με τη συμμετοχή του Ανώτατου Δικαστικού Συμβουλίου και του Ελεγκτικού Συνεδρίου, προκειμένου να διασφαλιστεί η ορθή υλοποίηση του σχεδ</w:t>
      </w:r>
      <w:r>
        <w:rPr>
          <w:rFonts w:ascii="Times New Roman" w:hAnsi="Times New Roman"/>
          <w:i/>
          <w:noProof/>
        </w:rPr>
        <w:t>ίου δράσης.</w:t>
      </w:r>
    </w:p>
    <w:p w:rsidR="00B1412B" w:rsidRDefault="00237EF8">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rPr>
        <w:t>Σύσταση 6: η Στρατηγική Δικαστική Διαχείριση, δηλ. ο υπουργός Δικαιοσύνης, το Ανώτατο Δικαστικό Συμβούλιο, το Ανώτατο Ακυρωτικό Δικαστήριο και ο Γενικός Εισαγγελέας, θα πρέπει να διασφαλίσει την υλοποίηση του σχεδίου δράσης όπως έχει εγκριθεί κ</w:t>
      </w:r>
      <w:r>
        <w:rPr>
          <w:rFonts w:ascii="Times New Roman" w:hAnsi="Times New Roman"/>
          <w:i/>
          <w:noProof/>
        </w:rPr>
        <w:t>αι να υποβάλλει τακτικά από κοινού δημόσιες εκθέσεις σχετικά με την υλοποίησή του, συμπεριλαμβανομένων λύσεων για τα θέματα των ελλείψεων των δικαστικών υπαλλήλων, του υπερβολικού φόρτου εργασίας και των καθυστερήσεων στην αιτιολόγηση των αποφάσεων.</w:t>
      </w:r>
    </w:p>
    <w:p w:rsidR="00B1412B" w:rsidRDefault="00237EF8">
      <w:pPr>
        <w:keepNext/>
        <w:spacing w:after="120" w:line="240" w:lineRule="auto"/>
        <w:jc w:val="both"/>
        <w:rPr>
          <w:rFonts w:ascii="Times New Roman" w:hAnsi="Times New Roman"/>
          <w:i/>
          <w:noProof/>
          <w:sz w:val="24"/>
          <w:szCs w:val="24"/>
        </w:rPr>
      </w:pPr>
      <w:r>
        <w:rPr>
          <w:rFonts w:ascii="Times New Roman" w:hAnsi="Times New Roman"/>
          <w:i/>
          <w:noProof/>
        </w:rPr>
        <w:t>Σεβασμ</w:t>
      </w:r>
      <w:r>
        <w:rPr>
          <w:rFonts w:ascii="Times New Roman" w:hAnsi="Times New Roman"/>
          <w:i/>
          <w:noProof/>
        </w:rPr>
        <w:t>ός των δικαστικών αποφάσεων</w:t>
      </w:r>
    </w:p>
    <w:p w:rsidR="00B1412B" w:rsidRDefault="00237EF8">
      <w:pPr>
        <w:spacing w:after="120" w:line="240" w:lineRule="auto"/>
        <w:jc w:val="both"/>
        <w:rPr>
          <w:rFonts w:ascii="Times New Roman" w:eastAsia="Times New Roman" w:hAnsi="Times New Roman"/>
          <w:noProof/>
          <w:sz w:val="24"/>
          <w:szCs w:val="24"/>
        </w:rPr>
      </w:pPr>
      <w:r>
        <w:rPr>
          <w:rFonts w:ascii="Times New Roman" w:hAnsi="Times New Roman"/>
          <w:noProof/>
        </w:rPr>
        <w:t xml:space="preserve">Στις 3 Απριλίου 2019, η ρουμανική κυβέρνηση ενέκρινε μνημόνιο σχετικά με τα «μέτρα διασφάλισης της εκτέλεσης αποφάσεων εις βάρος δημόσιου οφειλέτη, σύμφωνα με τη νομολογία του Ευρωπαϊκού Δικαστηρίου Ανθρωπίνων Δικαιωμάτων </w:t>
      </w:r>
      <w:r>
        <w:rPr>
          <w:rFonts w:ascii="Times New Roman" w:hAnsi="Times New Roman"/>
          <w:noProof/>
        </w:rPr>
        <w:t>σχετικά με τη μη εκτέλεση ή την καθυστέρηση των αποφάσεων εις βάρος δημόσιου οφειλέτη». Αυτό έρχεται σε συνέχεια της ομάδας υποθέσεων «Săcăleanu vs. Romania» του Ευρωπαϊκού Δικαστηρίου Ανθρωπίνων Δικαιωμάτων</w:t>
      </w:r>
      <w:r>
        <w:rPr>
          <w:rStyle w:val="FootnoteReference"/>
          <w:rFonts w:ascii="Times New Roman" w:hAnsi="Times New Roman"/>
          <w:noProof/>
        </w:rPr>
        <w:footnoteReference w:id="43"/>
      </w:r>
      <w:r>
        <w:rPr>
          <w:noProof/>
        </w:rPr>
        <w:t>.</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 xml:space="preserve">Οι ρουμανικές αρχές αναλύουν επί του παρόντος </w:t>
      </w:r>
      <w:r>
        <w:rPr>
          <w:rFonts w:ascii="Times New Roman" w:hAnsi="Times New Roman"/>
          <w:noProof/>
        </w:rPr>
        <w:t>τις προτάσεις που περιλαμβάνονται στο μνημόνιο, συμπεριλαμβανομένων των αναγκαίων ρυθμιστικών μέτρων, προκειμένου να προετοιμαστούν για την εφαρμογή τους. Το Υπουργείο Δικαιοσύνης και το Ανώτατο Δικαστικό Συμβούλιο βρίσκονται στα τελευταία στάδια ανάπτυξης</w:t>
      </w:r>
      <w:r>
        <w:rPr>
          <w:rFonts w:ascii="Times New Roman" w:hAnsi="Times New Roman"/>
          <w:noProof/>
        </w:rPr>
        <w:t xml:space="preserve"> της εφαρμογής ΤΠ «ECRIS», η οποία θα χρησιμοποιηθεί για τον προσδιορισμό του αριθμού των οριστικών αποφάσεων στις οποίες τα δημόσια ιδρύματα είναι οφειλέτες ή πιστωτές</w:t>
      </w:r>
      <w:r>
        <w:rPr>
          <w:rStyle w:val="FootnoteReference"/>
          <w:rFonts w:ascii="Times New Roman" w:hAnsi="Times New Roman"/>
          <w:noProof/>
        </w:rPr>
        <w:footnoteReference w:id="44"/>
      </w:r>
      <w:r>
        <w:rPr>
          <w:noProof/>
        </w:rPr>
        <w:t>.</w:t>
      </w:r>
      <w:r>
        <w:rPr>
          <w:rFonts w:ascii="Times New Roman" w:hAnsi="Times New Roman"/>
          <w:noProof/>
        </w:rPr>
        <w:t xml:space="preserve"> </w:t>
      </w:r>
    </w:p>
    <w:p w:rsidR="00B1412B" w:rsidRDefault="00237EF8">
      <w:pPr>
        <w:spacing w:after="120" w:line="240" w:lineRule="auto"/>
        <w:jc w:val="both"/>
        <w:rPr>
          <w:rFonts w:ascii="Times New Roman" w:eastAsia="Times New Roman" w:hAnsi="Times New Roman"/>
          <w:i/>
          <w:noProof/>
          <w:sz w:val="24"/>
          <w:szCs w:val="24"/>
        </w:rPr>
      </w:pPr>
      <w:r>
        <w:rPr>
          <w:rFonts w:ascii="Times New Roman" w:hAnsi="Times New Roman"/>
          <w:i/>
          <w:noProof/>
        </w:rPr>
        <w:t>Διαρθρωτικές μεταρρυθμίσεις του δικαστικού συστήματος</w:t>
      </w:r>
    </w:p>
    <w:p w:rsidR="00B1412B" w:rsidRDefault="00237EF8">
      <w:pPr>
        <w:spacing w:after="240" w:line="240" w:lineRule="auto"/>
        <w:jc w:val="both"/>
        <w:rPr>
          <w:rFonts w:ascii="Times New Roman" w:hAnsi="Times New Roman"/>
          <w:noProof/>
          <w:sz w:val="24"/>
          <w:szCs w:val="24"/>
        </w:rPr>
      </w:pPr>
      <w:r>
        <w:rPr>
          <w:rFonts w:ascii="Times New Roman" w:hAnsi="Times New Roman"/>
          <w:noProof/>
        </w:rPr>
        <w:t>Η Στρατηγική Δικαστική Διαχείρ</w:t>
      </w:r>
      <w:r>
        <w:rPr>
          <w:rFonts w:ascii="Times New Roman" w:hAnsi="Times New Roman"/>
          <w:noProof/>
        </w:rPr>
        <w:t>ιση δεν λειτούργησε όπως προβλεπόταν κατά το μεγαλύτερο μέρος της περιόδου αναφοράς</w:t>
      </w:r>
      <w:r>
        <w:rPr>
          <w:rStyle w:val="FootnoteReference"/>
          <w:rFonts w:ascii="Times New Roman" w:hAnsi="Times New Roman"/>
          <w:noProof/>
        </w:rPr>
        <w:footnoteReference w:id="45"/>
      </w:r>
      <w:r>
        <w:rPr>
          <w:noProof/>
        </w:rPr>
        <w:t>.</w:t>
      </w:r>
      <w:r>
        <w:rPr>
          <w:rFonts w:ascii="Times New Roman" w:hAnsi="Times New Roman"/>
          <w:noProof/>
        </w:rPr>
        <w:t xml:space="preserve"> Οι συνεδριάσεις άρχισαν εκ νέου τον Σεπτέμβριο του 2019, στηριζόμενες επίσης από νέους μηχανισμούς συντονισμού και προσπάθειες διαλόγου με το δικαστικό σώμα, τις επαγγελμ</w:t>
      </w:r>
      <w:r>
        <w:rPr>
          <w:rFonts w:ascii="Times New Roman" w:hAnsi="Times New Roman"/>
          <w:noProof/>
        </w:rPr>
        <w:t>ατικές ενώσεις και την κοινωνία των πολιτών</w:t>
      </w:r>
      <w:r>
        <w:rPr>
          <w:rStyle w:val="FootnoteReference"/>
          <w:rFonts w:ascii="Times New Roman" w:hAnsi="Times New Roman"/>
          <w:noProof/>
        </w:rPr>
        <w:footnoteReference w:id="46"/>
      </w:r>
      <w:r>
        <w:rPr>
          <w:noProof/>
        </w:rPr>
        <w:t>.</w:t>
      </w:r>
      <w:r>
        <w:rPr>
          <w:rFonts w:ascii="Times New Roman" w:hAnsi="Times New Roman"/>
          <w:noProof/>
        </w:rPr>
        <w:t xml:space="preserve"> Δεδομένων των σημερινών προκλήσεων, είναι σημαντικό η Στρατηγική Δικαστική Διαχείριση να εξελιχθεί σε φόρουμ που θα είναι σε θέση να αντιμετωπίζει σημαντικά στρατηγικά ζητήματα που αφορούν το δικαστικό σύστημα.</w:t>
      </w:r>
      <w:r>
        <w:rPr>
          <w:rFonts w:ascii="Times New Roman" w:hAnsi="Times New Roman"/>
          <w:noProof/>
        </w:rPr>
        <w:t xml:space="preserve"> Με τον τρόπο αυτό θα μπορούσε να λειτουργήσει ως μέσο για την αποκατάσταση της εμπιστοσύνης μεταξύ των βασικών δικαστικών και κυβερνητικών φορέων. Το γεγονός ότι οι θεμελιώδεις αλλαγές στη λειτουργία και στην οργάνωση του συστήματος δικαιοσύνης εφαρμόστηκ</w:t>
      </w:r>
      <w:r>
        <w:rPr>
          <w:rFonts w:ascii="Times New Roman" w:hAnsi="Times New Roman"/>
          <w:noProof/>
        </w:rPr>
        <w:t>αν μέσω έκτακτων διαταγμάτων και όχι μέσω συναινετικών αποφάσεων της Στρατηγικής Δικαστικής Διαχείρισης δεν μπορεί παρά να μειώσει την αποτελεσματικότητα και τη βιωσιμότητα των εν λόγω αλλαγών</w:t>
      </w:r>
      <w:r>
        <w:rPr>
          <w:rFonts w:ascii="Times New Roman" w:hAnsi="Times New Roman"/>
          <w:noProof/>
          <w:vertAlign w:val="superscript"/>
        </w:rPr>
        <w:footnoteReference w:id="47"/>
      </w:r>
      <w:r>
        <w:rPr>
          <w:rFonts w:ascii="Times New Roman" w:hAnsi="Times New Roman"/>
          <w:noProof/>
        </w:rPr>
        <w:t xml:space="preserve">. </w:t>
      </w:r>
    </w:p>
    <w:p w:rsidR="00B1412B" w:rsidRDefault="00237EF8">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rPr>
        <w:t>Σύσταση 7: το νέο Ανώτατο Δικαστικό Συμβούλιο θα πρέπει να κ</w:t>
      </w:r>
      <w:r>
        <w:rPr>
          <w:rFonts w:ascii="Times New Roman" w:hAnsi="Times New Roman"/>
          <w:i/>
          <w:noProof/>
        </w:rPr>
        <w:t>αταρτίσει ένα συλλογικό πρόγραμμα για τη θητεία του, συμπεριλαμβανομένων μέτρων για την προαγωγή της διαφάνειας και της λογοδοσίας. Θα πρέπει να περιλαμβάνει μια στρατηγική για τις δραστηριότητες προβολής, με τακτικές ανοικτές συνεδριάσεις με συνελεύσεις δ</w:t>
      </w:r>
      <w:r>
        <w:rPr>
          <w:rFonts w:ascii="Times New Roman" w:hAnsi="Times New Roman"/>
          <w:i/>
          <w:noProof/>
        </w:rPr>
        <w:t>ικαστών και εισαγγελέων σε όλα τα επίπεδα, καθώς και με την κοινωνία των πολιτών και επαγγελματικές οργανώσεις, καθώς και ετήσια έκθεση προς συζήτηση σε γενικές συνελεύσεις δικαστών και εισαγγελέων.</w:t>
      </w:r>
    </w:p>
    <w:p w:rsidR="00B1412B" w:rsidRDefault="00237EF8">
      <w:pPr>
        <w:pStyle w:val="PlainText"/>
        <w:keepNext/>
        <w:spacing w:after="120"/>
        <w:jc w:val="both"/>
        <w:rPr>
          <w:noProof/>
        </w:rPr>
      </w:pPr>
      <w:r>
        <w:rPr>
          <w:rFonts w:ascii="Times New Roman" w:hAnsi="Times New Roman"/>
          <w:i/>
          <w:noProof/>
        </w:rPr>
        <w:t>Διαφάνεια και υποχρέωση λογοδοσίας του Ανώτατου Δικαστικο</w:t>
      </w:r>
      <w:r>
        <w:rPr>
          <w:rFonts w:ascii="Times New Roman" w:hAnsi="Times New Roman"/>
          <w:i/>
          <w:noProof/>
        </w:rPr>
        <w:t>ύ Συμβουλίου</w:t>
      </w:r>
      <w:r>
        <w:rPr>
          <w:rFonts w:ascii="Times New Roman" w:hAnsi="Times New Roman"/>
          <w:noProof/>
        </w:rPr>
        <w:t xml:space="preserve"> </w:t>
      </w:r>
    </w:p>
    <w:p w:rsidR="00B1412B" w:rsidRDefault="00237EF8">
      <w:pPr>
        <w:spacing w:after="120" w:line="240" w:lineRule="auto"/>
        <w:jc w:val="both"/>
        <w:rPr>
          <w:rFonts w:ascii="Times New Roman" w:eastAsia="SimSun" w:hAnsi="Times New Roman"/>
          <w:noProof/>
          <w:sz w:val="24"/>
          <w:szCs w:val="24"/>
        </w:rPr>
      </w:pPr>
      <w:r>
        <w:rPr>
          <w:rFonts w:ascii="Times New Roman" w:hAnsi="Times New Roman"/>
          <w:noProof/>
        </w:rPr>
        <w:t>Ενώ το Ανώτατο Δικαστικό Συμβούλιο αναφέρει ότι εξακολουθεί να εφαρμόζει τις προτεραιότητες της εντολής του</w:t>
      </w:r>
      <w:r>
        <w:rPr>
          <w:rStyle w:val="FootnoteReference"/>
          <w:rFonts w:ascii="Times New Roman" w:eastAsia="SimSun" w:hAnsi="Times New Roman"/>
          <w:noProof/>
        </w:rPr>
        <w:footnoteReference w:id="48"/>
      </w:r>
      <w:r>
        <w:rPr>
          <w:rFonts w:ascii="Times New Roman" w:hAnsi="Times New Roman"/>
          <w:noProof/>
        </w:rPr>
        <w:t>, η περίοδος μετά την έκθεση του Νοεμβρίου 2018 σημαδεύτηκε από διχαστικό πνεύμα και αντιπαραθέσεις στο Ανώτατο Συμβούλιο. Επιπλέον, τ</w:t>
      </w:r>
      <w:r>
        <w:rPr>
          <w:rFonts w:ascii="Times New Roman" w:hAnsi="Times New Roman"/>
          <w:noProof/>
        </w:rPr>
        <w:t>ο Ανώτατο Συμβούλιο συχνά παραγκωνίστηκε όταν η κυβέρνηση ή το Κοινοβούλιο έλαβαν σημαντικές αποφάσεις σχετικά με την οργάνωση και τη λειτουργία του δικαστικού συστήματος. Θέσεις στο Ανώτατο Συμβούλιο για θέματα θεμελιώδους σημασίας για τη λειτουργία του ρ</w:t>
      </w:r>
      <w:r>
        <w:rPr>
          <w:rFonts w:ascii="Times New Roman" w:hAnsi="Times New Roman"/>
          <w:noProof/>
        </w:rPr>
        <w:t>ουμανικού δικαστικού συστήματος, όπως το Ειδικό Τμήμα για τη διερεύνηση δικαστών ή σημαντικών διορισμών και για την υπεράσπιση της ανεξαρτησίας της δικαιοσύνης, εγείρουν ανησυχίες σχετικά με τη θεσμική ανεξαρτησία και την εξουσία του. Αυτό οξύνθηκε περαιτέ</w:t>
      </w:r>
      <w:r>
        <w:rPr>
          <w:rFonts w:ascii="Times New Roman" w:hAnsi="Times New Roman"/>
          <w:noProof/>
        </w:rPr>
        <w:t>ρω από τις τροπολογίες των νόμων περί δικαιοσύνης με τις οποίες κατέστη δυνατή η λήψη αποφάσεων για βασικά ζητήματα μόνο από μικρό αριθμό μελών του Ανώτατου Συμβουλίου (βλ. ανωτέρω). Αυτό τεκμαίρεται επίσης από δηλώσεις που εκδόθηκαν εξ ονόματος του Ανώτατ</w:t>
      </w:r>
      <w:r>
        <w:rPr>
          <w:rFonts w:ascii="Times New Roman" w:hAnsi="Times New Roman"/>
          <w:noProof/>
        </w:rPr>
        <w:t>ου Συμβουλίου αλλά συμφωνήθηκαν μόνο από μέρος των μελών του. Η τάση αυτή καταδεικνύεται επίσης από την έλλειψη υποστήριξης από τις επαγγελματικές ενώσεις ή την έλλειψη συνεννόησης με τους δικαστικούς στα δικαστήρια και τις εισαγγελίες. Το Ανώτατο Συμβούλι</w:t>
      </w:r>
      <w:r>
        <w:rPr>
          <w:rFonts w:ascii="Times New Roman" w:hAnsi="Times New Roman"/>
          <w:noProof/>
        </w:rPr>
        <w:t>ο διχάστηκε σχετικά με τον τρόπο αντίδρασης στις συστάσεις της Ευρωπαϊκής Επιτροπής, της Επιτροπής της Βενετίας και της GRECO, και γενικότερα σχετικά με το πότε θα πρέπει να ληφθούν μέτρα για την υπεράσπιση της ανεξαρτησίας της δικαιοσύνης, καθώς ο σημεριν</w:t>
      </w:r>
      <w:r>
        <w:rPr>
          <w:rFonts w:ascii="Times New Roman" w:hAnsi="Times New Roman"/>
          <w:noProof/>
        </w:rPr>
        <w:t>ός πρόεδρος του Ανώτατου Συμβουλίου και μέρος των μελών του εξακολουθούν να υπερασπίζονται τα κείμενα των νόμων περί δικαιοσύνης ως έχουν. Το Ανώτατο Συμβούλιο αντέδρασε σε ορισμένες καταγγελίες που περιήλθαν σε γνώση του σχετικά με την υπεράσπιση της ανεξ</w:t>
      </w:r>
      <w:r>
        <w:rPr>
          <w:rFonts w:ascii="Times New Roman" w:hAnsi="Times New Roman"/>
          <w:noProof/>
        </w:rPr>
        <w:t xml:space="preserve">αρτησίας, της φήμης και της αμεροληψίας των δικαστών, αλλά φαίνεται ότι το ποσοστό είναι μάλλον μικρό σε σχέση με την έκταση του προβλήματος. Στις περιπτώσεις στις οποίες το Ανώτατο Συμβούλιο έχει επικαλεστεί την υπεράσπιση της ανεξαρτησίας του δικαστικού </w:t>
      </w:r>
      <w:r>
        <w:rPr>
          <w:rFonts w:ascii="Times New Roman" w:hAnsi="Times New Roman"/>
          <w:noProof/>
        </w:rPr>
        <w:t>σώματος, έχει εγείρει ορισμένες φορές ζητήματα δυνητικής πολιτικής μεροληψίας.</w:t>
      </w:r>
      <w:r>
        <w:rPr>
          <w:rFonts w:ascii="Times New Roman" w:hAnsi="Times New Roman"/>
          <w:noProof/>
          <w:vertAlign w:val="superscript"/>
        </w:rPr>
        <w:t xml:space="preserve"> </w:t>
      </w:r>
      <w:r>
        <w:rPr>
          <w:rFonts w:ascii="Times New Roman" w:eastAsia="SimSun" w:hAnsi="Times New Roman"/>
          <w:noProof/>
          <w:vertAlign w:val="superscript"/>
        </w:rPr>
        <w:footnoteReference w:id="49"/>
      </w:r>
      <w:r>
        <w:rPr>
          <w:rFonts w:ascii="Times New Roman" w:hAnsi="Times New Roman"/>
          <w:noProof/>
        </w:rPr>
        <w:t xml:space="preserve"> </w:t>
      </w:r>
    </w:p>
    <w:p w:rsidR="00B1412B" w:rsidRDefault="00237EF8">
      <w:pPr>
        <w:spacing w:after="120" w:line="240" w:lineRule="auto"/>
        <w:jc w:val="both"/>
        <w:rPr>
          <w:rFonts w:ascii="Times New Roman" w:hAnsi="Times New Roman"/>
          <w:b/>
          <w:noProof/>
          <w:sz w:val="24"/>
          <w:szCs w:val="24"/>
        </w:rPr>
      </w:pPr>
      <w:r>
        <w:rPr>
          <w:rFonts w:ascii="Times New Roman" w:hAnsi="Times New Roman"/>
          <w:i/>
          <w:noProof/>
        </w:rPr>
        <w:t>Συνεχίστηκε η πρόοδος όσον αφορά το κριτήριο αναφοράς 1 σε σχέση με τη σύσταση 5 (εκτέλεση των αποφάσεων) και τη σύσταση 3 (μόνο όσον αφορά τον Κώδικα Πολιτικής Δικονομίας). Δεν εφαρμόστηκαν οι συστάσεις 1, 3 και 4. Δεν σημειώθηκε καμία πρόοδος προς την επ</w:t>
      </w:r>
      <w:r>
        <w:rPr>
          <w:rFonts w:ascii="Times New Roman" w:hAnsi="Times New Roman"/>
          <w:i/>
          <w:noProof/>
        </w:rPr>
        <w:t>ίτευξη ουσιαστικών αποτελεσμάτων για τις συστάσεις 2, 6 και 7. Όσον αφορά τις πρόσθετες συστάσεις του Νοεμβρίου 2018, η κατάσταση έχει επιδεινωθεί περαιτέρω και μια πιο πρόσφατη θετική προσέγγιση δεν έχει αποδώσει καρπούς, δηλαδή δεν έχει οδηγήσει στη λήψη</w:t>
      </w:r>
      <w:r>
        <w:rPr>
          <w:rFonts w:ascii="Times New Roman" w:hAnsi="Times New Roman"/>
          <w:i/>
          <w:noProof/>
        </w:rPr>
        <w:t xml:space="preserve"> συγκεκριμένων μέτρων για την αντιμετώπιση της κατάστασης. Επιβεβαιώθηκαν οι ανησυχίες σχετικά με τους κινδύνους που απειλούν την αποτελεσματικότητα και την ανεξαρτησία του δικαστικού συστήματος. Ως εκ τούτου, η Επιτροπή θεωρεί ότι δεν μπορεί να θεωρηθεί ό</w:t>
      </w:r>
      <w:r>
        <w:rPr>
          <w:rFonts w:ascii="Times New Roman" w:hAnsi="Times New Roman"/>
          <w:i/>
          <w:noProof/>
        </w:rPr>
        <w:t xml:space="preserve">τι έχει υλοποιηθεί το κριτήριο αναφοράς 1 και ότι οι ρουμανικές αρχές πρέπει να λάβουν μέτρα για την εφαρμογή όλων των συστάσεων του Ιανουαρίου 2017 και του Νοεμβρίου 2018.  </w:t>
      </w:r>
    </w:p>
    <w:p w:rsidR="00B1412B" w:rsidRDefault="00237EF8">
      <w:pPr>
        <w:keepNext/>
        <w:widowControl w:val="0"/>
        <w:spacing w:after="120" w:line="240" w:lineRule="auto"/>
        <w:jc w:val="both"/>
        <w:rPr>
          <w:rFonts w:ascii="Times New Roman" w:hAnsi="Times New Roman"/>
          <w:b/>
          <w:noProof/>
          <w:sz w:val="24"/>
          <w:szCs w:val="24"/>
        </w:rPr>
      </w:pPr>
      <w:r>
        <w:rPr>
          <w:rFonts w:ascii="Times New Roman" w:hAnsi="Times New Roman"/>
          <w:b/>
          <w:noProof/>
        </w:rPr>
        <w:t xml:space="preserve">3.2. </w:t>
      </w:r>
      <w:r>
        <w:rPr>
          <w:rFonts w:ascii="Times New Roman" w:hAnsi="Times New Roman"/>
          <w:b/>
          <w:noProof/>
        </w:rPr>
        <w:tab/>
        <w:t>Κριτήριο αναφοράς 2: Το πλαίσιο ακεραιότητας και η Εθνική Υπηρεσία Ακεραιότ</w:t>
      </w:r>
      <w:r>
        <w:rPr>
          <w:rFonts w:ascii="Times New Roman" w:hAnsi="Times New Roman"/>
          <w:b/>
          <w:noProof/>
        </w:rPr>
        <w:t>ητας</w:t>
      </w:r>
    </w:p>
    <w:p w:rsidR="00B1412B" w:rsidRDefault="00237EF8">
      <w:pPr>
        <w:keepNext/>
        <w:spacing w:after="120" w:line="240" w:lineRule="auto"/>
        <w:jc w:val="both"/>
        <w:rPr>
          <w:rFonts w:ascii="Times New Roman" w:hAnsi="Times New Roman"/>
          <w:noProof/>
          <w:sz w:val="24"/>
          <w:szCs w:val="24"/>
        </w:rPr>
      </w:pPr>
      <w:r>
        <w:rPr>
          <w:rFonts w:ascii="Times New Roman" w:hAnsi="Times New Roman"/>
          <w:i/>
          <w:noProof/>
        </w:rPr>
        <w:t>Προβλεψιμότητα και ασφάλεια δικαίου όσον αφορά το νομικό πλαίσιο για την ακεραιότητα</w:t>
      </w:r>
    </w:p>
    <w:p w:rsidR="00B1412B" w:rsidRDefault="00237EF8">
      <w:pPr>
        <w:keepNext/>
        <w:spacing w:after="120" w:line="240" w:lineRule="auto"/>
        <w:jc w:val="both"/>
        <w:rPr>
          <w:rFonts w:ascii="Times New Roman" w:hAnsi="Times New Roman"/>
          <w:noProof/>
          <w:sz w:val="24"/>
          <w:szCs w:val="24"/>
        </w:rPr>
      </w:pPr>
      <w:r>
        <w:rPr>
          <w:rFonts w:ascii="Times New Roman" w:hAnsi="Times New Roman"/>
          <w:noProof/>
        </w:rPr>
        <w:t>Σε προηγούμενες εκθέσεις του ΜΣΕ είχαν επισημανθεί οι συνεχιζόμενες προκλήσεις όσον αφορά το νομικό πλαίσιο για την ακεραιότητα και την ανάγκη για σταθερότητα και σαφ</w:t>
      </w:r>
      <w:r>
        <w:rPr>
          <w:rFonts w:ascii="Times New Roman" w:hAnsi="Times New Roman"/>
          <w:noProof/>
        </w:rPr>
        <w:t xml:space="preserve">ήνεια. Κατά τα τελευταία δυόμισι έτη έχουν εγκριθεί πέντε νομοθετικές προτάσεις που τροποποίησαν τη νομοθεσία περί ακεραιότητας. Εκτός από την αποδυνάμωση ορισμένων διατάξεων και την ικανότητα της Εθνικής Υπηρεσίας Ακεραιότητας (ΑΝΙ) να συνεχίσει να ασκεί </w:t>
      </w:r>
      <w:r>
        <w:rPr>
          <w:rFonts w:ascii="Times New Roman" w:hAnsi="Times New Roman"/>
          <w:noProof/>
        </w:rPr>
        <w:t xml:space="preserve">το έργο της, η εν λόγω διαδοχή τροπολογιών συνέβαλε περαιτέρω στη διατήρηση ενός κατακερματισμένου νομικού πλαισίου. </w:t>
      </w:r>
    </w:p>
    <w:p w:rsidR="00B1412B" w:rsidRDefault="00237EF8">
      <w:pPr>
        <w:keepNext/>
        <w:spacing w:after="240" w:line="240" w:lineRule="auto"/>
        <w:jc w:val="both"/>
        <w:rPr>
          <w:rFonts w:ascii="Times New Roman" w:hAnsi="Times New Roman"/>
          <w:noProof/>
          <w:sz w:val="24"/>
          <w:szCs w:val="24"/>
        </w:rPr>
      </w:pPr>
      <w:r>
        <w:rPr>
          <w:rFonts w:ascii="Times New Roman" w:hAnsi="Times New Roman"/>
          <w:noProof/>
        </w:rPr>
        <w:t>Δύο προτάσεις που τέθηκαν σε ισχύ το 2019 εγείρουν ιδιαίτερες ανησυχίες. Με την πρώτη πρόταση προβλέπεται τριετής προθεσμία παραγραφής πρά</w:t>
      </w:r>
      <w:r>
        <w:rPr>
          <w:rFonts w:ascii="Times New Roman" w:hAnsi="Times New Roman"/>
          <w:noProof/>
        </w:rPr>
        <w:t>ξεων βάσει των οποίων καθορίζεται η ύπαρξη σύγκρουσης συμφερόντων ή ασυμβίβαστου. Αυτό έχει, πρώτον, απτό αντίκτυπο στις υπό εξέλιξη υποθέσεις, με την ANI να αναμένει ότι θα πρέπει να κλείσουν περίπου 200 έρευνες έως το τέλος του έτους. Δεύτερον, δημιουργε</w:t>
      </w:r>
      <w:r>
        <w:rPr>
          <w:rFonts w:ascii="Times New Roman" w:hAnsi="Times New Roman"/>
          <w:noProof/>
        </w:rPr>
        <w:t>ί ασυνέπεια με άλλες διατάξεις του πλαισίου ακεραιότητας, με αποτέλεσμα να μην είναι πλέον σαφές κατά πόσον μια κύρωση μπορεί ακόμη να επιβληθεί κατόπιν τελεσίδικης δικαστικής απόφασης εάν αυτή (και όχι η ίδια η έκθεση της ANI) έπεται της λήξης της τριετού</w:t>
      </w:r>
      <w:r>
        <w:rPr>
          <w:rFonts w:ascii="Times New Roman" w:hAnsi="Times New Roman"/>
          <w:noProof/>
        </w:rPr>
        <w:t>ς περιόδου. Με τη δεύτερη πρόταση τροποποιείται το καθεστώς επιβολής κυρώσεων όσον αφορά τις περιπτώσεις σύγκρουσης συμφερόντων για τους αιρετούς εκπροσώπους της τοπικής αυτοδιοίκησης, με την εισαγωγή νέου καθεστώτος επιβολής διοικητικών κυρώσεων. Αυτό είν</w:t>
      </w:r>
      <w:r>
        <w:rPr>
          <w:rFonts w:ascii="Times New Roman" w:hAnsi="Times New Roman"/>
          <w:noProof/>
        </w:rPr>
        <w:t xml:space="preserve">αι λιγότερο απαιτητικό από το τρέχον και η ΑΝΙ θεωρεί ότι δεν επιτρέπει την επιβολή αποτρεπτικών κυρώσεων. Η επιβολή επαρκώς αποτρεπτικών κυρώσεων για την ασυμβατότητα και τη σύγκρουση συμφερόντων αποτελεί σημαντικό στοιχείο για την πρόληψη της διαφθοράς. </w:t>
      </w:r>
      <w:r>
        <w:rPr>
          <w:rFonts w:ascii="Times New Roman" w:hAnsi="Times New Roman"/>
          <w:noProof/>
        </w:rPr>
        <w:t>Οι δύο αυτές προτάσεις αυξάνουν τη νομική αβεβαιότητα όσον αφορά το εφαρμοστέο καθεστώς ακεραιότητας και δημιουργούν κίνδυνο οπισθοδρόμησης όσον αφορά το κριτήριο αναφοράς 2 εάν δεν μπορούν πλέον να επιβληθούν «αποτρεπτικές κυρώσεις» (παρά την έκδοση τελεσ</w:t>
      </w:r>
      <w:r>
        <w:rPr>
          <w:rFonts w:ascii="Times New Roman" w:hAnsi="Times New Roman"/>
          <w:noProof/>
        </w:rPr>
        <w:t xml:space="preserve">ίδικης δικαστικής απόφασης). </w:t>
      </w:r>
    </w:p>
    <w:p w:rsidR="00B1412B" w:rsidRDefault="00237EF8">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rPr>
        <w:t xml:space="preserve">Σύσταση 8: να διασφαλιστεί η έναρξη λειτουργίας του συστήματος PREVENT. Η Εθνική Υπηρεσία Ακεραιότητας και η Εθνική Υπηρεσία Δημοσίων Συμβάσεων θα πρέπει να θεσπίσουν την υποβολή εκθέσεων σχετικά με τον εκ των προτέρων έλεγχο </w:t>
      </w:r>
      <w:r>
        <w:rPr>
          <w:rFonts w:ascii="Times New Roman" w:hAnsi="Times New Roman"/>
          <w:i/>
          <w:noProof/>
        </w:rPr>
        <w:t>των διαδικασιών δημοσίων συμβάσεων και την παρακολούθησή τους, συμπεριλαμβανομένων των εκ των υστέρων ελέγχων, καθώς και με περιπτώσεις σύγκρουσης συμφερόντων ή διαφθοράς, και να διοργανώνουν δημόσιες συζητήσεις, ώστε η Κυβέρνηση, οι τοπικές αρχές, ο δικασ</w:t>
      </w:r>
      <w:r>
        <w:rPr>
          <w:rFonts w:ascii="Times New Roman" w:hAnsi="Times New Roman"/>
          <w:i/>
          <w:noProof/>
        </w:rPr>
        <w:t>τικός κλάδος και η κοινωνία των πολιτών να καλούνται να απαντήσουν.</w:t>
      </w:r>
    </w:p>
    <w:p w:rsidR="00B1412B" w:rsidRDefault="00237EF8">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rPr>
        <w:t>Σύσταση 9: το Κοινοβούλιο θα πρέπει να χαρακτηρίζεται από διαφάνεια κατά τη λήψη των αποφάσεών του όσον αφορά τη συνέχεια που θα δοθεί στις οριστικές και αμετάκλητες αποφάσεις περί ασυμβίβ</w:t>
      </w:r>
      <w:r>
        <w:rPr>
          <w:rFonts w:ascii="Times New Roman" w:hAnsi="Times New Roman"/>
          <w:i/>
          <w:noProof/>
        </w:rPr>
        <w:t>αστου, σύγκρουσης συμφερόντων και αδικαιολόγητου πλουτισμού κατά των μελών του.</w:t>
      </w:r>
    </w:p>
    <w:p w:rsidR="00B1412B" w:rsidRDefault="00237EF8">
      <w:pPr>
        <w:spacing w:after="120" w:line="240" w:lineRule="auto"/>
        <w:jc w:val="both"/>
        <w:rPr>
          <w:rFonts w:ascii="Times New Roman" w:hAnsi="Times New Roman"/>
          <w:i/>
          <w:noProof/>
          <w:sz w:val="24"/>
          <w:szCs w:val="24"/>
        </w:rPr>
      </w:pPr>
      <w:r>
        <w:rPr>
          <w:rFonts w:ascii="Times New Roman" w:hAnsi="Times New Roman"/>
          <w:i/>
          <w:noProof/>
        </w:rPr>
        <w:t>Το σύστημα PREVENT</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Η έκθεση του Νοεμβρίου 2018 είχε θεωρήσει ότι η εν λόγω σύσταση είχε υλοποιηθεί. Το σύστημα PREVENT παραμένει πλήρως λειτουργικό και η ΑΝΙ αναφέρει θετικά απ</w:t>
      </w:r>
      <w:r>
        <w:rPr>
          <w:rFonts w:ascii="Times New Roman" w:hAnsi="Times New Roman"/>
          <w:noProof/>
        </w:rPr>
        <w:t>οτελέσματα.</w:t>
      </w:r>
      <w:r>
        <w:rPr>
          <w:rStyle w:val="FootnoteReference"/>
          <w:rFonts w:ascii="Times New Roman" w:hAnsi="Times New Roman"/>
          <w:noProof/>
        </w:rPr>
        <w:t xml:space="preserve"> </w:t>
      </w:r>
      <w:r>
        <w:rPr>
          <w:rFonts w:ascii="Times New Roman" w:hAnsi="Times New Roman"/>
          <w:noProof/>
        </w:rPr>
        <w:t>Γενικότερα, η ANI σημείωσε σταθερές επιδόσεις όσον αφορά τις έρευνες περί ασυμβίβαστου και διοικητικών συγκρούσεων συμφερόντων</w:t>
      </w:r>
      <w:r>
        <w:rPr>
          <w:rStyle w:val="FootnoteReference"/>
          <w:rFonts w:ascii="Times New Roman" w:hAnsi="Times New Roman"/>
          <w:noProof/>
        </w:rPr>
        <w:footnoteReference w:id="50"/>
      </w:r>
      <w:r>
        <w:rPr>
          <w:noProof/>
        </w:rPr>
        <w:t>.</w:t>
      </w:r>
      <w:r>
        <w:rPr>
          <w:rStyle w:val="FootnoteReference"/>
          <w:rFonts w:ascii="Times New Roman" w:hAnsi="Times New Roman"/>
          <w:noProof/>
        </w:rPr>
        <w:t xml:space="preserve"> </w:t>
      </w:r>
    </w:p>
    <w:p w:rsidR="00B1412B" w:rsidRDefault="00237EF8">
      <w:pPr>
        <w:spacing w:after="120" w:line="240" w:lineRule="auto"/>
        <w:jc w:val="both"/>
        <w:rPr>
          <w:rFonts w:ascii="Times New Roman" w:hAnsi="Times New Roman"/>
          <w:noProof/>
          <w:sz w:val="24"/>
          <w:szCs w:val="24"/>
        </w:rPr>
      </w:pPr>
      <w:r>
        <w:rPr>
          <w:rFonts w:ascii="Times New Roman" w:hAnsi="Times New Roman"/>
          <w:i/>
          <w:noProof/>
        </w:rPr>
        <w:t>Εκτέλεση δικαστικών αποφάσεων που αφορούν μέλη του Κοινοβουλίου</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 xml:space="preserve">Η έκθεση του Νοεμβρίου 2018 επεσήμανε </w:t>
      </w:r>
      <w:r>
        <w:rPr>
          <w:rFonts w:ascii="Times New Roman" w:hAnsi="Times New Roman"/>
          <w:noProof/>
        </w:rPr>
        <w:t>καθυστερήσεις και προφανείς ασυνέπειες στην εφαρμογή των κυρώσεων για τους βουλευτές που διαπιστώθηκε ότι κατείχαν ασυμβίβαστα καθήκοντα ή βρίσκονται σε κατάσταση σύγκρουσης συμφερόντων με τελεσίδικη δικαστική απόφαση βασιζόμενη σε έκθεση της ΑΝΙ. Υπογράμμ</w:t>
      </w:r>
      <w:r>
        <w:rPr>
          <w:rFonts w:ascii="Times New Roman" w:hAnsi="Times New Roman"/>
          <w:noProof/>
        </w:rPr>
        <w:t>ισε μια πιθανή αποκλίνουσα ερμηνεία των κανόνων (στην οποία μάλιστα το περιστατικό ακεραιότητας αφορούσε προηγούμενη εντολή ή θέση). Στην έκθεση προτείνεται η αποσαφήνιση των κανόνων περί ασυμβίβαστου και σύγκρουσης συμφερόντων κατά τρόπο που πληροί το κρι</w:t>
      </w:r>
      <w:r>
        <w:rPr>
          <w:rFonts w:ascii="Times New Roman" w:hAnsi="Times New Roman"/>
          <w:noProof/>
        </w:rPr>
        <w:t>τήριο αναφοράς του ΜΣΕ για την εξασφάλιση «δεσμευτικών αποφάσεων βάσει των οποίων μπορούν να επιβληθούν αποτρεπτικές κυρώσεις». Από την έκθεση του Νοεμβρίου 2018, δεν υπήρξαν νέες εξελίξεις σχετικά με το ζήτημα αυτό. Τον Ιούλιο του 2019, ο υπουργός Δικαιοσ</w:t>
      </w:r>
      <w:r>
        <w:rPr>
          <w:rFonts w:ascii="Times New Roman" w:hAnsi="Times New Roman"/>
          <w:noProof/>
        </w:rPr>
        <w:t>ύνης πρότεινε τη διοργάνωση συνεδρίασης με τη συμμετοχή όλων των αρμόδιων αρχών για την αντιμετώπιση του εν λόγω ζητήματος. Αυτό θα μπορούσε να αποτελέσει ένα εποικοδομητικό πρώτο βήμα. Ο στόχος θα πρέπει να είναι μια βιώσιμη λύση που θα παρέχει την απαραί</w:t>
      </w:r>
      <w:r>
        <w:rPr>
          <w:rFonts w:ascii="Times New Roman" w:hAnsi="Times New Roman"/>
          <w:noProof/>
        </w:rPr>
        <w:t>τητη σαφήνεια.</w:t>
      </w:r>
    </w:p>
    <w:p w:rsidR="00B1412B" w:rsidRDefault="00237EF8">
      <w:pPr>
        <w:spacing w:after="240" w:line="240" w:lineRule="auto"/>
        <w:jc w:val="both"/>
        <w:rPr>
          <w:rFonts w:ascii="Times New Roman" w:hAnsi="Times New Roman"/>
          <w:i/>
          <w:noProof/>
          <w:sz w:val="24"/>
          <w:szCs w:val="24"/>
        </w:rPr>
      </w:pPr>
      <w:r>
        <w:rPr>
          <w:rFonts w:ascii="Times New Roman" w:hAnsi="Times New Roman"/>
          <w:i/>
          <w:noProof/>
        </w:rPr>
        <w:t>Η σύσταση 8 παραμένει υλοποιηθείσα. Για την επίτευξη προόδου ως προς τη σύσταση 9 απαιτείται η διευθέτηση της υφιστάμενης έλλειψης σαφήνειας των κανόνων. Οι νομοθετικές εξελίξεις σχετικά με τη νομοθεσία περί ακεραιότητας θα πρέπει να αποσαφη</w:t>
      </w:r>
      <w:r>
        <w:rPr>
          <w:rFonts w:ascii="Times New Roman" w:hAnsi="Times New Roman"/>
          <w:i/>
          <w:noProof/>
        </w:rPr>
        <w:t>νιστούν προκειμένου να αποφευχθεί ο κίνδυνος να μην μπορούν πλέον να εφαρμοστούν αποτρεπτικές κυρώσεις μετά την έκδοση τελεσίδικης δικαστικής απόφασης, η οποία θα συνιστούσε οπισθοδρόμηση όσον αφορά το κριτήριο αναφοράς 2. Ως εκ τούτου, το κριτήριο αναφορά</w:t>
      </w:r>
      <w:r>
        <w:rPr>
          <w:rFonts w:ascii="Times New Roman" w:hAnsi="Times New Roman"/>
          <w:i/>
          <w:noProof/>
        </w:rPr>
        <w:t>ς 2 δεν έχει ακόμη υλοποιηθεί.</w:t>
      </w:r>
    </w:p>
    <w:p w:rsidR="00B1412B" w:rsidRDefault="00237EF8">
      <w:pPr>
        <w:spacing w:after="120" w:line="240" w:lineRule="auto"/>
        <w:jc w:val="both"/>
        <w:rPr>
          <w:rFonts w:ascii="Times New Roman" w:hAnsi="Times New Roman"/>
          <w:b/>
          <w:noProof/>
          <w:sz w:val="24"/>
          <w:szCs w:val="24"/>
        </w:rPr>
      </w:pPr>
      <w:r>
        <w:rPr>
          <w:rFonts w:ascii="Times New Roman" w:hAnsi="Times New Roman"/>
          <w:b/>
          <w:noProof/>
        </w:rPr>
        <w:t xml:space="preserve">3.3 </w:t>
      </w:r>
      <w:r>
        <w:rPr>
          <w:rFonts w:ascii="Times New Roman" w:hAnsi="Times New Roman"/>
          <w:b/>
          <w:noProof/>
        </w:rPr>
        <w:tab/>
        <w:t>Κριτήριο αναφοράς 3: Αντιμετώπιση της διαφθοράς σε υψηλό επίπεδο</w:t>
      </w:r>
    </w:p>
    <w:p w:rsidR="00B1412B" w:rsidRDefault="00237EF8">
      <w:pPr>
        <w:spacing w:after="120" w:line="240" w:lineRule="auto"/>
        <w:jc w:val="both"/>
        <w:rPr>
          <w:rFonts w:ascii="Times New Roman" w:hAnsi="Times New Roman"/>
          <w:i/>
          <w:noProof/>
          <w:sz w:val="24"/>
          <w:szCs w:val="24"/>
        </w:rPr>
      </w:pPr>
      <w:r>
        <w:rPr>
          <w:rFonts w:ascii="Times New Roman" w:hAnsi="Times New Roman"/>
          <w:i/>
          <w:noProof/>
        </w:rPr>
        <w:t>Βιωσιμότητα της Εθνικής Διεύθυνσης Καταπολέμησης της Διαφθοράς και μη αναστρεψιμότητα της καταπολέμησης της διαφθοράς</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Από την έκθεση του Νοεμβρίου 2018 και</w:t>
      </w:r>
      <w:r>
        <w:rPr>
          <w:rFonts w:ascii="Times New Roman" w:hAnsi="Times New Roman"/>
          <w:noProof/>
        </w:rPr>
        <w:t xml:space="preserve"> παρά τις πολύ δύσκολες συνθήκες, τα δικαστικά θεσμικά όργανα που συμμετέχουν στην καταπολέμηση της διαφθοράς υψηλού επιπέδου συνέχισαν να διερευνούν καταγγελίες και να επιβάλλουν κυρώσεις για αδικήματα διαφθοράς υψηλού επιπέδου.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Στην έκθεση του Νοεμβρίου</w:t>
      </w:r>
      <w:r>
        <w:rPr>
          <w:rFonts w:ascii="Times New Roman" w:hAnsi="Times New Roman"/>
          <w:noProof/>
        </w:rPr>
        <w:t xml:space="preserve"> 2018 παρατηρήθηκε μια συστηματικά άσκηση πίεσης στα βασικά θεσμικά όργανα για την καταπολέμηση της διαφθοράς, ιδίως στην Εθνική Διεύθυνση Καταπολέμησης της Διαφθοράς (DNA) και στο Ανώτατο Ακυρωτικό Δικαστήριο, και καταγράφηκαν οι αυξανόμενες ανησυχίες για</w:t>
      </w:r>
      <w:r>
        <w:rPr>
          <w:rFonts w:ascii="Times New Roman" w:hAnsi="Times New Roman"/>
          <w:noProof/>
        </w:rPr>
        <w:t xml:space="preserve"> το κατά πόσον παραμένουν σε θέση να εκπληρώνουν τα καθήκοντά τους, γεγονός που έχει αντίκτυπο στη μη αναστρεψιμότητα της καταπολέμησης της διαφθοράς. Αν και το ιστορικό επιδόσεων παραμένει ισχυρό, υπάρχουν ενδείξεις ότι η συνεχιζόμενη πίεση στα εν λόγω θε</w:t>
      </w:r>
      <w:r>
        <w:rPr>
          <w:rFonts w:ascii="Times New Roman" w:hAnsi="Times New Roman"/>
          <w:noProof/>
        </w:rPr>
        <w:t>σμικά όργανα είχε αρνητικό αντίκτυπο.</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Οι τροποποιημένοι νόμοι περί δικαιοσύνης περιλάμβαναν αιφνίδιες αλλαγές στις απαιτήσεις αρχαιότητας, με αντίκτυπο στην ικανότητα λειτουργίας της DNA. Η αποτελεσματική αντιμετώπιση των υποθέσεων διαφθοράς υψηλού επιπέδο</w:t>
      </w:r>
      <w:r>
        <w:rPr>
          <w:rFonts w:ascii="Times New Roman" w:hAnsi="Times New Roman"/>
          <w:noProof/>
        </w:rPr>
        <w:t xml:space="preserve">υ επηρεάστηκε επίσης αρνητικά από τη μεταβίβαση της αρμοδιότητας για πολλές υποθέσεις στο Ειδικό Τμήμα, το οποίο δεν είναι μόνο αρμόδιο για τη διερεύνηση αδικημάτων που διαπράττονται από δικαστές, αλλά και για συναφή αδικήματα από άλλα πρόσωπα. Ο κίνδυνος </w:t>
      </w:r>
      <w:r>
        <w:rPr>
          <w:rFonts w:ascii="Times New Roman" w:hAnsi="Times New Roman"/>
          <w:noProof/>
        </w:rPr>
        <w:t>που εντοπίστηκε τον Νοέμβριο του 2018, ότι το Ειδικό Τμήμα θα μπορούσε να χρησιμοποιηθεί ως μέσο για την αλλαγή της έκβασης υποθέσεων διαφθοράς σε υψηλό επίπεδο και για την άσκηση πίεσης σε δικαστές έχει γίνει πραγματικότητα (βλ. κριτήριο αναφοράς 1). Με τ</w:t>
      </w:r>
      <w:r>
        <w:rPr>
          <w:rFonts w:ascii="Times New Roman" w:hAnsi="Times New Roman"/>
          <w:noProof/>
        </w:rPr>
        <w:t>η διακοπή της διαδικασίας διορισμού, η DNA παραμένει χωρίς προϊστάμενο εισαγγελέα. Ενώ η σημερινή προσωρινή ηγεσία της έχει επιτυχώς διατηρήσει το έργο της, ο προσωρινός χαρακτήρας των διορισμών εκτελούντων χρέη προσθέτει ένα στοιχείο αβεβαιότητας και ευπά</w:t>
      </w:r>
      <w:r>
        <w:rPr>
          <w:rFonts w:ascii="Times New Roman" w:hAnsi="Times New Roman"/>
          <w:noProof/>
        </w:rPr>
        <w:t>θειας.</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Η ραγδαία αύξηση της πίεσης στο Ανώτατο Δικαστήριο (βλ. κριτήριο αναφοράς 1) επηρέασε επίσης την αποτελεσματικότητα του συστήματος απονομής δικαιοσύνης σε υποθέσεις διαφθοράς σε υψηλό επίπεδο. Ειδικότερα, το Ανώτατο Δικαστήριο παραπέμφθηκε στο Συντα</w:t>
      </w:r>
      <w:r>
        <w:rPr>
          <w:rFonts w:ascii="Times New Roman" w:hAnsi="Times New Roman"/>
          <w:noProof/>
        </w:rPr>
        <w:t>γματικό Δικαστήριο σε δύο διαδικασίες συνταγματικών συγκρούσεων που κίνησε η κυβέρνηση σε σχέση με την ερμηνεία του όσον αφορά τους διαδικαστικούς κανόνες για τη σύσταση των ομάδων προσφυγών που αποτελούνται από 5 δικαστές και σε σχέση με τη σύνθεση των τρ</w:t>
      </w:r>
      <w:r>
        <w:rPr>
          <w:rFonts w:ascii="Times New Roman" w:hAnsi="Times New Roman"/>
          <w:noProof/>
        </w:rPr>
        <w:t>ιμελών ομάδων δικαστών για τις πρωτοβάθμιες δίκες σε υποθέσεις διαφθοράς. Παρότι οι αποφάσεις του Συνταγματικού Δικαστηρίου δεν εφαρμόζονται σε υποθέσεις που έχουν τελεσιδικήσει, η παρακολούθηση της απόφασης για τις πενταμελείς ομάδες δικαστών οδήγησε σε σ</w:t>
      </w:r>
      <w:r>
        <w:rPr>
          <w:rFonts w:ascii="Times New Roman" w:hAnsi="Times New Roman"/>
          <w:noProof/>
        </w:rPr>
        <w:t>ημαντική αβεβαιότητα. Στις αρχές του 2019, εξετάστηκε το ενδεχόμενο έκδοσης έκτακτου διατάγματος, το οποίο, εάν είχε εκδοθεί, θα καθιστούσε δυνατή την επανεξέταση όλων των υποθέσεων διαφθοράς σε υψηλό επίπεδο που έκλεισαν με απόφαση του Ανώτατου Δικαστηρίο</w:t>
      </w:r>
      <w:r>
        <w:rPr>
          <w:rFonts w:ascii="Times New Roman" w:hAnsi="Times New Roman"/>
          <w:noProof/>
        </w:rPr>
        <w:t xml:space="preserve">υ που εκδόθηκε από το 2014 από πενταμελή επιτροπή δικαστών. Ενώ η εγχώρια και η διεθνής κριτική στην πρόταση συνέβαλε στη μη έκδοση αυτού του έκτακτου διατάγματος, θα ήταν σημαντικό οι ρουμανικές </w:t>
      </w:r>
      <w:r w:rsidRPr="00237EF8">
        <w:rPr>
          <w:rFonts w:ascii="Times New Roman" w:hAnsi="Times New Roman"/>
          <w:noProof/>
        </w:rPr>
        <w:t xml:space="preserve">αρχές </w:t>
      </w:r>
      <w:r w:rsidRPr="00237EF8">
        <w:rPr>
          <w:rFonts w:ascii="Times New Roman" w:hAnsi="Times New Roman"/>
          <w:noProof/>
        </w:rPr>
        <w:t>να αποκηρύξουν την επιδίωξη των στόχων ενός τέτοιου μέ</w:t>
      </w:r>
      <w:r w:rsidRPr="00237EF8">
        <w:rPr>
          <w:rFonts w:ascii="Times New Roman" w:hAnsi="Times New Roman"/>
          <w:noProof/>
        </w:rPr>
        <w:t>τρου και</w:t>
      </w:r>
      <w:r w:rsidRPr="00237EF8">
        <w:rPr>
          <w:rFonts w:ascii="Times New Roman" w:hAnsi="Times New Roman"/>
          <w:noProof/>
        </w:rPr>
        <w:t xml:space="preserve"> να καταστήσουν σαφές ότι δεν απαιτείται νομοθεσία που να επηρεάζει παλαιές υποθέσεις, μετά από αποφάσεις του Συνταγματικού Δικαστηρίου, επαναλαμβάνοντας τη δέσμευσή τους να καταπολεμήσουν αποτελεσματικά τη διαφθορά.</w:t>
      </w:r>
    </w:p>
    <w:p w:rsidR="00B1412B" w:rsidRDefault="00237EF8">
      <w:pPr>
        <w:spacing w:after="240" w:line="240" w:lineRule="auto"/>
        <w:jc w:val="both"/>
        <w:rPr>
          <w:rFonts w:ascii="Times New Roman" w:hAnsi="Times New Roman"/>
          <w:noProof/>
          <w:sz w:val="24"/>
          <w:szCs w:val="24"/>
        </w:rPr>
      </w:pPr>
      <w:r>
        <w:rPr>
          <w:rFonts w:ascii="Times New Roman" w:hAnsi="Times New Roman"/>
          <w:noProof/>
        </w:rPr>
        <w:t xml:space="preserve">Οι αποφάσεις του Συνταγματικού </w:t>
      </w:r>
      <w:r>
        <w:rPr>
          <w:rFonts w:ascii="Times New Roman" w:hAnsi="Times New Roman"/>
          <w:noProof/>
        </w:rPr>
        <w:t>Δικαστηρίου έχουν άμεσο αντίκτυπο σε εν εξελίξει υποθέσεις διαφθοράς υψηλού επιπέδου, καθώς συνεπάγονται καθυστερήσεις και επανέναρξη δικών, και έχουν επιτρέψει, υπό ορισμένες προϋποθέσεις, το εκ νέου άνοιγμα αρκετών υποθέσεων που έχουν τελεσιδικήσει. Οι π</w:t>
      </w:r>
      <w:r>
        <w:rPr>
          <w:rFonts w:ascii="Times New Roman" w:hAnsi="Times New Roman"/>
          <w:noProof/>
        </w:rPr>
        <w:t>λήρεις συνέπειες δεν έχουν ακόμη αποσαφηνιστεί. Αυτή η σαφής παρέμβαση στη διαδικασία απονομής δικαιοσύνης δημιούργησε επίσης ευρύτερες αμφιβολίες όσον αφορά τη βιωσιμότητα της προόδου που έχει επιτευχθεί μέχρι σήμερα από τη Ρουμανία στον τομέα της καταπολ</w:t>
      </w:r>
      <w:r>
        <w:rPr>
          <w:rFonts w:ascii="Times New Roman" w:hAnsi="Times New Roman"/>
          <w:noProof/>
        </w:rPr>
        <w:t>έμησης της διαφθοράς — πόσο μάλιστα όταν πραγματοποιείται ταυτόχρονα με τις τροποποιήσεις στον ποινικό κώδικα και στον κώδικα ποινικής δικονομίας, στις οποίες δεν ελήφθη υπόψη η σύσταση του Νοεμβρίου 2018 σχετικά με την ανάγκη συμβατότητας με το δίκαιο της</w:t>
      </w:r>
      <w:r>
        <w:rPr>
          <w:rFonts w:ascii="Times New Roman" w:hAnsi="Times New Roman"/>
          <w:noProof/>
        </w:rPr>
        <w:t xml:space="preserve"> ΕΕ και με τα διεθνή μέσα για την καταπολέμηση της διαφθοράς (βλ. επίσης κριτήριο αναφοράς 1).</w:t>
      </w:r>
    </w:p>
    <w:tbl>
      <w:tblPr>
        <w:tblStyle w:val="TableGrid"/>
        <w:tblW w:w="0" w:type="auto"/>
        <w:tblLook w:val="04A0" w:firstRow="1" w:lastRow="0" w:firstColumn="1" w:lastColumn="0" w:noHBand="0" w:noVBand="1"/>
      </w:tblPr>
      <w:tblGrid>
        <w:gridCol w:w="9288"/>
      </w:tblGrid>
      <w:tr w:rsidR="00B1412B">
        <w:tc>
          <w:tcPr>
            <w:tcW w:w="9288" w:type="dxa"/>
          </w:tcPr>
          <w:p w:rsidR="00B1412B" w:rsidRDefault="00237EF8">
            <w:pPr>
              <w:spacing w:after="120" w:line="240" w:lineRule="auto"/>
              <w:jc w:val="both"/>
              <w:rPr>
                <w:rFonts w:ascii="Times New Roman" w:eastAsia="SimSun" w:hAnsi="Times New Roman"/>
                <w:b/>
                <w:i/>
                <w:noProof/>
                <w:sz w:val="24"/>
                <w:szCs w:val="24"/>
              </w:rPr>
            </w:pPr>
            <w:r>
              <w:rPr>
                <w:rFonts w:ascii="Times New Roman" w:hAnsi="Times New Roman"/>
                <w:i/>
                <w:noProof/>
              </w:rPr>
              <w:t>Σύσταση 10: να θεσπιστούν αντικειμενικά κριτήρια για τη λήψη και την αιτιολόγηση των αποφάσεων άρσης της ασυλίας μελών του Κοινοβουλίου για να εξασφαλιστεί ότι η</w:t>
            </w:r>
            <w:r>
              <w:rPr>
                <w:rFonts w:ascii="Times New Roman" w:hAnsi="Times New Roman"/>
                <w:i/>
                <w:noProof/>
              </w:rPr>
              <w:t xml:space="preserve"> ασυλία δεν θα χρησιμοποιείται για να αποφεύγεται η διερεύνηση και δίωξη εγκλημάτων διαφθοράς. Η Κυβέρνηση θα μπορούσε επίσης να εξετάσει το ενδεχόμενο τροποποίησης του νόμου προκειμένου να περιορίσει την ασυλία των υπουργών στη διάρκεια της θητείας τους. </w:t>
            </w:r>
            <w:r>
              <w:rPr>
                <w:rFonts w:ascii="Times New Roman" w:hAnsi="Times New Roman"/>
                <w:i/>
                <w:noProof/>
              </w:rPr>
              <w:t>Αυτά τα μέτρα θα μπορούσαν να υποστηριχθούν από την Επιτροπή της Βενετίας και την GRECO. Το Κοινοβούλιο θα πρέπει να καθιερώσει σύστημα για την τακτική υποβολή εκθέσεων σχετικά με τις αποφάσεις που λαμβάνονται από τα τμήματά του όσον αφορά τις αιτήσεις για</w:t>
            </w:r>
            <w:r>
              <w:rPr>
                <w:rFonts w:ascii="Times New Roman" w:hAnsi="Times New Roman"/>
                <w:i/>
                <w:noProof/>
              </w:rPr>
              <w:t xml:space="preserve"> την άρση ασυλιών και θα μπορούσε να οργανώσει μια δημόσια συζήτηση έτσι ώστε το Ανώτατο Δικαστικό Συμβούλιο και η κοινωνία των πολιτών να μπορούν να εκφέρουν γνώμη.</w:t>
            </w:r>
          </w:p>
        </w:tc>
      </w:tr>
    </w:tbl>
    <w:p w:rsidR="00B1412B" w:rsidRDefault="00237EF8">
      <w:pPr>
        <w:spacing w:before="120" w:after="120" w:line="240" w:lineRule="auto"/>
        <w:jc w:val="both"/>
        <w:rPr>
          <w:rFonts w:ascii="Times New Roman" w:eastAsia="SimSun" w:hAnsi="Times New Roman"/>
          <w:noProof/>
          <w:sz w:val="24"/>
          <w:szCs w:val="24"/>
        </w:rPr>
      </w:pPr>
      <w:r>
        <w:rPr>
          <w:rFonts w:ascii="Times New Roman" w:hAnsi="Times New Roman"/>
          <w:noProof/>
        </w:rPr>
        <w:t>Η σύσταση 10 αφορά την υποχρέωση λογοδοσίας του Κοινοβουλίου στις αποφάσεις του επί εισαγ</w:t>
      </w:r>
      <w:r>
        <w:rPr>
          <w:rFonts w:ascii="Times New Roman" w:hAnsi="Times New Roman"/>
          <w:noProof/>
        </w:rPr>
        <w:t>γελικών αιτήσεων να εγκριθούν προληπτικά μέτρα, όπως π.χ. έρευνα ή σύλληψη, και επί αιτήσεων να επιτραπεί η έρευνα μελών του Κοινοβουλίου που κατέχουν ή κατείχαν υπουργικό αξίωμα. Η έλλειψη εξηγήσεων σχετικά με τις αποφάσεις που ελήφθησαν από το Κοινοβούλι</w:t>
      </w:r>
      <w:r>
        <w:rPr>
          <w:rFonts w:ascii="Times New Roman" w:hAnsi="Times New Roman"/>
          <w:noProof/>
        </w:rPr>
        <w:t xml:space="preserve">ο –καθώς και το πλήθος των περιπτώσεων στις οποίες το Κοινοβούλιο δεν επέτρεψε να προχωρήσει η έρευνα– δημιούργησαν ανησυχίες σχετικά με την αντικειμενικότητα των αποφάσεων αυτών.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Στις 5 Ιουνίου 2019, η Βουλή των Αντιπροσώπων τροποποίησε τον εσωτερικό καν</w:t>
      </w:r>
      <w:r>
        <w:rPr>
          <w:rFonts w:ascii="Times New Roman" w:hAnsi="Times New Roman"/>
          <w:noProof/>
        </w:rPr>
        <w:t>ονισμό της σχετικά με τη δίωξη των μελών ή πρώην μελών της κυβέρνησης που είναι μέλη της Βουλής των Αντιπροσώπων. Ειδικότερα, έγινε ειδική αναφορά στα κριτήρια που περιλαμβάνονται στην έκθεση της Επιτροπής της Βενετίας σχετικά με τον σκοπό και την άρση της</w:t>
      </w:r>
      <w:r>
        <w:rPr>
          <w:rFonts w:ascii="Times New Roman" w:hAnsi="Times New Roman"/>
          <w:noProof/>
        </w:rPr>
        <w:t xml:space="preserve"> βουλευτικής ασυλίας</w:t>
      </w:r>
      <w:r>
        <w:rPr>
          <w:rStyle w:val="FootnoteReference"/>
          <w:rFonts w:ascii="Times New Roman" w:hAnsi="Times New Roman"/>
          <w:noProof/>
        </w:rPr>
        <w:footnoteReference w:id="51"/>
      </w:r>
      <w:r>
        <w:rPr>
          <w:noProof/>
        </w:rPr>
        <w:t>.</w:t>
      </w:r>
      <w:r>
        <w:rPr>
          <w:rFonts w:ascii="Times New Roman" w:hAnsi="Times New Roman"/>
          <w:noProof/>
        </w:rPr>
        <w:t xml:space="preserve"> Η αλλαγή αυτή είναι ευπρόσδεκτη και η Επιτροπή προσβλέπει στην αποτελεσματική εφαρμογή της, μεταξύ άλλων δεδομένης της σύστασης για τη συμμετοχή των δικαστικών αρχών και της κοινωνίας των πολιτών στη συζήτηση.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Η Γερουσία ενθαρρύνετα</w:t>
      </w:r>
      <w:r>
        <w:rPr>
          <w:rFonts w:ascii="Times New Roman" w:hAnsi="Times New Roman"/>
          <w:noProof/>
        </w:rPr>
        <w:t>ι να εκδώσει παρόμοιους κανόνες. Στις αρχές Ιουνίου, απορρίφθηκε αίτημα της εισαγγελικής αρχής για την άρση της ασυλίας του προέδρου της Γερουσίας. Τον Σεπτέμβριο, η Γερουσία απέρριψε το αίτημα άσκησης ποινικής δίωξης ενός γερουσιαστή που είχε διατελέσει υ</w:t>
      </w:r>
      <w:r>
        <w:rPr>
          <w:rFonts w:ascii="Times New Roman" w:hAnsi="Times New Roman"/>
          <w:noProof/>
        </w:rPr>
        <w:t>πουργός Υγείας.</w:t>
      </w:r>
    </w:p>
    <w:p w:rsidR="00B1412B" w:rsidRDefault="00237EF8">
      <w:pPr>
        <w:spacing w:after="240" w:line="240" w:lineRule="auto"/>
        <w:jc w:val="both"/>
        <w:rPr>
          <w:rFonts w:ascii="Times New Roman" w:hAnsi="Times New Roman"/>
          <w:i/>
          <w:noProof/>
          <w:sz w:val="24"/>
          <w:szCs w:val="24"/>
        </w:rPr>
      </w:pPr>
      <w:r>
        <w:rPr>
          <w:rFonts w:ascii="Times New Roman" w:hAnsi="Times New Roman"/>
          <w:i/>
          <w:noProof/>
        </w:rPr>
        <w:t>Η Επιτροπή επαναλαμβάνει το συμπέρασμά της του Νοεμβρίου 2018, ότι οι λόγοι στους οποίους βασίστηκε η θετική αξιολόγηση όσον αφορά το κριτήριο αναφοράς 3 τον Ιανουάριο του 2017 τίθενται εκ νέου υπό αμφισβήτηση εξαιτίας της Ρουμανίας. Παρά τ</w:t>
      </w:r>
      <w:r>
        <w:rPr>
          <w:rFonts w:ascii="Times New Roman" w:hAnsi="Times New Roman"/>
          <w:i/>
          <w:noProof/>
        </w:rPr>
        <w:t>ο γεγονός ότι τόσο το DNA όσο και το Ανώτατο Ακυρωτικό Δικαστήριο συνέχισαν να διερευνούν και να διώκουν τη διαφθορά σε υψηλό επίπεδο και επέδειξαν επαγγελματισμό σε πολύ δύσκολες περιστάσεις, οι επιθέσεις κατά των δραστηριοτήτων τους, οι διαδοχικές αλλαγέ</w:t>
      </w:r>
      <w:r>
        <w:rPr>
          <w:rFonts w:ascii="Times New Roman" w:hAnsi="Times New Roman"/>
          <w:i/>
          <w:noProof/>
        </w:rPr>
        <w:t>ς του ισχύοντος νομικού πλαισίου και η δυνητική αμφισβήτηση της αρχής της τελεσιδικίας εγείρουν ερωτήματα σχετικά με τη βιωσιμότητα του επιτεύγματος της Ρουμανίας στην καταπολέμηση της διαφθοράς σε υψηλό επίπεδο. Ως εκ τούτου, η σύσταση 10, παρά την ύπαρξη</w:t>
      </w:r>
      <w:r>
        <w:rPr>
          <w:rFonts w:ascii="Times New Roman" w:hAnsi="Times New Roman"/>
          <w:i/>
          <w:noProof/>
        </w:rPr>
        <w:t xml:space="preserve"> κάποιων πρόσφατων θετικών εξελίξεων, δεν μπορεί πλέον να θεωρηθεί ότι επαρκεί για να κλείσει το κριτήριο αναφοράς. </w:t>
      </w:r>
    </w:p>
    <w:p w:rsidR="00B1412B" w:rsidRDefault="00B1412B">
      <w:pPr>
        <w:spacing w:after="0" w:line="240" w:lineRule="auto"/>
        <w:rPr>
          <w:rFonts w:ascii="Times New Roman" w:hAnsi="Times New Roman"/>
          <w:b/>
          <w:noProof/>
          <w:sz w:val="24"/>
          <w:szCs w:val="24"/>
        </w:rPr>
      </w:pPr>
    </w:p>
    <w:p w:rsidR="00B1412B" w:rsidRDefault="00237EF8">
      <w:pPr>
        <w:spacing w:after="120" w:line="240" w:lineRule="auto"/>
        <w:jc w:val="both"/>
        <w:rPr>
          <w:rFonts w:ascii="Times New Roman" w:hAnsi="Times New Roman"/>
          <w:b/>
          <w:noProof/>
          <w:sz w:val="24"/>
          <w:szCs w:val="24"/>
        </w:rPr>
      </w:pPr>
      <w:r>
        <w:rPr>
          <w:rFonts w:ascii="Times New Roman" w:hAnsi="Times New Roman"/>
          <w:b/>
          <w:noProof/>
        </w:rPr>
        <w:t>3.4</w:t>
      </w:r>
      <w:r>
        <w:rPr>
          <w:rFonts w:ascii="Times New Roman" w:hAnsi="Times New Roman"/>
          <w:b/>
          <w:noProof/>
        </w:rPr>
        <w:tab/>
        <w:t>Κριτήριο αναφοράς 4: Αντιμετώπιση της διαφθοράς σε όλα τα επίπεδα</w:t>
      </w:r>
    </w:p>
    <w:p w:rsidR="00B1412B" w:rsidRDefault="00237EF8">
      <w:pPr>
        <w:keepNext/>
        <w:pBdr>
          <w:top w:val="single" w:sz="4" w:space="1" w:color="auto"/>
          <w:left w:val="single" w:sz="4" w:space="4" w:color="auto"/>
          <w:bottom w:val="single" w:sz="4" w:space="1" w:color="auto"/>
          <w:right w:val="single" w:sz="4" w:space="4" w:color="auto"/>
        </w:pBdr>
        <w:spacing w:after="120" w:line="240" w:lineRule="auto"/>
        <w:jc w:val="both"/>
        <w:rPr>
          <w:rFonts w:ascii="Times New Roman" w:eastAsia="SimSun" w:hAnsi="Times New Roman"/>
          <w:i/>
          <w:noProof/>
          <w:sz w:val="24"/>
          <w:szCs w:val="24"/>
        </w:rPr>
      </w:pPr>
      <w:r>
        <w:rPr>
          <w:rFonts w:ascii="Times New Roman" w:hAnsi="Times New Roman"/>
          <w:i/>
          <w:noProof/>
        </w:rPr>
        <w:t>Σύσταση 11:</w:t>
      </w:r>
      <w:r>
        <w:rPr>
          <w:rFonts w:ascii="Times New Roman" w:hAnsi="Times New Roman"/>
          <w:b/>
          <w:i/>
          <w:noProof/>
        </w:rPr>
        <w:t xml:space="preserve"> </w:t>
      </w:r>
      <w:r>
        <w:rPr>
          <w:rFonts w:ascii="Times New Roman" w:hAnsi="Times New Roman"/>
          <w:i/>
          <w:noProof/>
        </w:rPr>
        <w:t xml:space="preserve">να συνεχιστεί η εφαρμογή της εθνικής στρατηγικής για </w:t>
      </w:r>
      <w:r>
        <w:rPr>
          <w:rFonts w:ascii="Times New Roman" w:hAnsi="Times New Roman"/>
          <w:i/>
          <w:noProof/>
        </w:rPr>
        <w:t>την καταπολέμηση της διαφθοράς, τηρώντας τις προθεσμίες που όρισε η κυβέρνηση τον Αύγουστο του 2016. Το Υπουργείο Δικαιοσύνης θα πρέπει να θέσει σε εφαρμογή ένα σύστημα υποβολής εκθέσεων σχετικά με την αποτελεσματική εφαρμογή της εθνικής στρατηγικής για τη</w:t>
      </w:r>
      <w:r>
        <w:rPr>
          <w:rFonts w:ascii="Times New Roman" w:hAnsi="Times New Roman"/>
          <w:i/>
          <w:noProof/>
        </w:rPr>
        <w:t>ν καταπολέμηση της διαφθοράς (συμπεριλαμβανομένων των στατιστικών για περιστατικά που αφορούν την ακεραιότητα στη δημόσια διοίκηση, λεπτομερειών σχετικά με τις πειθαρχικές διαδικασίες και τις κυρώσεις και πληροφοριών σχετικά με τα διαρθρωτικά μέτρα που εφα</w:t>
      </w:r>
      <w:r>
        <w:rPr>
          <w:rFonts w:ascii="Times New Roman" w:hAnsi="Times New Roman"/>
          <w:i/>
          <w:noProof/>
        </w:rPr>
        <w:t>ρμόζονται στους ευάλωτους τομείς).</w:t>
      </w:r>
    </w:p>
    <w:p w:rsidR="00B1412B" w:rsidRDefault="00237EF8">
      <w:pPr>
        <w:keepNext/>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i/>
          <w:noProof/>
          <w:sz w:val="24"/>
          <w:szCs w:val="24"/>
        </w:rPr>
      </w:pPr>
      <w:r>
        <w:rPr>
          <w:rFonts w:ascii="Times New Roman" w:hAnsi="Times New Roman"/>
          <w:i/>
          <w:noProof/>
        </w:rPr>
        <w:t>Σύσταση 12:</w:t>
      </w:r>
      <w:r>
        <w:rPr>
          <w:rFonts w:ascii="Times New Roman" w:hAnsi="Times New Roman"/>
          <w:b/>
          <w:i/>
          <w:noProof/>
        </w:rPr>
        <w:t xml:space="preserve"> </w:t>
      </w:r>
      <w:r>
        <w:rPr>
          <w:rFonts w:ascii="Times New Roman" w:hAnsi="Times New Roman"/>
          <w:i/>
          <w:noProof/>
        </w:rPr>
        <w:t>να διασφαλιστεί ότι η εθνική υπηρεσία για τη διαχείριση των κατασχεθέντων περιουσιακών στοιχείων είναι πλήρως λειτουργική και αποτελεσματική, έτσι ώστε να μπορεί να υποβάλει μια πρώτη ετήσια έκθεση με αξιόπιστ</w:t>
      </w:r>
      <w:r>
        <w:rPr>
          <w:rFonts w:ascii="Times New Roman" w:hAnsi="Times New Roman"/>
          <w:i/>
          <w:noProof/>
        </w:rPr>
        <w:t>ες στατιστικές πληροφορίες σχετικά με τη δήμευση περιουσιακών στοιχείων που προέρχονται από εγκληματικές δραστηριότητες. Η Υπηρεσία θα πρέπει να καθιερώσει ένα σύστημα για την τακτική υποβολή εκθέσεων σχετικά με την εξέλιξη της διοικητικής ικανότητας και τ</w:t>
      </w:r>
      <w:r>
        <w:rPr>
          <w:rFonts w:ascii="Times New Roman" w:hAnsi="Times New Roman"/>
          <w:i/>
          <w:noProof/>
        </w:rPr>
        <w:t>ων αποτελεσμάτων όσον αφορά τη δήμευση και διαχείριση περιουσιακών στοιχείων που προέρχονται από εγκληματικές δραστηριότητες.</w:t>
      </w:r>
      <w:r>
        <w:rPr>
          <w:rFonts w:ascii="Times New Roman" w:hAnsi="Times New Roman"/>
          <w:b/>
          <w:i/>
          <w:noProof/>
        </w:rPr>
        <w:t xml:space="preserve"> </w:t>
      </w:r>
    </w:p>
    <w:p w:rsidR="00B1412B" w:rsidRDefault="00237EF8">
      <w:pPr>
        <w:keepNext/>
        <w:spacing w:before="240" w:after="120" w:line="240" w:lineRule="auto"/>
        <w:jc w:val="both"/>
        <w:rPr>
          <w:rFonts w:ascii="Times New Roman" w:hAnsi="Times New Roman"/>
          <w:i/>
          <w:noProof/>
          <w:sz w:val="24"/>
          <w:szCs w:val="24"/>
        </w:rPr>
      </w:pPr>
      <w:r>
        <w:rPr>
          <w:rFonts w:ascii="Times New Roman" w:hAnsi="Times New Roman"/>
          <w:i/>
          <w:noProof/>
        </w:rPr>
        <w:t>Εθνική στρατηγική για την καταπολέμηση της διαφθοράς</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 xml:space="preserve">Η εφαρμογή της εθνικής στρατηγικής για την καταπολέμηση της διαφθοράς </w:t>
      </w:r>
      <w:r>
        <w:rPr>
          <w:rFonts w:ascii="Times New Roman" w:hAnsi="Times New Roman"/>
          <w:noProof/>
        </w:rPr>
        <w:t>συνεχίστηκε σε τεχνικό επίπεδο. Τόσο στα κεντρικά θεσμικά όργανα όσο και σε τοπικό επίπεδο (κομητειακά και δημιαρχιακά συμβούλια) τέθηκαν σε εφαρμογή μέτρα πρόληψης της διαφθοράς, όπως οι εσωτερικοί έλεγχοι από καθένα από τα συμμετέχοντα δημόσια θεσμικά όρ</w:t>
      </w:r>
      <w:r>
        <w:rPr>
          <w:rFonts w:ascii="Times New Roman" w:hAnsi="Times New Roman"/>
          <w:noProof/>
        </w:rPr>
        <w:t>γανα και τις αποστολές αξιολόγησης από ομοτίμους που έχουν προγραμματιστεί για το 2018. Οι πλατφόρμες διοργανικής συνεργασίας συνεδρίασαν τον Απρίλιο του 2019. Οι αρχές αναφέρουν επίσης συνεχή μέτρα και δραστηριότητες πρόληψης της διαφθοράς σε κεντρικά υπο</w:t>
      </w:r>
      <w:r>
        <w:rPr>
          <w:rFonts w:ascii="Times New Roman" w:hAnsi="Times New Roman"/>
          <w:noProof/>
        </w:rPr>
        <w:t>υργεία και δημόσιους οργανισμούς σε ευάλωτους τομείς, μεταξύ άλλων στην εκπαίδευση, το υπουργείο Εσωτερικών και τον χρηματοοικονομικό τομέα. Ωστόσο, η πρόληψη της διαφθοράς δεν θεωρήθηκε σημαντική πολιτική προτεραιότητα.</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Ένας από τους στόχους της στρατηγικ</w:t>
      </w:r>
      <w:r>
        <w:rPr>
          <w:rFonts w:ascii="Times New Roman" w:hAnsi="Times New Roman"/>
          <w:noProof/>
        </w:rPr>
        <w:t>ής είναι να βελτιωθούν οι επιδόσεις της καταπολέμησης της διαφθοράς με την επιβολή ποινικών και διοικητικών κυρώσεων. Από την έκθεση του Νοεμβρίου 2018, η Γενική Εισαγγελία έχει ασκήσει αποτελεσματική δίωξη για αδικήματα διαφθοράς που δεν εμπίπτουν στην αρ</w:t>
      </w:r>
      <w:r>
        <w:rPr>
          <w:rFonts w:ascii="Times New Roman" w:hAnsi="Times New Roman"/>
          <w:noProof/>
        </w:rPr>
        <w:t>μοδιότητα της DNA</w:t>
      </w:r>
      <w:r>
        <w:rPr>
          <w:rStyle w:val="FootnoteReference"/>
          <w:rFonts w:ascii="Times New Roman" w:hAnsi="Times New Roman"/>
          <w:noProof/>
        </w:rPr>
        <w:footnoteReference w:id="52"/>
      </w:r>
      <w:r>
        <w:rPr>
          <w:noProof/>
        </w:rPr>
        <w:t>.</w:t>
      </w:r>
      <w:r>
        <w:rPr>
          <w:rStyle w:val="FootnoteReference"/>
          <w:rFonts w:ascii="Times New Roman" w:hAnsi="Times New Roman"/>
          <w:noProof/>
        </w:rPr>
        <w:t xml:space="preserve"> </w:t>
      </w:r>
      <w:r>
        <w:rPr>
          <w:rFonts w:ascii="Times New Roman" w:hAnsi="Times New Roman"/>
          <w:noProof/>
        </w:rPr>
        <w:t>Ωστόσο, η πίεση που ασκείται σε αυτά τα βασικά θεσμικά όργανα, όπως περιγράφηκε ανωτέρω,</w:t>
      </w:r>
      <w:r>
        <w:rPr>
          <w:rStyle w:val="FootnoteReference"/>
          <w:rFonts w:ascii="Times New Roman" w:hAnsi="Times New Roman"/>
          <w:noProof/>
        </w:rPr>
        <w:footnoteReference w:id="53"/>
      </w:r>
      <w:r>
        <w:rPr>
          <w:rFonts w:ascii="Times New Roman" w:hAnsi="Times New Roman"/>
          <w:noProof/>
        </w:rPr>
        <w:t xml:space="preserve"> και οι νομοθετικές τροποποιήσεις που βρίσκονται σε ισχύ ή που έχουν εγκριθεί από το Κοινοβούλιο έχουν αναπόφευκτα αρνητικό αντίκτυπο στην καταπολέ</w:t>
      </w:r>
      <w:r>
        <w:rPr>
          <w:rFonts w:ascii="Times New Roman" w:hAnsi="Times New Roman"/>
          <w:noProof/>
        </w:rPr>
        <w:t>μηση της διαφθοράς, κυρίως επειδή εκπέμπουν αντιφατικά μηνύματα όσον αφορά την πολιτική στήριξη για τη συνέχιση της δράσης για την πρόληψη και την επιβολή κυρώσεων σε περιπτώσεις διαφθοράς. Στις εν λόγω πρωτοβουλίες περιλαμβάνονται, μεταξύ άλλων, οι τροποπ</w:t>
      </w:r>
      <w:r>
        <w:rPr>
          <w:rFonts w:ascii="Times New Roman" w:hAnsi="Times New Roman"/>
          <w:noProof/>
        </w:rPr>
        <w:t xml:space="preserve">οιήσεις των ποινικών κωδίκων καθώς και του νομικού πλαισίου περί ακεραιότητας, με δυνητικό αντίκτυπο σε όλα τα επίπεδα της δημόσιας διοίκησης. </w:t>
      </w:r>
    </w:p>
    <w:p w:rsidR="00B1412B" w:rsidRDefault="00237EF8">
      <w:pPr>
        <w:spacing w:after="120" w:line="240" w:lineRule="auto"/>
        <w:jc w:val="both"/>
        <w:rPr>
          <w:rFonts w:ascii="Times New Roman" w:eastAsia="Times New Roman" w:hAnsi="Times New Roman"/>
          <w:i/>
          <w:noProof/>
          <w:sz w:val="24"/>
          <w:szCs w:val="24"/>
        </w:rPr>
      </w:pPr>
      <w:r>
        <w:rPr>
          <w:rFonts w:ascii="Times New Roman" w:hAnsi="Times New Roman"/>
          <w:i/>
          <w:noProof/>
        </w:rPr>
        <w:t>Εθνική υπηρεσία για τη διαχείριση των κατασχεθέντων περιουσιακών στοιχείων</w:t>
      </w:r>
    </w:p>
    <w:p w:rsidR="00B1412B" w:rsidRDefault="00237EF8">
      <w:pPr>
        <w:autoSpaceDE w:val="0"/>
        <w:autoSpaceDN w:val="0"/>
        <w:adjustRightInd w:val="0"/>
        <w:spacing w:after="120" w:line="240" w:lineRule="auto"/>
        <w:jc w:val="both"/>
        <w:rPr>
          <w:rFonts w:ascii="Times New Roman" w:hAnsi="Times New Roman"/>
          <w:noProof/>
          <w:color w:val="000000"/>
          <w:sz w:val="24"/>
          <w:szCs w:val="24"/>
        </w:rPr>
      </w:pPr>
      <w:r>
        <w:rPr>
          <w:rFonts w:ascii="Times New Roman" w:hAnsi="Times New Roman"/>
          <w:noProof/>
        </w:rPr>
        <w:t>Η εθνική υπηρεσία για τη διαχείριση τ</w:t>
      </w:r>
      <w:r>
        <w:rPr>
          <w:rFonts w:ascii="Times New Roman" w:hAnsi="Times New Roman"/>
          <w:noProof/>
        </w:rPr>
        <w:t>ων κατασχεθέντων περιουσιακών στοιχείων (ANABI) είναι πλέον πλήρως επιχειρησιακή, συνεχίζει τις εργασίες της και τις περιγράφει με σαφήνεια στις ετήσιες εκθέσεις της. Αυτό είναι ένα θετικό παράδειγμα στο οποίο η εξέταση των ορθών πρακτικών σε άλλα κράτη μέ</w:t>
      </w:r>
      <w:r>
        <w:rPr>
          <w:rFonts w:ascii="Times New Roman" w:hAnsi="Times New Roman"/>
          <w:noProof/>
        </w:rPr>
        <w:t>λη (Βέλγιο, Γαλλία, Ιταλία και Κάτω Χώρες) και άλλες συνέβαλε στη διαμόρφωση ενός επιτυχημένου σχεδίου.</w:t>
      </w:r>
    </w:p>
    <w:p w:rsidR="00B1412B" w:rsidRDefault="00237EF8">
      <w:pPr>
        <w:spacing w:after="120" w:line="240" w:lineRule="auto"/>
        <w:jc w:val="both"/>
        <w:rPr>
          <w:rFonts w:ascii="Times New Roman" w:eastAsia="Times New Roman" w:hAnsi="Times New Roman"/>
          <w:i/>
          <w:noProof/>
          <w:sz w:val="24"/>
          <w:szCs w:val="24"/>
        </w:rPr>
      </w:pPr>
      <w:r>
        <w:rPr>
          <w:rFonts w:ascii="Times New Roman" w:hAnsi="Times New Roman"/>
          <w:i/>
          <w:iCs/>
          <w:noProof/>
        </w:rPr>
        <w:t>Βάσει ανάλυσης του κριτηρίου αναφοράς 4,</w:t>
      </w:r>
      <w:r>
        <w:rPr>
          <w:rFonts w:ascii="Times New Roman" w:hAnsi="Times New Roman"/>
          <w:i/>
          <w:noProof/>
        </w:rPr>
        <w:t xml:space="preserve"> η Επιτροπή επαναλαμβάνει τα συμπεράσματα στα οποία είχε καταλήξει τον Νοέμβριο του 2018 </w:t>
      </w:r>
      <w:r>
        <w:rPr>
          <w:rFonts w:ascii="Times New Roman" w:hAnsi="Times New Roman"/>
          <w:i/>
          <w:iCs/>
          <w:noProof/>
        </w:rPr>
        <w:t>ότι απαιτούνται περισσό</w:t>
      </w:r>
      <w:r>
        <w:rPr>
          <w:rFonts w:ascii="Times New Roman" w:hAnsi="Times New Roman"/>
          <w:i/>
          <w:iCs/>
          <w:noProof/>
        </w:rPr>
        <w:t>τερα για την επίτευξη προόδου ως προς την εκπλήρωση του κριτηρίου αναφοράς. Η πρόληψη της διαφθοράς παρεμποδίζεται από πολιτικές εξελίξεις, γεγονός που υπονομεύει την αξιοπιστία της προόδου (σύσταση 11). Όσον αφορά τη σύσταση 12, η Επιτροπή επιβεβαιώνει ότ</w:t>
      </w:r>
      <w:r>
        <w:rPr>
          <w:rFonts w:ascii="Times New Roman" w:hAnsi="Times New Roman"/>
          <w:i/>
          <w:iCs/>
          <w:noProof/>
        </w:rPr>
        <w:t>ι εν λόγω σύσταση έχει υλοποιηθεί.</w:t>
      </w:r>
    </w:p>
    <w:p w:rsidR="00B1412B" w:rsidRDefault="00237EF8">
      <w:pPr>
        <w:keepNext/>
        <w:spacing w:before="360" w:after="120" w:line="240" w:lineRule="auto"/>
        <w:jc w:val="both"/>
        <w:rPr>
          <w:rFonts w:ascii="Times New Roman" w:hAnsi="Times New Roman"/>
          <w:b/>
          <w:noProof/>
          <w:sz w:val="24"/>
          <w:szCs w:val="24"/>
        </w:rPr>
      </w:pPr>
      <w:r>
        <w:rPr>
          <w:rFonts w:ascii="Times New Roman" w:hAnsi="Times New Roman"/>
          <w:b/>
          <w:noProof/>
        </w:rPr>
        <w:t xml:space="preserve">4. </w:t>
      </w:r>
      <w:r>
        <w:rPr>
          <w:rFonts w:ascii="Times New Roman" w:hAnsi="Times New Roman"/>
          <w:b/>
          <w:noProof/>
        </w:rPr>
        <w:tab/>
        <w:t xml:space="preserve">ΣΥΜΠΕΡΑΣΜΑ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Μετά την τελευταία έκθεση, η Επιτροπή χρειάστηκε να επανέλθει συχνά στις εξελίξεις στη Ρουμανία που σχετίζονται με τη μεταρρύθμιση του δικαστικού συστήματος και την καταπολέμηση της διαφθοράς. Σε καθεμία α</w:t>
      </w:r>
      <w:r>
        <w:rPr>
          <w:rFonts w:ascii="Times New Roman" w:hAnsi="Times New Roman"/>
          <w:noProof/>
        </w:rPr>
        <w:t>πό τις περιπτώσεις αυτές, η Επιτροπή επιβεβαίωσε την οπισθοδρόμηση από την πρόοδο που σημειώθηκε κατά τα προηγούμενα έτη, όπως καταγράφηκε στην έκθεση του Νοεμβρίου 2018.</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 xml:space="preserve">Η εξέλιξη της κατάστασης κατά τους πρώτους μήνες του 2019 προκάλεσε μεγάλη ανησυχία. </w:t>
      </w:r>
      <w:r>
        <w:rPr>
          <w:rFonts w:ascii="Times New Roman" w:hAnsi="Times New Roman"/>
          <w:noProof/>
        </w:rPr>
        <w:t>Ως εκ τούτου, τον Μάιο του 2019 η Επιτροπή χρειάστηκε να ενημερώσει τις ρουμανικές αρχές ότι, εάν δεν γίνουν σύντομα οι αναγκαίες βελτιώσεις, ή εάν γίνουν περαιτέρω αρνητικά βήματα, η Επιτροπή θα λάβει μέτρα βάσει του πλαισίου για το κράτος δικαίου, το οπο</w:t>
      </w:r>
      <w:r>
        <w:rPr>
          <w:rFonts w:ascii="Times New Roman" w:hAnsi="Times New Roman"/>
          <w:noProof/>
        </w:rPr>
        <w:t xml:space="preserve">ίο προβλέπει διάλογο για την αντιμετώπιση των ανησυχιών για το κράτος δικαίου (και, ως εκ τούτου, μπορεί να υπερβεί τις παραμέτρους του ΜΣΕ). </w:t>
      </w:r>
    </w:p>
    <w:p w:rsidR="00B1412B" w:rsidRDefault="00237EF8">
      <w:pPr>
        <w:spacing w:after="120" w:line="240" w:lineRule="auto"/>
        <w:jc w:val="both"/>
        <w:rPr>
          <w:rFonts w:ascii="Times New Roman" w:hAnsi="Times New Roman"/>
          <w:noProof/>
          <w:sz w:val="24"/>
          <w:szCs w:val="24"/>
        </w:rPr>
      </w:pPr>
      <w:r>
        <w:rPr>
          <w:rFonts w:ascii="Times New Roman" w:hAnsi="Times New Roman"/>
          <w:noProof/>
        </w:rPr>
        <w:t>Η Επιτροπή εξέφρασε την ικανοποίησή της για το γεγονός ότι, τον Ιούνιο, η ρουμανική κυβέρνηση εξέφρασε την επιθυμ</w:t>
      </w:r>
      <w:r>
        <w:rPr>
          <w:rFonts w:ascii="Times New Roman" w:hAnsi="Times New Roman"/>
          <w:noProof/>
        </w:rPr>
        <w:t>ία να αποκαταστήσει την προσέγγιση και ότι η προσπάθεια αυτή εκφράστηκε με νέους μηχανισμούς διαβούλευσης και διάλογο με το δικαστικό σώμα. Η Επιτροπή αναμένει οι αρμόδιες αρχές της Ρουμανίας να μετατρέψουν αυτή τη δέσμευση σε συγκεκριμένα νομοθετικά και ά</w:t>
      </w:r>
      <w:r>
        <w:rPr>
          <w:rFonts w:ascii="Times New Roman" w:hAnsi="Times New Roman"/>
          <w:noProof/>
        </w:rPr>
        <w:t>λλα μέτρα. Για να σημειωθεί απτή πρόοδος, θα πρέπει να γίνουν συγκεκριμένα βήματα, τόσο νομοθετικά όσο και διοικητικά, ώστε να υλοποιηθούν οι συστάσεις που συνοψίζονται στην παρούσα έκθεση. Τα κύρια θεσμικά όργανα της Ρουμανίας πρέπει από κοινού να επιδείξ</w:t>
      </w:r>
      <w:r>
        <w:rPr>
          <w:rFonts w:ascii="Times New Roman" w:hAnsi="Times New Roman"/>
          <w:noProof/>
        </w:rPr>
        <w:t>ουν ισχυρή προσήλωση στην ανεξαρτησία της δικαιοσύνης και στην καταπολέμηση της διαφθοράς ως απαραίτητους ακρογωνιαίους λίθους, καθώς και στη διασφάλιση της ικανότητας δράσης των εθνικών δικλείδων ασφαλείας και θεσμικών αντίβαρων.</w:t>
      </w:r>
    </w:p>
    <w:p w:rsidR="00B1412B" w:rsidRDefault="00237EF8">
      <w:pPr>
        <w:spacing w:after="120" w:line="240" w:lineRule="auto"/>
        <w:jc w:val="both"/>
        <w:rPr>
          <w:rFonts w:ascii="Times New Roman" w:hAnsi="Times New Roman"/>
          <w:noProof/>
          <w:sz w:val="24"/>
          <w:szCs w:val="24"/>
          <w:highlight w:val="yellow"/>
        </w:rPr>
      </w:pPr>
      <w:r>
        <w:rPr>
          <w:rFonts w:ascii="Times New Roman" w:hAnsi="Times New Roman"/>
          <w:noProof/>
        </w:rPr>
        <w:t>Η Επιτροπή θα συνεχίσει ν</w:t>
      </w:r>
      <w:r>
        <w:rPr>
          <w:rFonts w:ascii="Times New Roman" w:hAnsi="Times New Roman"/>
          <w:noProof/>
        </w:rPr>
        <w:t>α παρακολουθεί στενά τις εξελίξεις μέσω του ΜΣΕ. Εκφράζει τη λύπη της για το γεγονός ότι η Ρουμανία δεν συμμορφώθηκε με τις συστάσεις του Νοεμβρίου 2018, οι οποίες ήταν απολύτως σύμφωνες με τις θέσεις άλλων θεσμικών οργάνων της ΕΕ. Όπως αναφέρεται στην έκθ</w:t>
      </w:r>
      <w:r>
        <w:rPr>
          <w:rFonts w:ascii="Times New Roman" w:hAnsi="Times New Roman"/>
          <w:noProof/>
        </w:rPr>
        <w:t xml:space="preserve">εση του Ιανουαρίου 2017, για την επαναφορά της μεταρρυθμιστικής διαδικασίας σε τροχιά προόδου και την επανεκκίνηση της πορείας προς την κατεύθυνση της ολοκλήρωσης του ΜΣΕ, θα πρέπει να εφαρμοστούν οι συστάσεις αυτές. Η Επιτροπή είναι βέβαιη ότι η Ρουμανία </w:t>
      </w:r>
      <w:r>
        <w:rPr>
          <w:rFonts w:ascii="Times New Roman" w:hAnsi="Times New Roman"/>
          <w:noProof/>
        </w:rPr>
        <w:t>θα μπορούσε να δώσει νέα ώθηση στην εκπλήρωση των στόχων του ΜΣΕ και είναι έτοιμη να βοηθήσει τις ρουμανικές αρχές προς τον σκοπό αυτό.</w:t>
      </w:r>
    </w:p>
    <w:sectPr w:rsidR="00B1412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2B" w:rsidRDefault="00237EF8">
      <w:pPr>
        <w:spacing w:after="0" w:line="240" w:lineRule="auto"/>
      </w:pPr>
      <w:r>
        <w:separator/>
      </w:r>
    </w:p>
  </w:endnote>
  <w:endnote w:type="continuationSeparator" w:id="0">
    <w:p w:rsidR="00B1412B" w:rsidRDefault="00237EF8">
      <w:pPr>
        <w:spacing w:after="0" w:line="240" w:lineRule="auto"/>
      </w:pPr>
      <w:r>
        <w:continuationSeparator/>
      </w:r>
    </w:p>
  </w:endnote>
  <w:endnote w:type="continuationNotice" w:id="1">
    <w:p w:rsidR="00B1412B" w:rsidRDefault="00B14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237EF8">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237EF8">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2B" w:rsidRDefault="00237EF8">
      <w:pPr>
        <w:spacing w:after="0" w:line="240" w:lineRule="auto"/>
      </w:pPr>
      <w:r>
        <w:separator/>
      </w:r>
    </w:p>
  </w:footnote>
  <w:footnote w:type="continuationSeparator" w:id="0">
    <w:p w:rsidR="00B1412B" w:rsidRDefault="00237EF8">
      <w:pPr>
        <w:spacing w:after="0" w:line="240" w:lineRule="auto"/>
      </w:pPr>
      <w:r>
        <w:continuationSeparator/>
      </w:r>
    </w:p>
  </w:footnote>
  <w:footnote w:type="continuationNotice" w:id="1">
    <w:p w:rsidR="00B1412B" w:rsidRDefault="00B1412B">
      <w:pPr>
        <w:spacing w:after="0" w:line="240" w:lineRule="auto"/>
      </w:pPr>
    </w:p>
  </w:footnote>
  <w:footnote w:id="2">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Έπειτα από τα συμπεράσματα του Συμβουλίου των Υπουργών της 17ης Οκτωβρίου 2006</w:t>
      </w:r>
      <w:r>
        <w:rPr>
          <w:rFonts w:ascii="Times New Roman" w:hAnsi="Times New Roman"/>
        </w:rPr>
        <w:t xml:space="preserve"> (13339/06), ο μηχανισμός θεσπίστηκε με απόφαση της Επιτροπής της 13ης Δεκεμβρίου 2006 (C(2006) 6569).</w:t>
      </w:r>
    </w:p>
  </w:footnote>
  <w:footnote w:id="3">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t>Συμπεράσματα του Συμβουλίου σχετικά με τον μηχανισμό συνεργασίας και ελέγχου, της 12ης Δεκεμβρίου 2017</w:t>
      </w:r>
      <w:hyperlink r:id="rId1" w:history="1">
        <w:r>
          <w:rPr>
            <w:rStyle w:val="Hyperlink"/>
            <w:rFonts w:ascii="Times New Roman" w:hAnsi="Times New Roman"/>
          </w:rPr>
          <w:t xml:space="preserve"> - https://ec.europa.eu/info/sites/info/files/20171212-st15587_en.pdf</w:t>
        </w:r>
      </w:hyperlink>
      <w:r>
        <w:rPr>
          <w:rStyle w:val="Hyperlink"/>
          <w:rFonts w:ascii="Times New Roman" w:hAnsi="Times New Roman"/>
        </w:rPr>
        <w:t>.</w:t>
      </w:r>
      <w:r>
        <w:rPr>
          <w:rFonts w:ascii="Times New Roman" w:hAnsi="Times New Roman"/>
        </w:rPr>
        <w:t xml:space="preserve"> Τα τέσσερα κριτήρια αναφοράς που ισχύουν για τη Ρουμανία καθορίζονται στη συνοδευτική τεχνική έκθεση, σελίδα 1.</w:t>
      </w:r>
    </w:p>
  </w:footnote>
  <w:footnote w:id="4">
    <w:p w:rsidR="00B1412B" w:rsidRDefault="00237EF8">
      <w:pPr>
        <w:pStyle w:val="FootnoteText"/>
        <w:tabs>
          <w:tab w:val="left" w:pos="284"/>
        </w:tabs>
        <w:spacing w:after="0" w:line="240" w:lineRule="auto"/>
        <w:ind w:left="380" w:hanging="380"/>
        <w:contextualSpacing/>
        <w:jc w:val="both"/>
        <w:rPr>
          <w:rFonts w:ascii="Times New Roman" w:hAnsi="Times New Roman"/>
          <w:lang w:val="en-US"/>
        </w:rPr>
      </w:pPr>
      <w:r>
        <w:rPr>
          <w:rStyle w:val="FootnoteReference"/>
          <w:rFonts w:ascii="Times New Roman" w:hAnsi="Times New Roman"/>
        </w:rPr>
        <w:footnoteRef/>
      </w:r>
      <w:r>
        <w:rPr>
          <w:rStyle w:val="FootnoteReference"/>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COM (2017) 44 - </w:t>
      </w:r>
      <w:hyperlink r:id="rId2" w:history="1">
        <w:r>
          <w:rPr>
            <w:rStyle w:val="Hyperlink"/>
            <w:rFonts w:ascii="Times New Roman" w:hAnsi="Times New Roman"/>
            <w:lang w:val="en-US"/>
          </w:rPr>
          <w:t>https://ec.europa.eu/info/files/progress-report-romania-2017-com-2017-44_en</w:t>
        </w:r>
      </w:hyperlink>
      <w:r>
        <w:rPr>
          <w:rFonts w:ascii="Times New Roman" w:hAnsi="Times New Roman"/>
          <w:lang w:val="en-US"/>
        </w:rPr>
        <w:t xml:space="preserve">. </w:t>
      </w:r>
    </w:p>
  </w:footnote>
  <w:footnote w:id="5">
    <w:p w:rsidR="00B1412B" w:rsidRDefault="00237EF8">
      <w:pPr>
        <w:pStyle w:val="FootnoteText"/>
        <w:tabs>
          <w:tab w:val="left" w:pos="284"/>
        </w:tabs>
        <w:spacing w:after="0" w:line="240" w:lineRule="auto"/>
        <w:ind w:left="380" w:hanging="380"/>
        <w:contextualSpacing/>
        <w:jc w:val="both"/>
        <w:rPr>
          <w:rFonts w:ascii="Times New Roman" w:hAnsi="Times New Roman"/>
          <w:lang w:val="en-US"/>
        </w:rPr>
      </w:pPr>
      <w:r>
        <w:rPr>
          <w:rStyle w:val="FootnoteReference"/>
          <w:rFonts w:ascii="Times New Roman" w:hAnsi="Times New Roman"/>
        </w:rPr>
        <w:footnoteRef/>
      </w:r>
      <w:r>
        <w:rPr>
          <w:rStyle w:val="FootnoteReference"/>
          <w:rFonts w:ascii="Times New Roman" w:hAnsi="Times New Roman"/>
          <w:lang w:val="en-US"/>
        </w:rPr>
        <w:t xml:space="preserve"> </w:t>
      </w:r>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COM(2017) 751 - </w:t>
      </w:r>
      <w:hyperlink r:id="rId3" w:history="1">
        <w:r>
          <w:rPr>
            <w:rStyle w:val="Hyperlink"/>
            <w:rFonts w:ascii="Times New Roman" w:hAnsi="Times New Roman"/>
            <w:lang w:val="en-US"/>
          </w:rPr>
          <w:t>https://ec.europa.eu/info/files/progress-report-romania-2017-com-2017-751_en</w:t>
        </w:r>
      </w:hyperlink>
      <w:r>
        <w:rPr>
          <w:rStyle w:val="Hyperlink"/>
          <w:rFonts w:ascii="Times New Roman" w:hAnsi="Times New Roman"/>
          <w:lang w:val="en-US"/>
        </w:rPr>
        <w:t>.</w:t>
      </w:r>
    </w:p>
  </w:footnote>
  <w:footnote w:id="6">
    <w:p w:rsidR="00B1412B" w:rsidRDefault="00237EF8">
      <w:pPr>
        <w:pStyle w:val="FootnoteText"/>
        <w:tabs>
          <w:tab w:val="left" w:pos="284"/>
        </w:tabs>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ab/>
        <w:t>Συμπεράσματα του Συμβουλίου σχετικά με τον μηχανισμό συνεργασίας και ελέγχου, της 12ης Δεκεμβρίου 2017</w:t>
      </w:r>
      <w:hyperlink r:id="rId4" w:history="1">
        <w:r>
          <w:rPr>
            <w:rStyle w:val="Hyperlink"/>
            <w:rFonts w:ascii="Times New Roman" w:hAnsi="Times New Roman"/>
          </w:rPr>
          <w:t>https://ec.europa.eu/info/sites/info/files/20171212-st15587_en.pdf</w:t>
        </w:r>
      </w:hyperlink>
      <w:r>
        <w:rPr>
          <w:rStyle w:val="Hyperlink"/>
          <w:rFonts w:ascii="Times New Roman" w:hAnsi="Times New Roman"/>
        </w:rPr>
        <w:t>.</w:t>
      </w:r>
    </w:p>
  </w:footnote>
  <w:footnote w:id="7">
    <w:p w:rsidR="00B1412B" w:rsidRDefault="00237EF8">
      <w:pPr>
        <w:pStyle w:val="FootnoteText"/>
        <w:spacing w:after="0" w:line="240" w:lineRule="auto"/>
        <w:ind w:left="380" w:hanging="380"/>
        <w:contextualSpacing/>
        <w:jc w:val="both"/>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w:t>
      </w:r>
      <w:r>
        <w:rPr>
          <w:rFonts w:ascii="Times New Roman" w:hAnsi="Times New Roman"/>
          <w:lang w:val="en-US"/>
        </w:rPr>
        <w:tab/>
        <w:t xml:space="preserve">COM(2018) 851 final - </w:t>
      </w:r>
      <w:hyperlink r:id="rId5" w:history="1">
        <w:r>
          <w:rPr>
            <w:rStyle w:val="Hyperlink"/>
            <w:rFonts w:ascii="Times New Roman" w:hAnsi="Times New Roman"/>
            <w:lang w:val="en-US"/>
          </w:rPr>
          <w:t>https://ec.europa.eu/info</w:t>
        </w:r>
        <w:r>
          <w:rPr>
            <w:rStyle w:val="Hyperlink"/>
            <w:rFonts w:ascii="Times New Roman" w:hAnsi="Times New Roman"/>
            <w:lang w:val="en-US"/>
          </w:rPr>
          <w:t>/sites/info/files/progress-report-romania-2018-com-2018-com-2018-851_en.pdf</w:t>
        </w:r>
      </w:hyperlink>
      <w:r>
        <w:rPr>
          <w:rFonts w:ascii="Times New Roman" w:hAnsi="Times New Roman"/>
          <w:lang w:val="en-US"/>
        </w:rPr>
        <w:t xml:space="preserve"> </w:t>
      </w:r>
    </w:p>
  </w:footnote>
  <w:footnote w:id="8">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ab/>
        <w:t>Μη νομοθετικό ψήφισμα του Ευρωπαϊκού Κοινοβουλίου σχετικά με το κράτος δικαίου στη Ρουμανία, της 13ης Νοεμβρίου 2018, P8_TA-PROV(2018)0446. Στο ψήφισμα, το κοινοβούλιο και η κυβ</w:t>
      </w:r>
      <w:r>
        <w:rPr>
          <w:rFonts w:ascii="Times New Roman" w:hAnsi="Times New Roman"/>
        </w:rPr>
        <w:t>έρνηση της Ρουμανίας καλούνταν να αντιμετωπίσουν τα ζητήματα ακολουθώντας διαδικασία διαφανή και χωρίς αποκλεισμούς, να συνεργαστούν και να εφαρμόσουν πλήρως όλες τις συστάσεις της Ευρωπαϊκής Επιτροπής, της ομάδας κρατών του Συμβουλίου της Ευρώπης κατά της</w:t>
      </w:r>
      <w:r>
        <w:rPr>
          <w:rFonts w:ascii="Times New Roman" w:hAnsi="Times New Roman"/>
        </w:rPr>
        <w:t xml:space="preserve"> διαφθοράς (GRECO) και της Επιτροπής της Βενετίας, και να απέχουν από οποιαδήποτε μεταρρύθμιση που θα μπορούσε να θέσει σε κίνδυνο τον σεβασμό για το κράτος δικαίου, συμπεριλαμβανομένης της ανεξαρτησίας της δικαστικής εξουσίας.</w:t>
      </w:r>
    </w:p>
  </w:footnote>
  <w:footnote w:id="9">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ab/>
        <w:t>Στα συμπεράσματά του της 1</w:t>
      </w:r>
      <w:r>
        <w:rPr>
          <w:rFonts w:ascii="Times New Roman" w:hAnsi="Times New Roman"/>
        </w:rPr>
        <w:t>2ης Δεκεμβρίου 2018, το Συμβούλιο κάλεσε τη Ρουμανία «να αποκαταστήσει τη θετική δυναμική των μεταρρυθμίσεων και να αναλάβει άμεση δράση, ιδίως όσον αφορά τις πρόσθετες βασικές συστάσεις που διατύπωσε η Επιτροπή σχετικά με την ανεξαρτησία της δικαστικής εξ</w:t>
      </w:r>
      <w:r>
        <w:rPr>
          <w:rFonts w:ascii="Times New Roman" w:hAnsi="Times New Roman"/>
        </w:rPr>
        <w:t>ουσίας και της μεταρρύθμισης του δικαστικού συστήματος, την καταπολέμηση της διαφθοράς σε όλα τα επίπεδα, καθώς και άλλα ζητήματα ακεραιότητας που επισημαίνονται στην έκθεση» (</w:t>
      </w:r>
      <w:hyperlink r:id="rId6" w:history="1">
        <w:r>
          <w:rPr>
            <w:rStyle w:val="Hyperlink"/>
            <w:rFonts w:ascii="Times New Roman" w:hAnsi="Times New Roman"/>
          </w:rPr>
          <w:t>h</w:t>
        </w:r>
        <w:r>
          <w:rPr>
            <w:rStyle w:val="Hyperlink"/>
            <w:rFonts w:ascii="Times New Roman" w:hAnsi="Times New Roman"/>
          </w:rPr>
          <w:t>ttps://ec.europa.eu/info/sites/info/files/2018-st15187_en.pdf</w:t>
        </w:r>
      </w:hyperlink>
      <w:r>
        <w:rPr>
          <w:rFonts w:ascii="Times New Roman" w:hAnsi="Times New Roman"/>
        </w:rPr>
        <w:t>:).</w:t>
      </w:r>
    </w:p>
  </w:footnote>
  <w:footnote w:id="10">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ab/>
        <w:t>Ειδικότερα, γνωμοδοτήσεις 924/2018 της Επιτροπής της Βενετίας σχετικά με τις τροπολογίες των νόμων περί δικαιοσύνης και 930/2018 σχετικά με τις τροπολογίες των ποινικών κωδίκων. GRECO AdHpR</w:t>
      </w:r>
      <w:r>
        <w:rPr>
          <w:rFonts w:ascii="Times New Roman" w:hAnsi="Times New Roman"/>
        </w:rPr>
        <w:t>ep (2018) 2 σχετικά με τις τροπολογίες των νόμων περί δικαιοσύνης. Η ομάδα κρατών κατά της διαφθοράς (GRECO) δημιουργήθηκε το 1999 από το Συμβούλιο της Ευρώπης με σκοπό την παρακολούθηση της συμμόρφωσης με τα πρότυπα του οργανισμού κατά της διαφθοράς.</w:t>
      </w:r>
    </w:p>
  </w:footnote>
  <w:footnote w:id="11">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ab/>
        <w:t>Το</w:t>
      </w:r>
      <w:r>
        <w:rPr>
          <w:rFonts w:ascii="Times New Roman" w:hAnsi="Times New Roman"/>
        </w:rPr>
        <w:t xml:space="preserve"> πλαίσιο για το κράτος δικαίου δημιουργήθηκε από την Επιτροπή το 2014 για να αποτρέψει την εμφάνιση συστημικής απειλής κατά του κράτους δικαίου, καθώς σε εκείνο το σημείο θα απαιτείτο διαδικασία βάσει του άρθρου 7 ΣΕΕ. Προβλέπει διαδικασία διαλόγου κατά στ</w:t>
      </w:r>
      <w:r>
        <w:rPr>
          <w:rFonts w:ascii="Times New Roman" w:hAnsi="Times New Roman"/>
        </w:rPr>
        <w:t>άδια με ένα κράτος μέλος, η οποία διαρθρώνεται με γνωμοδοτήσεις και συστάσεις της Επιτροπής. Το πεδίο εφαρμογής του πλαισίου για το κράτος δικαίου είναι ευρύτερο από τα κριτήρια αναφοράς του ΜΣΕ και καλύπτει όλες τις πτυχές του κράτους δικαίου.</w:t>
      </w:r>
    </w:p>
  </w:footnote>
  <w:footnote w:id="12">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Στις 26 </w:t>
      </w:r>
      <w:r>
        <w:rPr>
          <w:rFonts w:ascii="Times New Roman" w:hAnsi="Times New Roman"/>
        </w:rPr>
        <w:t>Μαΐου, πραγματοποιήθηκε δημοψήφισμα για τη δικαιοσύνη που προκήρυξε ο Πρόεδρος της Ρουμανίας με ποσοστό συμμετοχής άνω του 40 %. Ποσοστό μεγαλύτερο από το 80 % των εκλογέων ψήφισε υπέρ της απαγόρευσης της αμνηστίας και της χάρης για αδικήματα διαφθοράς και</w:t>
      </w:r>
      <w:r>
        <w:rPr>
          <w:rFonts w:ascii="Times New Roman" w:hAnsi="Times New Roman"/>
        </w:rPr>
        <w:t xml:space="preserve"> το 81 % ψήφισε υπέρ της απαγόρευσης της έκδοσης από την κυβέρνηση έκτακτων διαταγμάτων στον τομέα των εγκλημάτων, των ποινών και της οργάνωσης του δικαστικού συστήματος, και υπέρ της επέκτασης του δικαιώματος προσβολής διαταγμάτων απευθείας στο Συνταγματι</w:t>
      </w:r>
      <w:r>
        <w:rPr>
          <w:rFonts w:ascii="Times New Roman" w:hAnsi="Times New Roman"/>
        </w:rPr>
        <w:t>κό Δικαστήριο.</w:t>
      </w:r>
    </w:p>
  </w:footnote>
  <w:footnote w:id="13">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Βλέπε έκθεση προόδου 2018, σ. 2.</w:t>
      </w:r>
    </w:p>
  </w:footnote>
  <w:footnote w:id="14">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Η λειτουργία των υπηρεσιών πληροφοριών δεν αποτελεί αρμοδιότητα της ΕΕ και δεν εμπίπτει στα κριτήρια αναφοράς του ΜΣΕ.</w:t>
      </w:r>
    </w:p>
  </w:footnote>
  <w:footnote w:id="15">
    <w:p w:rsidR="00B1412B" w:rsidRDefault="00237EF8">
      <w:pPr>
        <w:pStyle w:val="FootnoteText"/>
        <w:tabs>
          <w:tab w:val="left" w:pos="284"/>
        </w:tabs>
        <w:spacing w:after="0" w:line="240" w:lineRule="auto"/>
        <w:ind w:left="380" w:hanging="380"/>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rPr>
        <w:tab/>
      </w:r>
      <w:r>
        <w:rPr>
          <w:rFonts w:ascii="Times New Roman" w:hAnsi="Times New Roman"/>
          <w:i/>
        </w:rPr>
        <w:t>Ενίσχυση του κράτους δικαίου εντός της Ένωσης - Στρατηγικό σχέδιο δράσης</w:t>
      </w:r>
      <w:r>
        <w:rPr>
          <w:rFonts w:ascii="Times New Roman" w:hAnsi="Times New Roman"/>
        </w:rPr>
        <w:t>,</w:t>
      </w:r>
      <w:r>
        <w:t xml:space="preserve"> </w:t>
      </w:r>
      <w:r>
        <w:rPr>
          <w:rFonts w:ascii="Times New Roman" w:hAnsi="Times New Roman"/>
        </w:rPr>
        <w:t>COM</w:t>
      </w:r>
      <w:r>
        <w:rPr>
          <w:rFonts w:ascii="Times New Roman" w:hAnsi="Times New Roman"/>
        </w:rPr>
        <w:t xml:space="preserve">/2019/343 final. Το πλαίσιο αυτό θα συμπληρώσει το πλαίσιο δράσης για το κράτος δικαίου του 2014    </w:t>
      </w:r>
    </w:p>
  </w:footnote>
  <w:footnote w:id="16">
    <w:p w:rsidR="00B1412B" w:rsidRDefault="00237EF8">
      <w:pPr>
        <w:pStyle w:val="FootnoteText"/>
        <w:tabs>
          <w:tab w:val="left" w:pos="284"/>
        </w:tabs>
        <w:spacing w:after="0" w:line="240" w:lineRule="auto"/>
        <w:ind w:left="380" w:hanging="380"/>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i/>
        </w:rPr>
        <w:t xml:space="preserve">Πολιτικές κατευθύνσεις για την επόμενη Ευρωπαϊκή Επιτροπή (2019-2024) — «Μια Ένωση που επιδιώκει περισσότερα: Το πρόγραμμά μου για την Ευρώπη», σ. 18-19, </w:t>
      </w:r>
      <w:r>
        <w:rPr>
          <w:rFonts w:ascii="Times New Roman" w:hAnsi="Times New Roman"/>
        </w:rPr>
        <w:t>βλ.</w:t>
      </w:r>
      <w:hyperlink r:id="rId7" w:history="1">
        <w:r>
          <w:rPr>
            <w:rStyle w:val="Hyperlink"/>
            <w:rFonts w:ascii="Times New Roman" w:hAnsi="Times New Roman"/>
          </w:rPr>
          <w:t>https://ec.europa.eu/commission/sites/beta-political/files/political-guidelines-next-commission_el.pdf</w:t>
        </w:r>
      </w:hyperlink>
      <w:r>
        <w:rPr>
          <w:rFonts w:ascii="Times New Roman" w:hAnsi="Times New Roman"/>
        </w:rPr>
        <w:t xml:space="preserve">. </w:t>
      </w:r>
    </w:p>
  </w:footnote>
  <w:footnote w:id="17">
    <w:p w:rsidR="00B1412B" w:rsidRDefault="00237EF8">
      <w:pPr>
        <w:pStyle w:val="FootnoteText"/>
        <w:spacing w:after="0" w:line="240" w:lineRule="auto"/>
        <w:ind w:left="380" w:hanging="380"/>
        <w:contextualSpacing/>
        <w:jc w:val="both"/>
        <w:rPr>
          <w:rFonts w:ascii="Times New Roman" w:hAnsi="Times New Roman"/>
          <w:i/>
          <w:iCs/>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iCs/>
        </w:rPr>
        <w:t xml:space="preserve">Έκτακτα διατάγματα αριθ. 7/2019 της 20ής Φεβρουαρίου 2019 και αριθ. 12/2019 </w:t>
      </w:r>
      <w:r>
        <w:rPr>
          <w:rFonts w:ascii="Times New Roman" w:hAnsi="Times New Roman"/>
        </w:rPr>
        <w:t>της 5ης Μαρτίου 2019.</w:t>
      </w:r>
    </w:p>
  </w:footnote>
  <w:footnote w:id="18">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Βλ. επίσης την τεχνική</w:t>
      </w:r>
      <w:r>
        <w:rPr>
          <w:rFonts w:ascii="Times New Roman" w:hAnsi="Times New Roman"/>
        </w:rPr>
        <w:t xml:space="preserve"> έκθεση για περισσότερες λεπτομέρειες σχετικά με τις τροπολογίες.</w:t>
      </w:r>
    </w:p>
  </w:footnote>
  <w:footnote w:id="19">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Για παράδειγμα: Αναδρομική αύξηση των απαιτήσεων αρχαιότητας για τους εισαγγελείς, με την οποία ορισμένα άτομα αποκλείστηκαν από ορισμένες θέσεις· μείωση των απαιτήσεων και τροποποίηση </w:t>
      </w:r>
      <w:r>
        <w:rPr>
          <w:rFonts w:ascii="Times New Roman" w:hAnsi="Times New Roman"/>
        </w:rPr>
        <w:t>των διαδικασιών διορισμού της διοίκησης του Ειδικού Τμήματος, με την οποία επιτράπηκε ο διορισμός συγκεκριμένων προσώπων· και έγκριση του διορισμού των ανώτατων εισαγγελέων από την Ολομέλεια του Ανώτατου Δικαστικού Συμβουλίου, με την οποία αποφεύχθηκε η αρ</w:t>
      </w:r>
      <w:r>
        <w:rPr>
          <w:rFonts w:ascii="Times New Roman" w:hAnsi="Times New Roman"/>
        </w:rPr>
        <w:t>νητική γνώμη της εισαγγελικής αρχής.</w:t>
      </w:r>
    </w:p>
  </w:footnote>
  <w:footnote w:id="20">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Γνωμοδότηση 950/2019 της Επιτροπής της Βενετίας, σκέψη. 49.</w:t>
      </w:r>
    </w:p>
  </w:footnote>
  <w:footnote w:id="21">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Στο πλαίσιο αυτό θα πρέπει επίσης να αναφερθεί ότι το Ειδικό Τμήμα καταχώρισε ποινική έρευνα εις βάρος αρκετών μελών της Επιτροπής και του προσωπικ</w:t>
      </w:r>
      <w:r>
        <w:rPr>
          <w:rFonts w:ascii="Times New Roman" w:hAnsi="Times New Roman"/>
        </w:rPr>
        <w:t>ού της μετά από καταγγελία που υποβλήθηκε στις 30 Ιανουαρίου 2019, με την οποία κατηγορούνταν για κατάχρηση εν υπηρεσία, εσφαλμένη κοινοποίηση ψευδών πληροφοριών και σύσταση εγκληματικής ομάδας οργανωμένου εγκλήματος σε σχέση με την κατάρτιση της έκθεσης τ</w:t>
      </w:r>
      <w:r>
        <w:rPr>
          <w:rFonts w:ascii="Times New Roman" w:hAnsi="Times New Roman"/>
        </w:rPr>
        <w:t xml:space="preserve">ου ΜΣΕ του Νοεμβρίου 2018. Η έρευνα αυτή είχε επίσης ως στόχο την απερχόμενη Γενική Εισαγγελέα. Η Επιτροπή υπενθυμίζει ότι στο έδαφος κάθε κράτους μέλους τα μέλη της Επιτροπής και του προσωπικού της απολαύουν ασυλίας έναντι νομικών διαδικασιών που αφορούν </w:t>
      </w:r>
      <w:r>
        <w:rPr>
          <w:rFonts w:ascii="Times New Roman" w:hAnsi="Times New Roman"/>
        </w:rPr>
        <w:t>πράξεις τις οποίες τελούν υπό την επίσημη ιδιότητά τους, δυνάμει του πρωτοκόλλου περί των προνομίων και ασυλιών που προσαρτάται στις Συνθήκες.</w:t>
      </w:r>
      <w:r>
        <w:t xml:space="preserve"> </w:t>
      </w:r>
      <w:r>
        <w:rPr>
          <w:rFonts w:ascii="Times New Roman" w:hAnsi="Times New Roman"/>
        </w:rPr>
        <w:t>Παρά το γεγονός ότι οι ρουμανικές αρχές δεν ήταν αρμόδιες για τέτοια θέματα, το Ειδικό Τμήμα καταχώρισε την υπόθε</w:t>
      </w:r>
      <w:r>
        <w:rPr>
          <w:rFonts w:ascii="Times New Roman" w:hAnsi="Times New Roman"/>
        </w:rPr>
        <w:t>ση στις 11 Φεβρουαρίου και την έκλεισε μόλις στις 27 Μαρτίου, επικαλούμενο έλλειψη αποδεικτικών στοιχείων.   http://www.mpublic.ro/ro/content/c_28-03-2019-13-03</w:t>
      </w:r>
    </w:p>
  </w:footnote>
  <w:footnote w:id="22">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Ένα σημαντικό παράδειγμα αφορούσε μια ποινική υπόθεση κατά της πρώην Προϊσταμένης Εισαγγε</w:t>
      </w:r>
      <w:r>
        <w:rPr>
          <w:rFonts w:ascii="Times New Roman" w:hAnsi="Times New Roman"/>
        </w:rPr>
        <w:t>λέως της Εθνικής Διεύθυνσης Καταπολέμησης της Διαφθοράς ενώ ήταν υποψήφια για την ευρωπαϊκή εισαγγελική αρχή. Η χρονική στιγμή της έναρξης της ποινικής υπόθεσης και το χρονοδιάγραμμα των κλητεύσεων φαίνονταν σαν να είχαν σχεδιαστεί ειδικά για να παρεμποδίσ</w:t>
      </w:r>
      <w:r>
        <w:rPr>
          <w:rFonts w:ascii="Times New Roman" w:hAnsi="Times New Roman"/>
        </w:rPr>
        <w:t>ουν την εν λόγω υποψηφιότητα, και η απόφαση του Ανώτατου Ακυρωτικού Δικαστηρίου για τα προληπτικά μέτρα που εφαρμόστηκαν χαρακτήρισε την υπόθεση παράνομη. Το γεγονός ότι καταχωρίστηκε μια ακόμα υπόθεση που ενέπλεκε τη Γενική Εισαγγελέα φαινόταν να επιβεβαι</w:t>
      </w:r>
      <w:r>
        <w:rPr>
          <w:rFonts w:ascii="Times New Roman" w:hAnsi="Times New Roman"/>
        </w:rPr>
        <w:t xml:space="preserve">ώνει τη μορφή των μέτρων που ελήφθησαν κατά των ανώτερων δικαστών που ασκούν κριτική στο τμήμα. </w:t>
      </w:r>
    </w:p>
  </w:footnote>
  <w:footnote w:id="23">
    <w:p w:rsidR="00B1412B" w:rsidRDefault="00237EF8">
      <w:pPr>
        <w:pStyle w:val="FootnoteText"/>
        <w:spacing w:after="0" w:line="240" w:lineRule="auto"/>
        <w:ind w:left="380" w:hanging="380"/>
        <w:contextualSpacing/>
        <w:jc w:val="both"/>
      </w:pPr>
      <w:r>
        <w:rPr>
          <w:rStyle w:val="FootnoteReference"/>
          <w:rFonts w:ascii="Times New Roman" w:hAnsi="Times New Roman"/>
        </w:rPr>
        <w:footnoteRef/>
      </w:r>
      <w:r>
        <w:rPr>
          <w:rFonts w:ascii="Times New Roman" w:hAnsi="Times New Roman"/>
        </w:rPr>
        <w:t xml:space="preserve">     Βλ. τεχνική έκθεση για παραδείγματα και λεπτομέρειες.</w:t>
      </w:r>
    </w:p>
  </w:footnote>
  <w:footnote w:id="24">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Εν προκειμένω περιλαμβάνονται ενώσεις δικαστών, οργανώσεις της κοινωνίας των πολιτών και τα κ</w:t>
      </w:r>
      <w:r>
        <w:rPr>
          <w:rFonts w:ascii="Times New Roman" w:hAnsi="Times New Roman"/>
        </w:rPr>
        <w:t>όμματα της αντιπολίτευσης.</w:t>
      </w:r>
    </w:p>
  </w:footnote>
  <w:footnote w:id="25">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ab/>
        <w:t>Γνώμη σχετικά με την έκδοση έκτακτων διαταγμάτων αριθ. 7 και αριθ. 12 για την τροποποίηση των νόμων περί δικαιοσύνης, CDL-AD(2019)014, 21-22 Ιούνιος 2019) –</w:t>
      </w:r>
      <w:r>
        <w:t xml:space="preserve"> </w:t>
      </w:r>
      <w:hyperlink r:id="rId8" w:history="1">
        <w:r>
          <w:rPr>
            <w:rStyle w:val="Hyperlink"/>
            <w:rFonts w:ascii="Times New Roman" w:hAnsi="Times New Roman"/>
          </w:rPr>
          <w:t>https://www.venice.coe.int/webforms/documents/?pdf=CDL-AD (2019) 014-ε</w:t>
        </w:r>
      </w:hyperlink>
      <w:r>
        <w:rPr>
          <w:rFonts w:ascii="Times New Roman" w:hAnsi="Times New Roman"/>
        </w:rPr>
        <w:t xml:space="preserve"> </w:t>
      </w:r>
    </w:p>
  </w:footnote>
  <w:footnote w:id="26">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Η γνωμοδότηση επισημαίνει σοβαρά ερωτήματα σχετικά με την ορθότητα και το σκεπτικό ορισμένων αλλαγών.</w:t>
      </w:r>
    </w:p>
  </w:footnote>
  <w:footnote w:id="27">
    <w:p w:rsidR="00B1412B" w:rsidRDefault="00237EF8">
      <w:pPr>
        <w:pStyle w:val="FootnoteText"/>
        <w:spacing w:after="0" w:line="240" w:lineRule="auto"/>
        <w:ind w:left="380" w:hanging="380"/>
        <w:contextualSpacing/>
        <w:jc w:val="both"/>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w:t>
      </w:r>
      <w:r>
        <w:rPr>
          <w:rFonts w:ascii="Times New Roman" w:hAnsi="Times New Roman"/>
          <w:lang w:val="en-US"/>
        </w:rPr>
        <w:tab/>
        <w:t xml:space="preserve">GRECO AdHocRep(2019)1 </w:t>
      </w:r>
      <w:r>
        <w:rPr>
          <w:rFonts w:ascii="Times New Roman" w:hAnsi="Times New Roman"/>
        </w:rPr>
        <w:t>και</w:t>
      </w:r>
      <w:r>
        <w:rPr>
          <w:rFonts w:ascii="Times New Roman" w:hAnsi="Times New Roman"/>
          <w:lang w:val="en-US"/>
        </w:rPr>
        <w:t xml:space="preserve"> GRECO RC4(2019)11.</w:t>
      </w:r>
    </w:p>
  </w:footnote>
  <w:footnote w:id="28">
    <w:p w:rsidR="00B1412B" w:rsidRDefault="00237EF8">
      <w:pPr>
        <w:pStyle w:val="FootnoteText"/>
        <w:spacing w:after="0" w:line="240" w:lineRule="auto"/>
        <w:ind w:left="380" w:hanging="380"/>
        <w:contextualSpacing/>
        <w:jc w:val="both"/>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Μια </w:t>
      </w:r>
      <w:r>
        <w:rPr>
          <w:rFonts w:ascii="Times New Roman" w:hAnsi="Times New Roman"/>
        </w:rPr>
        <w:t>ομάδα εργασίας εντός του Υπουργείου Δικαιοσύνης, σε διαβούλευση με όλα τα δικαστικά σώματα και τις επαγγελματικές ενώσεις δικαστών προετοιμάζει αξιολόγηση. Στις 17 Σεπτεμβρίου 2019, ο υπουργός Δικαιοσύνης ανακοίνωσε ότι τα προκαταρκτικά συμπεράσματα στα οπ</w:t>
      </w:r>
      <w:r>
        <w:rPr>
          <w:rFonts w:ascii="Times New Roman" w:hAnsi="Times New Roman"/>
        </w:rPr>
        <w:t>οία κατέληξε σε επίπεδο εργασίας δεν στηρίζουν τη λειτουργία του Ειδικού Τμήματος υπό την παρούσα μορφή του.</w:t>
      </w:r>
    </w:p>
  </w:footnote>
  <w:footnote w:id="29">
    <w:p w:rsidR="00B1412B" w:rsidRDefault="00237EF8">
      <w:pPr>
        <w:pStyle w:val="FootnoteText"/>
        <w:spacing w:after="0" w:line="240" w:lineRule="auto"/>
        <w:ind w:left="380" w:hanging="380"/>
        <w:jc w:val="both"/>
        <w:rPr>
          <w:rFonts w:ascii="Times New Roman" w:hAnsi="Times New Roman"/>
        </w:rPr>
      </w:pPr>
      <w:r>
        <w:rPr>
          <w:rStyle w:val="FootnoteReference"/>
          <w:rFonts w:ascii="Times New Roman" w:hAnsi="Times New Roman"/>
        </w:rPr>
        <w:footnoteRef/>
      </w:r>
      <w:r>
        <w:rPr>
          <w:rFonts w:ascii="Times New Roman" w:hAnsi="Times New Roman"/>
        </w:rPr>
        <w:t xml:space="preserve">    Στις 2 Οκτωβρίου 2019, ο προϊστάμενος εισαγγελέας της διεύθυνσης για τη διερεύνηση του οργανωμένου εγκλήματος και της τρομοκρατίας (DIICOT) πα</w:t>
      </w:r>
      <w:r>
        <w:rPr>
          <w:rFonts w:ascii="Times New Roman" w:hAnsi="Times New Roman"/>
        </w:rPr>
        <w:t>ραιτήθηκε μετά από σκάνδαλα που σχετίζονταν με τις εν εξελίξει έρευνες και μετά από πολιτικές πιέσεις. Όλες οι ανώτατες εισαγγελικές αρμοδιότητες ασκούνται επί του παρόντος από προσωρινούς εισαγγελείς.</w:t>
      </w:r>
    </w:p>
  </w:footnote>
  <w:footnote w:id="30">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Παραδείγματα πειθαρχικών ερευνών σχετικών με δημ</w:t>
      </w:r>
      <w:r>
        <w:rPr>
          <w:rFonts w:ascii="Times New Roman" w:hAnsi="Times New Roman"/>
        </w:rPr>
        <w:t>όσιες δηλώσεις που επικρίνουν τις τρέχουσες μεταρρυθμίσεις:</w:t>
      </w:r>
    </w:p>
    <w:p w:rsidR="00B1412B" w:rsidRDefault="00237EF8">
      <w:pPr>
        <w:pStyle w:val="FootnoteText"/>
        <w:spacing w:after="0" w:line="240" w:lineRule="auto"/>
        <w:ind w:left="380" w:hanging="380"/>
        <w:contextualSpacing/>
        <w:jc w:val="both"/>
        <w:rPr>
          <w:rFonts w:ascii="Times New Roman" w:hAnsi="Times New Roman"/>
        </w:rPr>
      </w:pPr>
      <w:r>
        <w:rPr>
          <w:rFonts w:ascii="Times New Roman" w:hAnsi="Times New Roman"/>
        </w:rPr>
        <w:t xml:space="preserve">        </w:t>
      </w:r>
      <w:hyperlink r:id="rId9" w:history="1">
        <w:r>
          <w:rPr>
            <w:rStyle w:val="Hyperlink"/>
            <w:rFonts w:ascii="Times New Roman" w:hAnsi="Times New Roman"/>
          </w:rPr>
          <w:t>https://www.csm1909.ro/ViewFile.ashx?guid=2be852a5-365b-44e2-990d-47696231789a|InfoCS</w:t>
        </w:r>
        <w:r>
          <w:rPr>
            <w:rStyle w:val="Hyperlink"/>
            <w:rFonts w:ascii="Times New Roman" w:hAnsi="Times New Roman"/>
          </w:rPr>
          <w:t>M</w:t>
        </w:r>
      </w:hyperlink>
      <w:r>
        <w:rPr>
          <w:rFonts w:ascii="Times New Roman" w:hAnsi="Times New Roman"/>
        </w:rPr>
        <w:t xml:space="preserve"> ; </w:t>
      </w:r>
    </w:p>
    <w:p w:rsidR="00B1412B" w:rsidRDefault="00237EF8">
      <w:pPr>
        <w:pStyle w:val="FootnoteText"/>
        <w:spacing w:after="0" w:line="240" w:lineRule="auto"/>
        <w:ind w:left="380" w:hanging="380"/>
        <w:contextualSpacing/>
        <w:jc w:val="both"/>
        <w:rPr>
          <w:rFonts w:ascii="Times New Roman" w:hAnsi="Times New Roman"/>
        </w:rPr>
      </w:pPr>
      <w:r>
        <w:rPr>
          <w:rFonts w:ascii="Times New Roman" w:hAnsi="Times New Roman"/>
        </w:rPr>
        <w:t xml:space="preserve">        </w:t>
      </w:r>
      <w:hyperlink r:id="rId10" w:history="1">
        <w:r>
          <w:rPr>
            <w:rStyle w:val="Hyperlink"/>
            <w:rFonts w:ascii="Times New Roman" w:hAnsi="Times New Roman"/>
          </w:rPr>
          <w:t>https://www.csm1909.ro/ViewFile.ashx?guid=38b70eb6-641a-4794-9109-e6805dfd778e|InfoCSM</w:t>
        </w:r>
      </w:hyperlink>
      <w:r>
        <w:rPr>
          <w:rFonts w:ascii="Times New Roman" w:hAnsi="Times New Roman"/>
        </w:rPr>
        <w:t>,</w:t>
      </w:r>
    </w:p>
    <w:p w:rsidR="00B1412B" w:rsidRDefault="00237EF8">
      <w:pPr>
        <w:pStyle w:val="FootnoteText"/>
        <w:spacing w:after="0" w:line="240" w:lineRule="auto"/>
        <w:ind w:left="380" w:hanging="380"/>
        <w:contextualSpacing/>
        <w:jc w:val="both"/>
        <w:rPr>
          <w:rFonts w:ascii="Times New Roman" w:hAnsi="Times New Roman"/>
        </w:rPr>
      </w:pPr>
      <w:r>
        <w:rPr>
          <w:rFonts w:ascii="Times New Roman" w:hAnsi="Times New Roman"/>
        </w:rPr>
        <w:t xml:space="preserve">        </w:t>
      </w:r>
      <w:hyperlink r:id="rId11" w:history="1">
        <w:r>
          <w:rPr>
            <w:rStyle w:val="Hyperlink"/>
            <w:rFonts w:ascii="Times New Roman" w:hAnsi="Times New Roman"/>
          </w:rPr>
          <w:t>http://www.inspectiajudiciara.ro/Download.aspx?guid=7c561595-2efe-4ce4-abd7-3150b5d52274|InfoCSM</w:t>
        </w:r>
      </w:hyperlink>
    </w:p>
    <w:p w:rsidR="00B1412B" w:rsidRDefault="00237EF8">
      <w:pPr>
        <w:pStyle w:val="FootnoteText"/>
        <w:spacing w:after="0" w:line="240" w:lineRule="auto"/>
        <w:ind w:left="380" w:hanging="380"/>
        <w:contextualSpacing/>
        <w:jc w:val="both"/>
        <w:rPr>
          <w:rFonts w:ascii="Times New Roman" w:hAnsi="Times New Roman"/>
        </w:rPr>
      </w:pPr>
      <w:r>
        <w:rPr>
          <w:rFonts w:ascii="Times New Roman" w:hAnsi="Times New Roman"/>
        </w:rPr>
        <w:t>        </w:t>
      </w:r>
      <w:hyperlink r:id="rId12" w:history="1">
        <w:r>
          <w:rPr>
            <w:rStyle w:val="Hyperlink"/>
            <w:rFonts w:ascii="Times New Roman" w:hAnsi="Times New Roman"/>
          </w:rPr>
          <w:t>http://portal.just.ro/36/SitePages/Dosar.aspx?id_dosar=200000000361685&amp;id_inst=36</w:t>
        </w:r>
      </w:hyperlink>
    </w:p>
    <w:p w:rsidR="00B1412B" w:rsidRDefault="00237EF8">
      <w:pPr>
        <w:pStyle w:val="FootnoteText"/>
        <w:spacing w:after="0" w:line="240" w:lineRule="auto"/>
        <w:ind w:left="380" w:hanging="380"/>
        <w:contextualSpacing/>
        <w:jc w:val="both"/>
        <w:rPr>
          <w:rFonts w:ascii="Times New Roman" w:hAnsi="Times New Roman"/>
        </w:rPr>
      </w:pPr>
      <w:r>
        <w:rPr>
          <w:rFonts w:ascii="Times New Roman" w:hAnsi="Times New Roman"/>
        </w:rPr>
        <w:t xml:space="preserve">        </w:t>
      </w:r>
      <w:hyperlink r:id="rId13" w:history="1">
        <w:r>
          <w:rPr>
            <w:rStyle w:val="Hyperlink"/>
            <w:rFonts w:ascii="Times New Roman" w:hAnsi="Times New Roman"/>
          </w:rPr>
          <w:t>https://cursdeguvernare.ro/asociatia-initiativa-pentru-justitie-inspectia-judiciara-incearca-sa-i-intimideze-pe-magistratii-care-lupta-pentru-apararea-independentei-justitiei.html</w:t>
        </w:r>
      </w:hyperlink>
      <w:r>
        <w:rPr>
          <w:rFonts w:ascii="Times New Roman" w:hAnsi="Times New Roman"/>
        </w:rPr>
        <w:t>;</w:t>
      </w:r>
    </w:p>
  </w:footnote>
  <w:footnote w:id="31">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Ένα πρόσφατο παράδειγμα αφ</w:t>
      </w:r>
      <w:r>
        <w:rPr>
          <w:rFonts w:ascii="Times New Roman" w:hAnsi="Times New Roman"/>
        </w:rPr>
        <w:t>ορά την έκθεση της Δικαστικής Επιθεώρησης σχετικά με τη χρήση των ρυθμίσεων συνεργασίας μεταξύ της εισαγγελίας και των υπηρεσιών πληροφοριών για την παρακολούθηση τηλεφωνικών συνδιαλέξεων. Η έκθεση διέρρευσε στα μέσα ενημέρωσης πριν την αναλύσει το Ανώτατο</w:t>
      </w:r>
      <w:r>
        <w:rPr>
          <w:rFonts w:ascii="Times New Roman" w:hAnsi="Times New Roman"/>
        </w:rPr>
        <w:t xml:space="preserve"> Συμβούλιο.</w:t>
      </w:r>
    </w:p>
  </w:footnote>
  <w:footnote w:id="32">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Η κυβέρνηση παρέπεμψε τις λόγω συνταγματικές διενέξεις στο Συνταγματικό Δικαστήριο, επικαλούμενη σύγκρουση μεταξύ του Κοινοβουλίου (ως νομοθέτη) και του Ανώτατου Δικαστηρίου, με το σκεπτικό ότι το Ανώτατο Δικαστήριο είχε υπερβεί τις συνταγμ</w:t>
      </w:r>
      <w:r>
        <w:rPr>
          <w:rFonts w:ascii="Times New Roman" w:hAnsi="Times New Roman"/>
        </w:rPr>
        <w:t xml:space="preserve">ατικές αρμοδιότητές του κατά την ερμηνεία του νόμου και υποκατέστησε τον νομοθέτη.  </w:t>
      </w:r>
    </w:p>
  </w:footnote>
  <w:footnote w:id="33">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Εκφράστηκαν αμφιβολίες για το κατά πόσον το Συνταγματικό Δικαστήριο ήταν αρμόδιο να αποφανθεί επί της νομικής ερμηνείας του Ανώτατου Δικαστηρίου.</w:t>
      </w:r>
    </w:p>
  </w:footnote>
  <w:footnote w:id="34">
    <w:p w:rsidR="00B1412B" w:rsidRDefault="00237EF8">
      <w:pPr>
        <w:pStyle w:val="FootnoteText"/>
        <w:spacing w:after="0" w:line="240" w:lineRule="auto"/>
        <w:ind w:left="380" w:hanging="380"/>
        <w:jc w:val="both"/>
        <w:rPr>
          <w:rFonts w:ascii="Times New Roman" w:hAnsi="Times New Roman"/>
        </w:rPr>
      </w:pPr>
      <w:r>
        <w:rPr>
          <w:rStyle w:val="FootnoteReference"/>
          <w:rFonts w:ascii="Times New Roman" w:hAnsi="Times New Roman"/>
        </w:rPr>
        <w:footnoteRef/>
      </w:r>
      <w:r>
        <w:rPr>
          <w:rFonts w:ascii="Times New Roman" w:hAnsi="Times New Roman"/>
        </w:rPr>
        <w:t xml:space="preserve">     https://www.mediafax.ro/social/tarcea-despre-refuzul-de-a-mai-candida-la-inalta-curte-m-a-facut-sa-imi-fie-dor-sa-traiesc-printre-oameni-cu-bun-simt-18218170  </w:t>
      </w:r>
    </w:p>
  </w:footnote>
  <w:footnote w:id="35">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Γνώμη 930/2018 της Επιτροπής της Βενετίας</w:t>
      </w:r>
    </w:p>
  </w:footnote>
  <w:footnote w:id="36">
    <w:p w:rsidR="00B1412B" w:rsidRDefault="00237EF8">
      <w:pPr>
        <w:pStyle w:val="FootnoteText"/>
        <w:spacing w:after="0" w:line="240" w:lineRule="auto"/>
        <w:ind w:left="380" w:hanging="380"/>
        <w:contextualSpacing/>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Style w:val="Hyperlink"/>
          <w:rFonts w:ascii="Times New Roman" w:hAnsi="Times New Roman"/>
          <w:u w:val="none"/>
        </w:rPr>
        <w:t>Το σκεπτικό των αποφάσεων δεν έχει ακόμη δη</w:t>
      </w:r>
      <w:r>
        <w:rPr>
          <w:rStyle w:val="Hyperlink"/>
          <w:rFonts w:ascii="Times New Roman" w:hAnsi="Times New Roman"/>
          <w:u w:val="none"/>
        </w:rPr>
        <w:t xml:space="preserve">μοσιευθεί. </w:t>
      </w:r>
    </w:p>
  </w:footnote>
  <w:footnote w:id="37">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Τον Αύγουστο του 2019, το Κοινοβούλιο απέρριψε επισήμως νόμο περί αμνηστίας και χάριτος του Φεβρουαρίου 2017, ο οποίος παρέμενε εκκρεμής στο κοινοβούλιο.</w:t>
      </w:r>
    </w:p>
  </w:footnote>
  <w:footnote w:id="38">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COM(2018) 851 και SWD(2018) 551. Βλ. επίσης τη Γνώμη αριθ. 924/2018 της Επιτροπής</w:t>
      </w:r>
      <w:r>
        <w:rPr>
          <w:rFonts w:ascii="Times New Roman" w:hAnsi="Times New Roman"/>
        </w:rPr>
        <w:t xml:space="preserve"> της Βενετίας της 20ής Οκτωβρίου 2018.</w:t>
      </w:r>
    </w:p>
  </w:footnote>
  <w:footnote w:id="39">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hyperlink r:id="rId14" w:history="1">
        <w:r>
          <w:rPr>
            <w:rStyle w:val="Hyperlink"/>
            <w:rFonts w:ascii="Times New Roman" w:hAnsi="Times New Roman"/>
          </w:rPr>
          <w:t>http://www.cdep.ro/pls/dic/site2015.page?id=1046</w:t>
        </w:r>
      </w:hyperlink>
      <w:r>
        <w:rPr>
          <w:rFonts w:ascii="Times New Roman" w:hAnsi="Times New Roman"/>
        </w:rPr>
        <w:t xml:space="preserve"> </w:t>
      </w:r>
    </w:p>
  </w:footnote>
  <w:footnote w:id="40">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Οι τροποποιημένοι νόμοι τέθηκαν σε ισχύ τον Δεκέμβριο του 2018. Νόμος 310/2018, της 17ης Δεκεμβρ</w:t>
      </w:r>
      <w:r>
        <w:rPr>
          <w:rFonts w:ascii="Times New Roman" w:hAnsi="Times New Roman"/>
        </w:rPr>
        <w:t>ίου 2018, για την τροποποίηση και τη συμπλήρωση του νόμου 134/2010 περί του κώδικα πολιτικής δικονομίας.</w:t>
      </w:r>
    </w:p>
  </w:footnote>
  <w:footnote w:id="41">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Γνώμη 950/2019 της Επιτροπής της Βενετίας</w:t>
      </w:r>
    </w:p>
  </w:footnote>
  <w:footnote w:id="42">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Η γνώμη καταλήγει: «και το πιο ανησυχητικό είναι ότι η κυβέρνηση συνεχίζει να επιφέρει νομοθετικές τρο</w:t>
      </w:r>
      <w:r>
        <w:rPr>
          <w:rFonts w:ascii="Times New Roman" w:hAnsi="Times New Roman"/>
        </w:rPr>
        <w:t xml:space="preserve">ποποιήσεις με έκτακτα διατάγματα. Ενώ το Σύνταγμα αναφέρει σαφώς ότι αυτό θα πρέπει να αποτελεί εξαιρετικό μέτρο, η νομοθεσία με έκτακτα διατάγματα κατέστη η συνήθης διαδικασία. Θεμελιώδεις κανόνες λειτουργίας των βασικών κρατικών θεσμών τροποποιούνται με </w:t>
      </w:r>
      <w:r>
        <w:rPr>
          <w:rFonts w:ascii="Times New Roman" w:hAnsi="Times New Roman"/>
        </w:rPr>
        <w:t>ταχείες διαδικασίες και πολύ συχνά, χωρίς προετοιμασία και χωρίς διαβουλεύσεις, γεγονός που εγείρει εύλογα ερωτήματα σχετικά με την ορθότητα των αποτελεσμάτων και τα πραγματικά κίνητρα πίσω από ορισμένες από αυτές τις αλλαγές. Τα νομοθετικά κείμενα που προ</w:t>
      </w:r>
      <w:r>
        <w:rPr>
          <w:rFonts w:ascii="Times New Roman" w:hAnsi="Times New Roman"/>
        </w:rPr>
        <w:t>κύπτουν στερούνται σαφήνειας. Η πρακτική αυτή αποδυναμώνει τον εξωτερικό έλεγχο της κυβέρνησης, είναι αντίθετη προς την αρχή της διάκρισης των εξουσιών και διαταράσσει την ασφάλεια δικαίου.»</w:t>
      </w:r>
    </w:p>
  </w:footnote>
  <w:footnote w:id="43">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Το σχέδιο δράσης για τα διαρθρωτικά μέτρα σε σχέση με την ομάδ</w:t>
      </w:r>
      <w:r>
        <w:rPr>
          <w:rFonts w:ascii="Times New Roman" w:hAnsi="Times New Roman"/>
        </w:rPr>
        <w:t>α υποθέσεων Săcăleanu είναι διαθέσιμο στη διεύθυνση</w:t>
      </w:r>
    </w:p>
    <w:p w:rsidR="00B1412B" w:rsidRDefault="00237EF8">
      <w:pPr>
        <w:pStyle w:val="FootnoteText"/>
        <w:spacing w:after="0" w:line="240" w:lineRule="auto"/>
        <w:ind w:left="380" w:hanging="380"/>
        <w:contextualSpacing/>
        <w:jc w:val="both"/>
        <w:rPr>
          <w:rFonts w:ascii="Times New Roman" w:hAnsi="Times New Roman"/>
          <w:sz w:val="18"/>
          <w:szCs w:val="18"/>
        </w:rPr>
      </w:pPr>
      <w:r>
        <w:rPr>
          <w:rFonts w:ascii="Times New Roman" w:hAnsi="Times New Roman"/>
          <w:sz w:val="18"/>
          <w:szCs w:val="18"/>
        </w:rPr>
        <w:t xml:space="preserve">         </w:t>
      </w:r>
      <w:hyperlink r:id="rId15" w:history="1">
        <w:r>
          <w:rPr>
            <w:rStyle w:val="Hyperlink"/>
            <w:rFonts w:ascii="Times New Roman" w:hAnsi="Times New Roman"/>
            <w:sz w:val="18"/>
            <w:szCs w:val="18"/>
          </w:rPr>
          <w:t>https://rm.coe.int/CoERMPublicCommonSearchServices/DisplayDCTMContent?documentId=</w:t>
        </w:r>
        <w:r>
          <w:rPr>
            <w:rStyle w:val="Hyperlink"/>
            <w:rFonts w:ascii="Times New Roman" w:hAnsi="Times New Roman"/>
            <w:sz w:val="18"/>
            <w:szCs w:val="18"/>
          </w:rPr>
          <w:t>09000016806dda63</w:t>
        </w:r>
      </w:hyperlink>
      <w:r>
        <w:rPr>
          <w:rFonts w:ascii="Times New Roman" w:hAnsi="Times New Roman"/>
          <w:sz w:val="18"/>
          <w:szCs w:val="18"/>
          <w:u w:val="single"/>
        </w:rPr>
        <w:t xml:space="preserve"> </w:t>
      </w:r>
    </w:p>
  </w:footnote>
  <w:footnote w:id="44">
    <w:p w:rsidR="00B1412B" w:rsidRDefault="00237EF8">
      <w:pPr>
        <w:pStyle w:val="FootnoteText"/>
        <w:tabs>
          <w:tab w:val="left" w:pos="284"/>
        </w:tabs>
        <w:spacing w:after="0" w:line="240" w:lineRule="auto"/>
        <w:ind w:left="380" w:hanging="380"/>
        <w:contextualSpacing/>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vertAlign w:val="superscript"/>
        </w:rPr>
        <w:tab/>
      </w:r>
      <w:r>
        <w:rPr>
          <w:rFonts w:ascii="Times New Roman" w:hAnsi="Times New Roman"/>
          <w:vertAlign w:val="superscript"/>
        </w:rPr>
        <w:tab/>
      </w:r>
      <w:r>
        <w:rPr>
          <w:rFonts w:ascii="Times New Roman" w:hAnsi="Times New Roman"/>
        </w:rPr>
        <w:t>Βλέπε τεχνική έκθεση – Σύσταση 5.</w:t>
      </w:r>
    </w:p>
  </w:footnote>
  <w:footnote w:id="45">
    <w:p w:rsidR="00B1412B" w:rsidRDefault="00237EF8">
      <w:pPr>
        <w:pStyle w:val="FootnoteText"/>
        <w:spacing w:after="0" w:line="240" w:lineRule="auto"/>
        <w:ind w:left="380" w:hanging="380"/>
        <w:jc w:val="both"/>
        <w:rPr>
          <w:rFonts w:ascii="Times New Roman" w:hAnsi="Times New Roman"/>
        </w:rPr>
      </w:pPr>
      <w:r>
        <w:rPr>
          <w:rStyle w:val="FootnoteReference"/>
          <w:rFonts w:ascii="Times New Roman" w:hAnsi="Times New Roman"/>
        </w:rPr>
        <w:footnoteRef/>
      </w:r>
      <w:r>
        <w:rPr>
          <w:rFonts w:ascii="Times New Roman" w:hAnsi="Times New Roman"/>
        </w:rPr>
        <w:t xml:space="preserve">    Στη Στρατηγική Δικαστική Διαχείριση περιλαμβάνεται ο υπουργός Δικαιοσύνης, το Ανώτατο Συμβούλιο, το Ανώτατο Δικαστήριο και ο Γενικός Εισαγγελέας. Συστάθηκε το 2016 ως φόρουμ για τη διευκόλυνση το</w:t>
      </w:r>
      <w:r>
        <w:rPr>
          <w:rFonts w:ascii="Times New Roman" w:hAnsi="Times New Roman"/>
        </w:rPr>
        <w:t>υ διαλόγου και της συναινετικής διαδικασίας λήψης αποφάσεων σχετικά με τους στρατηγικούς προσανατολισμούς και τους πόρους για το δικαστικό σύστημα. Επίσης, επιβλέπει την εφαρμογή της στρατηγικής για την ανάπτυξη του δικαστικού συστήματος.</w:t>
      </w:r>
    </w:p>
  </w:footnote>
  <w:footnote w:id="46">
    <w:p w:rsidR="00B1412B" w:rsidRDefault="00237EF8">
      <w:pPr>
        <w:pStyle w:val="FootnoteText"/>
        <w:spacing w:after="0" w:line="240" w:lineRule="auto"/>
        <w:ind w:left="380" w:hanging="38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Στις 17 Σεπ</w:t>
      </w:r>
      <w:r>
        <w:rPr>
          <w:rFonts w:ascii="Times New Roman" w:hAnsi="Times New Roman"/>
        </w:rPr>
        <w:t>τεμβρίου συνεδρίασε το Συμβούλιο Στρατηγικής Διαχείρισης. Ο σημερινός Υπουργός Δικαιοσύνης σχεδιάζει να συγκαλεί συνεδριάσεις κάθε έξι εβδομάδες. Παράλληλα, έχουν δημιουργηθεί ομάδες εργασίας και πραγματοποιούνται διαβουλεύσεις στο Ειδικό Τμήμα για τη διερ</w:t>
      </w:r>
      <w:r>
        <w:rPr>
          <w:rFonts w:ascii="Times New Roman" w:hAnsi="Times New Roman"/>
        </w:rPr>
        <w:t>εύνηση αξιόποινων πράξεων που διαπράττονται από δικαστές και για τους ποινικούς κώδικες.</w:t>
      </w:r>
    </w:p>
  </w:footnote>
  <w:footnote w:id="47">
    <w:p w:rsidR="00B1412B" w:rsidRDefault="00237EF8">
      <w:pPr>
        <w:pStyle w:val="FootnoteText"/>
        <w:tabs>
          <w:tab w:val="left" w:pos="284"/>
        </w:tabs>
        <w:spacing w:after="0" w:line="240" w:lineRule="auto"/>
        <w:ind w:left="380" w:hanging="380"/>
        <w:contextualSpacing/>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r>
      <w:r>
        <w:rPr>
          <w:rFonts w:ascii="Times New Roman" w:hAnsi="Times New Roman"/>
        </w:rPr>
        <w:tab/>
        <w:t>Όπως τα έκτακτα διατάγματα για τους νόμους περί δικαιοσύνης που εκδόθηκαν μεταξύ Σεπτεμβρίου 2018 και Μαρτίου 2019.</w:t>
      </w:r>
    </w:p>
  </w:footnote>
  <w:footnote w:id="48">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για την περίοδο 2017-2022</w:t>
      </w:r>
    </w:p>
  </w:footnote>
  <w:footnote w:id="49">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Για παράδ</w:t>
      </w:r>
      <w:r>
        <w:rPr>
          <w:rFonts w:ascii="Times New Roman" w:hAnsi="Times New Roman"/>
        </w:rPr>
        <w:t>ειγμα, δηλώσεις με τις οποίες καταδικάζονται οι δηλώσεις του Προέδρου του Ευρωπαϊκού Κοινοβουλίου με τις οποίες ασκούσε κριτική στα προληπτικά μέτρα που λαμβάνονται από το Ειδικό Τμήμα για τη διερεύνηση δικαστών, γεγονός που εμπόδισε την υποψήφια της Ευρωπ</w:t>
      </w:r>
      <w:r>
        <w:rPr>
          <w:rFonts w:ascii="Times New Roman" w:hAnsi="Times New Roman"/>
        </w:rPr>
        <w:t>αϊκής Εισαγγελίας από το να παραστεί σε ακρόαση στο Ευρωπαϊκό Κοινοβούλιο· και του Προέδρου της Ρουμανίας που απέρριψε την πρόταση για Υπουργό Δικαιοσύνης που κατέθεσε ο Πρωθυπουργός τον Αύγουστο του 2019.</w:t>
      </w:r>
    </w:p>
    <w:p w:rsidR="00B1412B" w:rsidRDefault="00237EF8">
      <w:pPr>
        <w:pStyle w:val="FootnoteText"/>
        <w:ind w:left="380" w:hanging="380"/>
        <w:contextualSpacing/>
        <w:jc w:val="both"/>
        <w:rPr>
          <w:sz w:val="18"/>
          <w:szCs w:val="18"/>
        </w:rPr>
      </w:pPr>
      <w:r>
        <w:rPr>
          <w:rFonts w:ascii="Times New Roman" w:hAnsi="Times New Roman"/>
        </w:rPr>
        <w:t xml:space="preserve">      </w:t>
      </w:r>
    </w:p>
  </w:footnote>
  <w:footnote w:id="50">
    <w:p w:rsidR="00B1412B" w:rsidRDefault="00237EF8">
      <w:pPr>
        <w:pStyle w:val="FootnoteText"/>
        <w:tabs>
          <w:tab w:val="left" w:pos="284"/>
        </w:tabs>
        <w:spacing w:after="0" w:line="240" w:lineRule="auto"/>
        <w:ind w:left="380" w:hanging="380"/>
        <w:contextualSpacing/>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t>Βλέπε επίσης τεχνική έκθεση – Κριτήριο α</w:t>
      </w:r>
      <w:r>
        <w:rPr>
          <w:rFonts w:ascii="Times New Roman" w:hAnsi="Times New Roman"/>
        </w:rPr>
        <w:t>ναφοράς 2</w:t>
      </w:r>
    </w:p>
  </w:footnote>
  <w:footnote w:id="51">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CDL-AD (2014) 011</w:t>
      </w:r>
    </w:p>
  </w:footnote>
  <w:footnote w:id="52">
    <w:p w:rsidR="00B1412B" w:rsidRDefault="00237EF8">
      <w:pPr>
        <w:pStyle w:val="FootnoteText"/>
        <w:tabs>
          <w:tab w:val="left" w:pos="284"/>
        </w:tabs>
        <w:spacing w:after="0" w:line="240" w:lineRule="auto"/>
        <w:ind w:left="380" w:hanging="380"/>
        <w:contextualSpacing/>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t>Τα αποτελέσματα των θεσμικών οργάνων περιγράφονται λεπτομερώς στην τεχνική έκθεση.</w:t>
      </w:r>
    </w:p>
  </w:footnote>
  <w:footnote w:id="53">
    <w:p w:rsidR="00B1412B" w:rsidRDefault="00237EF8">
      <w:pPr>
        <w:pStyle w:val="FootnoteText"/>
        <w:spacing w:after="0" w:line="240" w:lineRule="auto"/>
        <w:ind w:left="380" w:hanging="380"/>
        <w:contextualSpacing/>
        <w:jc w:val="both"/>
        <w:rPr>
          <w:rFonts w:ascii="Times New Roman" w:hAnsi="Times New Roman"/>
        </w:rPr>
      </w:pPr>
      <w:r>
        <w:rPr>
          <w:rStyle w:val="FootnoteReference"/>
          <w:rFonts w:ascii="Times New Roman" w:hAnsi="Times New Roman"/>
        </w:rPr>
        <w:footnoteRef/>
      </w:r>
      <w:r>
        <w:rPr>
          <w:rFonts w:ascii="Times New Roman" w:hAnsi="Times New Roman"/>
        </w:rPr>
        <w:t xml:space="preserve">   Βλ. κριτήριο αναφοράς 1 και κριτήριο αναφοράς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2B" w:rsidRDefault="00B1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851"/>
    <w:multiLevelType w:val="hybridMultilevel"/>
    <w:tmpl w:val="69045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C0315"/>
    <w:multiLevelType w:val="hybridMultilevel"/>
    <w:tmpl w:val="7D7A33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56E7"/>
    <w:multiLevelType w:val="hybridMultilevel"/>
    <w:tmpl w:val="A986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7692D"/>
    <w:multiLevelType w:val="hybridMultilevel"/>
    <w:tmpl w:val="DF3C9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C43D57"/>
    <w:multiLevelType w:val="hybridMultilevel"/>
    <w:tmpl w:val="FAF06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70F83"/>
    <w:multiLevelType w:val="hybridMultilevel"/>
    <w:tmpl w:val="690A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B3E6B"/>
    <w:multiLevelType w:val="hybridMultilevel"/>
    <w:tmpl w:val="EE2CC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252E1"/>
    <w:multiLevelType w:val="hybridMultilevel"/>
    <w:tmpl w:val="F2622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366EE"/>
    <w:multiLevelType w:val="hybridMultilevel"/>
    <w:tmpl w:val="6A081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D2B46"/>
    <w:multiLevelType w:val="hybridMultilevel"/>
    <w:tmpl w:val="8F600044"/>
    <w:lvl w:ilvl="0" w:tplc="903CBA98">
      <w:numFmt w:val="bullet"/>
      <w:lvlText w:val="•"/>
      <w:lvlJc w:val="left"/>
      <w:pPr>
        <w:ind w:left="720" w:hanging="72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BBE03C6"/>
    <w:multiLevelType w:val="hybridMultilevel"/>
    <w:tmpl w:val="A086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00B5F"/>
    <w:multiLevelType w:val="hybridMultilevel"/>
    <w:tmpl w:val="BA2A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217BB"/>
    <w:multiLevelType w:val="hybridMultilevel"/>
    <w:tmpl w:val="2D6E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04E55"/>
    <w:multiLevelType w:val="hybridMultilevel"/>
    <w:tmpl w:val="9EFEE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2"/>
  </w:num>
  <w:num w:numId="5">
    <w:abstractNumId w:val="11"/>
  </w:num>
  <w:num w:numId="6">
    <w:abstractNumId w:val="10"/>
  </w:num>
  <w:num w:numId="7">
    <w:abstractNumId w:val="5"/>
  </w:num>
  <w:num w:numId="8">
    <w:abstractNumId w:val="3"/>
  </w:num>
  <w:num w:numId="9">
    <w:abstractNumId w:val="7"/>
  </w:num>
  <w:num w:numId="10">
    <w:abstractNumId w:val="6"/>
  </w:num>
  <w:num w:numId="11">
    <w:abstractNumId w:val="8"/>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FDA30503-83AD-4D92-BB35-E6D65815D8C6"/>
    <w:docVar w:name="LW_COVERPAGE_TYPE" w:val="1"/>
    <w:docVar w:name="LW_CROSSREFERENCE" w:val="{SWD(2019) 393 final}"/>
    <w:docVar w:name="LW_DATE.ADOPT.CP_ISODATE" w:val="&lt;EMPTY&gt;"/>
    <w:docVar w:name="LW_DocType" w:val="NORMAL"/>
    <w:docVar w:name="LW_EMISSION" w:val="22.10.2019"/>
    <w:docVar w:name="LW_EMISSION_ISODATE" w:val="2019-10-22"/>
    <w:docVar w:name="LW_EMISSION_LOCATION" w:val="BRX"/>
    <w:docVar w:name="LW_EMISSION_PREFIX" w:val="Βρυξέλλες, "/>
    <w:docVar w:name="LW_EMISSION_SUFFIX" w:val=" "/>
    <w:docVar w:name="LW_ID_DOCTYPE_NONLW" w:val="CP-006"/>
    <w:docVar w:name="LW_INTERETEEE.CP" w:val="&lt;UNUSED&gt;"/>
    <w:docVar w:name="LW_LANGUE" w:val="EL"/>
    <w:docVar w:name="LW_LANGUESFAISANTFOI.CP" w:val="&lt;UNUSED&gt;"/>
    <w:docVar w:name="LW_LEVEL_OF_SENSITIVITY" w:val="Standard treatment"/>
    <w:docVar w:name="LW_NOM.INST" w:val="\u917?\u933?\u929?\u937?\u928?\u913?\u938?\u922?\u919? \u917?\u928?\u921?\u932?\u929?\u927?\u928?\u919?"/>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915?\u953?\u945? \u964?\u951?\u957? \u960?\u961?\u972?\u959?\u948?\u959? \u963?\u964?\u951? \u929?\u959?\u965?\u956?\u945?\u957?\u943?\u945? \u963?\u964?\u959? \u960?\u955?\u945?\u943?\u963?\u953?\u959? \u964?\u959?\u965? \u956?\u951?\u967?\u945?\u957?\u953?\u963?\u956?\u959?\u973? \u963?\u965?\u957?\u949?\u961?\u947?\u945?\u963?\u943?\u945?\u962? \u954?\u945?\u953? \u949?\u955?\u941?\u947?\u967?\u959?\u965?"/>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 w:name="LW_TYPEACTEPRINCIPAL.CP" w:val="&lt;UNUSED&gt;"/>
  </w:docVars>
  <w:rsids>
    <w:rsidRoot w:val="00B1412B"/>
    <w:rsid w:val="00237EF8"/>
    <w:rsid w:val="00B141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D740E6-4D4D-4261-891F-08FEB9C9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Marker">
    <w:name w:val="Marker"/>
    <w:rPr>
      <w:color w:val="0000FF"/>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PlainText">
    <w:name w:val="Plain Text"/>
    <w:basedOn w:val="Normal"/>
    <w:link w:val="PlainTextChar"/>
    <w:uiPriority w:val="99"/>
    <w:unhideWhenUsed/>
    <w:pPr>
      <w:spacing w:after="0" w:line="240" w:lineRule="auto"/>
    </w:pPr>
    <w:rPr>
      <w:rFonts w:eastAsia="SimSun"/>
      <w:szCs w:val="21"/>
      <w:lang w:eastAsia="zh-TW"/>
    </w:rPr>
  </w:style>
  <w:style w:type="character" w:customStyle="1" w:styleId="PlainTextChar">
    <w:name w:val="Plain Text Char"/>
    <w:link w:val="PlainText"/>
    <w:uiPriority w:val="99"/>
    <w:rPr>
      <w:rFonts w:eastAsia="SimSun"/>
      <w:sz w:val="22"/>
      <w:szCs w:val="21"/>
      <w:lang w:val="el-GR" w:eastAsia="zh-TW"/>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rPr>
      <w:rFonts w:eastAsia="SimSun"/>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Body">
    <w:name w:val="Body"/>
    <w:pPr>
      <w:pBdr>
        <w:top w:val="nil"/>
        <w:left w:val="nil"/>
        <w:bottom w:val="nil"/>
        <w:right w:val="nil"/>
        <w:between w:val="nil"/>
        <w:bar w:val="nil"/>
      </w:pBdr>
      <w:spacing w:after="200" w:line="276" w:lineRule="auto"/>
    </w:pPr>
    <w:rPr>
      <w:rFonts w:cs="Calibri"/>
      <w:color w:val="000000"/>
      <w:sz w:val="22"/>
      <w:szCs w:val="22"/>
      <w:u w:color="000000"/>
      <w:bdr w:val="ni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1618">
      <w:bodyDiv w:val="1"/>
      <w:marLeft w:val="0"/>
      <w:marRight w:val="0"/>
      <w:marTop w:val="0"/>
      <w:marBottom w:val="0"/>
      <w:divBdr>
        <w:top w:val="none" w:sz="0" w:space="0" w:color="auto"/>
        <w:left w:val="none" w:sz="0" w:space="0" w:color="auto"/>
        <w:bottom w:val="none" w:sz="0" w:space="0" w:color="auto"/>
        <w:right w:val="none" w:sz="0" w:space="0" w:color="auto"/>
      </w:divBdr>
    </w:div>
    <w:div w:id="307638370">
      <w:bodyDiv w:val="1"/>
      <w:marLeft w:val="0"/>
      <w:marRight w:val="0"/>
      <w:marTop w:val="0"/>
      <w:marBottom w:val="0"/>
      <w:divBdr>
        <w:top w:val="none" w:sz="0" w:space="0" w:color="auto"/>
        <w:left w:val="none" w:sz="0" w:space="0" w:color="auto"/>
        <w:bottom w:val="none" w:sz="0" w:space="0" w:color="auto"/>
        <w:right w:val="none" w:sz="0" w:space="0" w:color="auto"/>
      </w:divBdr>
    </w:div>
    <w:div w:id="344674016">
      <w:bodyDiv w:val="1"/>
      <w:marLeft w:val="0"/>
      <w:marRight w:val="0"/>
      <w:marTop w:val="0"/>
      <w:marBottom w:val="0"/>
      <w:divBdr>
        <w:top w:val="none" w:sz="0" w:space="0" w:color="auto"/>
        <w:left w:val="none" w:sz="0" w:space="0" w:color="auto"/>
        <w:bottom w:val="none" w:sz="0" w:space="0" w:color="auto"/>
        <w:right w:val="none" w:sz="0" w:space="0" w:color="auto"/>
      </w:divBdr>
    </w:div>
    <w:div w:id="381104645">
      <w:bodyDiv w:val="1"/>
      <w:marLeft w:val="0"/>
      <w:marRight w:val="0"/>
      <w:marTop w:val="0"/>
      <w:marBottom w:val="0"/>
      <w:divBdr>
        <w:top w:val="none" w:sz="0" w:space="0" w:color="auto"/>
        <w:left w:val="none" w:sz="0" w:space="0" w:color="auto"/>
        <w:bottom w:val="none" w:sz="0" w:space="0" w:color="auto"/>
        <w:right w:val="none" w:sz="0" w:space="0" w:color="auto"/>
      </w:divBdr>
    </w:div>
    <w:div w:id="453644457">
      <w:bodyDiv w:val="1"/>
      <w:marLeft w:val="0"/>
      <w:marRight w:val="0"/>
      <w:marTop w:val="0"/>
      <w:marBottom w:val="0"/>
      <w:divBdr>
        <w:top w:val="none" w:sz="0" w:space="0" w:color="auto"/>
        <w:left w:val="none" w:sz="0" w:space="0" w:color="auto"/>
        <w:bottom w:val="none" w:sz="0" w:space="0" w:color="auto"/>
        <w:right w:val="none" w:sz="0" w:space="0" w:color="auto"/>
      </w:divBdr>
    </w:div>
    <w:div w:id="601567382">
      <w:bodyDiv w:val="1"/>
      <w:marLeft w:val="0"/>
      <w:marRight w:val="0"/>
      <w:marTop w:val="0"/>
      <w:marBottom w:val="0"/>
      <w:divBdr>
        <w:top w:val="none" w:sz="0" w:space="0" w:color="auto"/>
        <w:left w:val="none" w:sz="0" w:space="0" w:color="auto"/>
        <w:bottom w:val="none" w:sz="0" w:space="0" w:color="auto"/>
        <w:right w:val="none" w:sz="0" w:space="0" w:color="auto"/>
      </w:divBdr>
    </w:div>
    <w:div w:id="606276243">
      <w:bodyDiv w:val="1"/>
      <w:marLeft w:val="0"/>
      <w:marRight w:val="0"/>
      <w:marTop w:val="0"/>
      <w:marBottom w:val="0"/>
      <w:divBdr>
        <w:top w:val="none" w:sz="0" w:space="0" w:color="auto"/>
        <w:left w:val="none" w:sz="0" w:space="0" w:color="auto"/>
        <w:bottom w:val="none" w:sz="0" w:space="0" w:color="auto"/>
        <w:right w:val="none" w:sz="0" w:space="0" w:color="auto"/>
      </w:divBdr>
    </w:div>
    <w:div w:id="608969553">
      <w:bodyDiv w:val="1"/>
      <w:marLeft w:val="0"/>
      <w:marRight w:val="0"/>
      <w:marTop w:val="0"/>
      <w:marBottom w:val="0"/>
      <w:divBdr>
        <w:top w:val="none" w:sz="0" w:space="0" w:color="auto"/>
        <w:left w:val="none" w:sz="0" w:space="0" w:color="auto"/>
        <w:bottom w:val="none" w:sz="0" w:space="0" w:color="auto"/>
        <w:right w:val="none" w:sz="0" w:space="0" w:color="auto"/>
      </w:divBdr>
    </w:div>
    <w:div w:id="617226997">
      <w:bodyDiv w:val="1"/>
      <w:marLeft w:val="0"/>
      <w:marRight w:val="0"/>
      <w:marTop w:val="0"/>
      <w:marBottom w:val="0"/>
      <w:divBdr>
        <w:top w:val="none" w:sz="0" w:space="0" w:color="auto"/>
        <w:left w:val="none" w:sz="0" w:space="0" w:color="auto"/>
        <w:bottom w:val="none" w:sz="0" w:space="0" w:color="auto"/>
        <w:right w:val="none" w:sz="0" w:space="0" w:color="auto"/>
      </w:divBdr>
    </w:div>
    <w:div w:id="886795807">
      <w:bodyDiv w:val="1"/>
      <w:marLeft w:val="0"/>
      <w:marRight w:val="0"/>
      <w:marTop w:val="0"/>
      <w:marBottom w:val="0"/>
      <w:divBdr>
        <w:top w:val="none" w:sz="0" w:space="0" w:color="auto"/>
        <w:left w:val="none" w:sz="0" w:space="0" w:color="auto"/>
        <w:bottom w:val="none" w:sz="0" w:space="0" w:color="auto"/>
        <w:right w:val="none" w:sz="0" w:space="0" w:color="auto"/>
      </w:divBdr>
    </w:div>
    <w:div w:id="909924317">
      <w:bodyDiv w:val="1"/>
      <w:marLeft w:val="0"/>
      <w:marRight w:val="0"/>
      <w:marTop w:val="0"/>
      <w:marBottom w:val="0"/>
      <w:divBdr>
        <w:top w:val="none" w:sz="0" w:space="0" w:color="auto"/>
        <w:left w:val="none" w:sz="0" w:space="0" w:color="auto"/>
        <w:bottom w:val="none" w:sz="0" w:space="0" w:color="auto"/>
        <w:right w:val="none" w:sz="0" w:space="0" w:color="auto"/>
      </w:divBdr>
    </w:div>
    <w:div w:id="968976283">
      <w:bodyDiv w:val="1"/>
      <w:marLeft w:val="0"/>
      <w:marRight w:val="0"/>
      <w:marTop w:val="0"/>
      <w:marBottom w:val="0"/>
      <w:divBdr>
        <w:top w:val="none" w:sz="0" w:space="0" w:color="auto"/>
        <w:left w:val="none" w:sz="0" w:space="0" w:color="auto"/>
        <w:bottom w:val="none" w:sz="0" w:space="0" w:color="auto"/>
        <w:right w:val="none" w:sz="0" w:space="0" w:color="auto"/>
      </w:divBdr>
    </w:div>
    <w:div w:id="1000960405">
      <w:bodyDiv w:val="1"/>
      <w:marLeft w:val="0"/>
      <w:marRight w:val="0"/>
      <w:marTop w:val="0"/>
      <w:marBottom w:val="0"/>
      <w:divBdr>
        <w:top w:val="none" w:sz="0" w:space="0" w:color="auto"/>
        <w:left w:val="none" w:sz="0" w:space="0" w:color="auto"/>
        <w:bottom w:val="none" w:sz="0" w:space="0" w:color="auto"/>
        <w:right w:val="none" w:sz="0" w:space="0" w:color="auto"/>
      </w:divBdr>
    </w:div>
    <w:div w:id="1056513186">
      <w:bodyDiv w:val="1"/>
      <w:marLeft w:val="0"/>
      <w:marRight w:val="0"/>
      <w:marTop w:val="0"/>
      <w:marBottom w:val="0"/>
      <w:divBdr>
        <w:top w:val="none" w:sz="0" w:space="0" w:color="auto"/>
        <w:left w:val="none" w:sz="0" w:space="0" w:color="auto"/>
        <w:bottom w:val="none" w:sz="0" w:space="0" w:color="auto"/>
        <w:right w:val="none" w:sz="0" w:space="0" w:color="auto"/>
      </w:divBdr>
    </w:div>
    <w:div w:id="1079330659">
      <w:bodyDiv w:val="1"/>
      <w:marLeft w:val="0"/>
      <w:marRight w:val="0"/>
      <w:marTop w:val="0"/>
      <w:marBottom w:val="0"/>
      <w:divBdr>
        <w:top w:val="none" w:sz="0" w:space="0" w:color="auto"/>
        <w:left w:val="none" w:sz="0" w:space="0" w:color="auto"/>
        <w:bottom w:val="none" w:sz="0" w:space="0" w:color="auto"/>
        <w:right w:val="none" w:sz="0" w:space="0" w:color="auto"/>
      </w:divBdr>
    </w:div>
    <w:div w:id="1140417497">
      <w:bodyDiv w:val="1"/>
      <w:marLeft w:val="0"/>
      <w:marRight w:val="0"/>
      <w:marTop w:val="0"/>
      <w:marBottom w:val="0"/>
      <w:divBdr>
        <w:top w:val="none" w:sz="0" w:space="0" w:color="auto"/>
        <w:left w:val="none" w:sz="0" w:space="0" w:color="auto"/>
        <w:bottom w:val="none" w:sz="0" w:space="0" w:color="auto"/>
        <w:right w:val="none" w:sz="0" w:space="0" w:color="auto"/>
      </w:divBdr>
    </w:div>
    <w:div w:id="1182671814">
      <w:bodyDiv w:val="1"/>
      <w:marLeft w:val="0"/>
      <w:marRight w:val="0"/>
      <w:marTop w:val="0"/>
      <w:marBottom w:val="0"/>
      <w:divBdr>
        <w:top w:val="none" w:sz="0" w:space="0" w:color="auto"/>
        <w:left w:val="none" w:sz="0" w:space="0" w:color="auto"/>
        <w:bottom w:val="none" w:sz="0" w:space="0" w:color="auto"/>
        <w:right w:val="none" w:sz="0" w:space="0" w:color="auto"/>
      </w:divBdr>
    </w:div>
    <w:div w:id="1211918705">
      <w:bodyDiv w:val="1"/>
      <w:marLeft w:val="0"/>
      <w:marRight w:val="0"/>
      <w:marTop w:val="0"/>
      <w:marBottom w:val="0"/>
      <w:divBdr>
        <w:top w:val="none" w:sz="0" w:space="0" w:color="auto"/>
        <w:left w:val="none" w:sz="0" w:space="0" w:color="auto"/>
        <w:bottom w:val="none" w:sz="0" w:space="0" w:color="auto"/>
        <w:right w:val="none" w:sz="0" w:space="0" w:color="auto"/>
      </w:divBdr>
    </w:div>
    <w:div w:id="1247576016">
      <w:bodyDiv w:val="1"/>
      <w:marLeft w:val="0"/>
      <w:marRight w:val="0"/>
      <w:marTop w:val="0"/>
      <w:marBottom w:val="0"/>
      <w:divBdr>
        <w:top w:val="none" w:sz="0" w:space="0" w:color="auto"/>
        <w:left w:val="none" w:sz="0" w:space="0" w:color="auto"/>
        <w:bottom w:val="none" w:sz="0" w:space="0" w:color="auto"/>
        <w:right w:val="none" w:sz="0" w:space="0" w:color="auto"/>
      </w:divBdr>
    </w:div>
    <w:div w:id="1277716144">
      <w:bodyDiv w:val="1"/>
      <w:marLeft w:val="0"/>
      <w:marRight w:val="0"/>
      <w:marTop w:val="0"/>
      <w:marBottom w:val="0"/>
      <w:divBdr>
        <w:top w:val="none" w:sz="0" w:space="0" w:color="auto"/>
        <w:left w:val="none" w:sz="0" w:space="0" w:color="auto"/>
        <w:bottom w:val="none" w:sz="0" w:space="0" w:color="auto"/>
        <w:right w:val="none" w:sz="0" w:space="0" w:color="auto"/>
      </w:divBdr>
    </w:div>
    <w:div w:id="1281763777">
      <w:bodyDiv w:val="1"/>
      <w:marLeft w:val="0"/>
      <w:marRight w:val="0"/>
      <w:marTop w:val="0"/>
      <w:marBottom w:val="0"/>
      <w:divBdr>
        <w:top w:val="none" w:sz="0" w:space="0" w:color="auto"/>
        <w:left w:val="none" w:sz="0" w:space="0" w:color="auto"/>
        <w:bottom w:val="none" w:sz="0" w:space="0" w:color="auto"/>
        <w:right w:val="none" w:sz="0" w:space="0" w:color="auto"/>
      </w:divBdr>
    </w:div>
    <w:div w:id="1317302152">
      <w:bodyDiv w:val="1"/>
      <w:marLeft w:val="0"/>
      <w:marRight w:val="0"/>
      <w:marTop w:val="0"/>
      <w:marBottom w:val="0"/>
      <w:divBdr>
        <w:top w:val="none" w:sz="0" w:space="0" w:color="auto"/>
        <w:left w:val="none" w:sz="0" w:space="0" w:color="auto"/>
        <w:bottom w:val="none" w:sz="0" w:space="0" w:color="auto"/>
        <w:right w:val="none" w:sz="0" w:space="0" w:color="auto"/>
      </w:divBdr>
    </w:div>
    <w:div w:id="1579513600">
      <w:bodyDiv w:val="1"/>
      <w:marLeft w:val="0"/>
      <w:marRight w:val="0"/>
      <w:marTop w:val="0"/>
      <w:marBottom w:val="0"/>
      <w:divBdr>
        <w:top w:val="none" w:sz="0" w:space="0" w:color="auto"/>
        <w:left w:val="none" w:sz="0" w:space="0" w:color="auto"/>
        <w:bottom w:val="none" w:sz="0" w:space="0" w:color="auto"/>
        <w:right w:val="none" w:sz="0" w:space="0" w:color="auto"/>
      </w:divBdr>
    </w:div>
    <w:div w:id="20144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enice.coe.int/webforms/documents/?pdf=CDL-AD(2019)014-e" TargetMode="External"/><Relationship Id="rId13" Type="http://schemas.openxmlformats.org/officeDocument/2006/relationships/hyperlink" Target="https://cursdeguvernare.ro/asociatia-initiativa-pentru-justitie-inspectia-judiciara-incearca-sa-i-intimideze-pe-magistratii-care-lupta-pentru-apararea-independentei-justitiei.html" TargetMode="External"/><Relationship Id="rId3" Type="http://schemas.openxmlformats.org/officeDocument/2006/relationships/hyperlink" Target="https://ec.europa.eu/info/files/progress-report-romania-2017-com-2017-751_en" TargetMode="External"/><Relationship Id="rId7" Type="http://schemas.openxmlformats.org/officeDocument/2006/relationships/hyperlink" Target="https://ec.europa.eu/commission/sites/beta-political/files/political-guidelines-next-commission_en.pdf" TargetMode="External"/><Relationship Id="rId12" Type="http://schemas.openxmlformats.org/officeDocument/2006/relationships/hyperlink" Target="http://portal.just.ro/36/SitePages/Dosar.aspx?id_dosar=200000000361685&amp;id_inst=36" TargetMode="External"/><Relationship Id="rId2" Type="http://schemas.openxmlformats.org/officeDocument/2006/relationships/hyperlink" Target="https://ec.europa.eu/info/files/progress-report-romania-2017-com-2017-44_en" TargetMode="External"/><Relationship Id="rId1" Type="http://schemas.openxmlformats.org/officeDocument/2006/relationships/hyperlink" Target="https://ec.europa.eu/info/sites/info/files/20171212-st15587_en.pdf" TargetMode="External"/><Relationship Id="rId6" Type="http://schemas.openxmlformats.org/officeDocument/2006/relationships/hyperlink" Target="https://ec.europa.eu/info/sites/info/files/2018-st15187_en.pdf" TargetMode="External"/><Relationship Id="rId11" Type="http://schemas.openxmlformats.org/officeDocument/2006/relationships/hyperlink" Target="http://www.inspectiajudiciara.ro/Download.aspx?guid=7c561595-2efe-4ce4-abd7-3150b5d52274|InfoCSM" TargetMode="External"/><Relationship Id="rId5" Type="http://schemas.openxmlformats.org/officeDocument/2006/relationships/hyperlink" Target="https://ec.europa.eu/info/sites/info/files/progress-report-romania-2018-com-2018-com-2018-851_en.pdf" TargetMode="External"/><Relationship Id="rId15" Type="http://schemas.openxmlformats.org/officeDocument/2006/relationships/hyperlink" Target="https://rm.coe.int/CoERMPublicCommonSearchServices/DisplayDCTMContent?documentId=09000016806dda63" TargetMode="External"/><Relationship Id="rId10" Type="http://schemas.openxmlformats.org/officeDocument/2006/relationships/hyperlink" Target="https://www.csm1909.ro/ViewFile.ashx?guid=38b70eb6-641a-4794-9109-e6805dfd778e|InfoCSM" TargetMode="External"/><Relationship Id="rId4" Type="http://schemas.openxmlformats.org/officeDocument/2006/relationships/hyperlink" Target="https://ec.europa.eu/info/sites/info/files/20171212-st15587_en.pdf" TargetMode="External"/><Relationship Id="rId9" Type="http://schemas.openxmlformats.org/officeDocument/2006/relationships/hyperlink" Target="https://www.csm1909.ro/ViewFile.ashx?guid=2be852a5-365b-44e2-990d-47696231789a|InfoCSM" TargetMode="External"/><Relationship Id="rId14" Type="http://schemas.openxmlformats.org/officeDocument/2006/relationships/hyperlink" Target="http://www.cdep.ro/pls/dic/site2015.page?id=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01D1-7617-4912-93B7-EE9928FE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7188</Words>
  <Characters>50318</Characters>
  <Application>Microsoft Office Word</Application>
  <DocSecurity>0</DocSecurity>
  <Lines>653</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57357</CharactersWithSpaces>
  <SharedDoc>false</SharedDoc>
  <HLinks>
    <vt:vector size="24" baseType="variant">
      <vt:variant>
        <vt:i4>3407895</vt:i4>
      </vt:variant>
      <vt:variant>
        <vt:i4>9</vt:i4>
      </vt:variant>
      <vt:variant>
        <vt:i4>0</vt:i4>
      </vt:variant>
      <vt:variant>
        <vt:i4>5</vt:i4>
      </vt:variant>
      <vt:variant>
        <vt:lpwstr>http://www.echr.coe.int/Documents/Guide_Art_6_ENG.pdf</vt:lpwstr>
      </vt:variant>
      <vt:variant>
        <vt:lpwstr/>
      </vt:variant>
      <vt:variant>
        <vt:i4>6946874</vt:i4>
      </vt:variant>
      <vt:variant>
        <vt:i4>6</vt:i4>
      </vt:variant>
      <vt:variant>
        <vt:i4>0</vt:i4>
      </vt:variant>
      <vt:variant>
        <vt:i4>5</vt:i4>
      </vt:variant>
      <vt:variant>
        <vt:lpwstr>http://ec.europa.eu/COMMFrontOffice/PublicOpinion/index.cfm/Survey/getSurveyDetail/instruments/FLASH/surveyKy/2084</vt:lpwstr>
      </vt:variant>
      <vt:variant>
        <vt:lpwstr/>
      </vt:variant>
      <vt:variant>
        <vt:i4>1441889</vt:i4>
      </vt:variant>
      <vt:variant>
        <vt:i4>3</vt:i4>
      </vt:variant>
      <vt:variant>
        <vt:i4>0</vt:i4>
      </vt:variant>
      <vt:variant>
        <vt:i4>5</vt:i4>
      </vt:variant>
      <vt:variant>
        <vt:lpwstr>https://search.coe.int/cm/Pages/result_details.aspx?ObjectId=09000016806d8adb</vt:lpwstr>
      </vt:variant>
      <vt:variant>
        <vt:lpwstr/>
      </vt:variant>
      <vt:variant>
        <vt:i4>7209018</vt:i4>
      </vt:variant>
      <vt:variant>
        <vt:i4>0</vt:i4>
      </vt:variant>
      <vt:variant>
        <vt:i4>0</vt:i4>
      </vt:variant>
      <vt:variant>
        <vt:i4>5</vt:i4>
      </vt:variant>
      <vt:variant>
        <vt:lpwstr>http://www.inscop.ro/wp-content/uploads/2016/04/INSCOP-raport-martie-2016-INCREDERE-INSTITUTII.pdf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18</cp:revision>
  <cp:lastPrinted>2019-10-21T07:08:00Z</cp:lastPrinted>
  <dcterms:created xsi:type="dcterms:W3CDTF">2019-10-25T12:20:00Z</dcterms:created>
  <dcterms:modified xsi:type="dcterms:W3CDTF">2019-10-28T09:45:00Z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