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eastAsia="zh-CN"/>
        </w:rPr>
      </w:pPr>
      <w:bookmarkStart w:id="0" w:name="LW_BM_COVERPAGE"/>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864093D0-A8A7-43F2-847D-540F356A7CF9" style="width:450.8pt;height:320.45pt">
            <v:imagedata r:id="rId9" o:title=""/>
          </v:shape>
        </w:pict>
      </w:r>
    </w:p>
    <w:bookmarkEnd w:id="0"/>
    <w:p>
      <w:pPr>
        <w:pStyle w:val="Pagedecouverture"/>
        <w:rPr>
          <w:lang w:eastAsia="zh-CN"/>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rFonts w:ascii="Times New Roman" w:hAnsi="Times New Roman" w:cs="Times New Roman"/>
          <w:b/>
          <w:noProof/>
          <w:color w:val="auto"/>
          <w:sz w:val="24"/>
          <w:szCs w:val="24"/>
        </w:rPr>
      </w:pPr>
      <w:bookmarkStart w:id="1" w:name="_Toc6317505"/>
      <w:bookmarkStart w:id="2" w:name="_Toc6317704"/>
      <w:bookmarkStart w:id="3" w:name="_Toc19804384"/>
      <w:bookmarkStart w:id="4" w:name="_GoBack"/>
      <w:bookmarkEnd w:id="1"/>
      <w:bookmarkEnd w:id="2"/>
      <w:bookmarkEnd w:id="4"/>
      <w:r>
        <w:rPr>
          <w:rFonts w:ascii="Times New Roman" w:hAnsi="Times New Roman" w:cs="Times New Roman"/>
          <w:b/>
          <w:noProof/>
          <w:color w:val="auto"/>
          <w:sz w:val="24"/>
          <w:szCs w:val="24"/>
        </w:rPr>
        <w:lastRenderedPageBreak/>
        <w:t>Introduction</w:t>
      </w:r>
      <w:bookmarkEnd w:id="3"/>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The annual Union </w:t>
      </w:r>
      <w:r>
        <w:rPr>
          <w:rFonts w:ascii="Times New Roman" w:hAnsi="Times New Roman" w:cs="Times New Roman"/>
          <w:b/>
          <w:noProof/>
          <w:sz w:val="24"/>
          <w:szCs w:val="24"/>
        </w:rPr>
        <w:t>work programme</w:t>
      </w:r>
      <w:r>
        <w:rPr>
          <w:rFonts w:ascii="Times New Roman" w:hAnsi="Times New Roman" w:cs="Times New Roman"/>
          <w:noProof/>
          <w:sz w:val="24"/>
          <w:szCs w:val="24"/>
        </w:rPr>
        <w:t xml:space="preserve"> for European standardisation</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xml:space="preserve"> (work programme) for 2020 identifies priorities for European standardisation. It sets out the specific objectives and policies for European standards and standardisation deliverables in the coming period and lists the type of actions the Commission intends to take</w:t>
      </w:r>
      <w:r>
        <w:rPr>
          <w:rFonts w:ascii="Times New Roman" w:hAnsi="Times New Roman" w:cs="Times New Roman"/>
          <w:b/>
          <w:noProof/>
          <w:sz w:val="24"/>
          <w:szCs w:val="24"/>
          <w:vertAlign w:val="superscript"/>
        </w:rPr>
        <w:footnoteReference w:id="2"/>
      </w:r>
      <w:r>
        <w:rPr>
          <w:rFonts w:ascii="Times New Roman" w:hAnsi="Times New Roman" w:cs="Times New Roman"/>
          <w:noProof/>
          <w:sz w:val="24"/>
          <w:szCs w:val="24"/>
        </w:rPr>
        <w:t>. These actions on European standardisation are embedded in Union policies, such as the digital and single markets, energy efficiency &amp; climate and international trade. Standards support these policies to ensure that European products and services are competitive worldwide and reflect state-of-the-art safety, security, health and environmental considerations.</w:t>
      </w:r>
    </w:p>
    <w:p>
      <w:pPr>
        <w:jc w:val="both"/>
        <w:rPr>
          <w:rFonts w:ascii="Times New Roman" w:hAnsi="Times New Roman" w:cs="Times New Roman"/>
          <w:noProof/>
          <w:sz w:val="24"/>
          <w:szCs w:val="24"/>
        </w:rPr>
      </w:pPr>
      <w:r>
        <w:rPr>
          <w:rFonts w:ascii="Times New Roman" w:hAnsi="Times New Roman" w:cs="Times New Roman"/>
          <w:noProof/>
          <w:sz w:val="24"/>
          <w:szCs w:val="24"/>
        </w:rPr>
        <w:t>The work programme also outlines the actions that the Commission intends to initiate during 2020 to improve the governance, inclusiveness and international impact of the European standardisation system (ESS).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work programme has no budgetary impact over and above what is already set out in the Draft Budget 2020.</w:t>
      </w:r>
    </w:p>
    <w:p>
      <w:pPr>
        <w:pStyle w:val="Heading1"/>
        <w:numPr>
          <w:ilvl w:val="0"/>
          <w:numId w:val="0"/>
        </w:numPr>
        <w:ind w:left="431"/>
        <w:rPr>
          <w:rFonts w:ascii="Times New Roman" w:hAnsi="Times New Roman" w:cs="Times New Roman"/>
          <w:b/>
          <w:noProof/>
          <w:color w:val="auto"/>
          <w:sz w:val="24"/>
          <w:szCs w:val="24"/>
        </w:rPr>
      </w:pPr>
    </w:p>
    <w:p>
      <w:pPr>
        <w:pStyle w:val="Heading1"/>
        <w:ind w:left="431" w:hanging="431"/>
        <w:rPr>
          <w:rFonts w:ascii="Times New Roman" w:hAnsi="Times New Roman" w:cs="Times New Roman"/>
          <w:b/>
          <w:noProof/>
          <w:color w:val="auto"/>
          <w:sz w:val="24"/>
          <w:szCs w:val="24"/>
        </w:rPr>
      </w:pPr>
      <w:bookmarkStart w:id="5" w:name="_Toc19804385"/>
      <w:r>
        <w:rPr>
          <w:rFonts w:ascii="Times New Roman" w:hAnsi="Times New Roman" w:cs="Times New Roman"/>
          <w:b/>
          <w:noProof/>
          <w:color w:val="auto"/>
          <w:sz w:val="24"/>
          <w:szCs w:val="24"/>
        </w:rPr>
        <w:t>Priorities for European standardisation</w:t>
      </w:r>
      <w:bookmarkEnd w:id="5"/>
      <w:r>
        <w:rPr>
          <w:rFonts w:ascii="Times New Roman" w:hAnsi="Times New Roman" w:cs="Times New Roman"/>
          <w:b/>
          <w:noProof/>
          <w:color w:val="auto"/>
          <w:sz w:val="24"/>
          <w:szCs w:val="24"/>
        </w:rPr>
        <w:t xml:space="preserve">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Standards have an important economic impact, and companies and consumers in the single market feel their benefits every day. A well-functioning standardisation system helps Europe to safeguard its advantage as first mover and to keep pace with changes and opportunities created by market developments. At the same time, standards guarantee a high level of safety, health, consumer and environmental aspects to protect European citizens. </w:t>
      </w:r>
    </w:p>
    <w:p>
      <w:pPr>
        <w:jc w:val="both"/>
        <w:rPr>
          <w:rFonts w:ascii="Times New Roman" w:hAnsi="Times New Roman" w:cs="Times New Roman"/>
          <w:noProof/>
          <w:sz w:val="24"/>
          <w:szCs w:val="24"/>
        </w:rPr>
      </w:pPr>
      <w:r>
        <w:rPr>
          <w:rFonts w:ascii="Times New Roman" w:hAnsi="Times New Roman" w:cs="Times New Roman"/>
          <w:noProof/>
          <w:sz w:val="24"/>
          <w:szCs w:val="24"/>
        </w:rPr>
        <w:t>Standards play an enabling role by offering manufacturers a stable basis for investing in new technologies and the digitisation of manufacturing processes.</w:t>
      </w:r>
    </w:p>
    <w:p>
      <w:pPr>
        <w:jc w:val="both"/>
        <w:rPr>
          <w:rFonts w:ascii="Times New Roman" w:hAnsi="Times New Roman" w:cs="Times New Roman"/>
          <w:noProof/>
          <w:sz w:val="24"/>
          <w:szCs w:val="24"/>
        </w:rPr>
      </w:pPr>
      <w:r>
        <w:rPr>
          <w:rFonts w:ascii="Times New Roman" w:hAnsi="Times New Roman" w:cs="Times New Roman"/>
          <w:noProof/>
          <w:sz w:val="24"/>
          <w:szCs w:val="24"/>
        </w:rPr>
        <w:t>This section outlines requests for developing and/or revising harmonised</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European standards in support of Union’s legislation and reviews the Commission’s broader strategic priorities for European standardisation. The Commission will closely monitor the work programmes of the European standardisation organisations to ensure that the requests discussed below are duly developed and the Commission’s strategic priorities are considered.  </w:t>
      </w:r>
    </w:p>
    <w:p>
      <w:pPr>
        <w:pStyle w:val="Heading2"/>
        <w:spacing w:after="240"/>
        <w:ind w:left="578" w:hanging="578"/>
        <w:rPr>
          <w:rFonts w:ascii="Times New Roman" w:hAnsi="Times New Roman" w:cs="Times New Roman"/>
          <w:b/>
          <w:i/>
          <w:noProof/>
          <w:color w:val="auto"/>
          <w:sz w:val="24"/>
          <w:szCs w:val="24"/>
          <w:lang w:eastAsia="zh-CN"/>
        </w:rPr>
      </w:pPr>
      <w:bookmarkStart w:id="6" w:name="_Toc19804386"/>
      <w:r>
        <w:rPr>
          <w:rFonts w:ascii="Times New Roman" w:hAnsi="Times New Roman" w:cs="Times New Roman"/>
          <w:b/>
          <w:i/>
          <w:noProof/>
          <w:color w:val="auto"/>
          <w:sz w:val="24"/>
          <w:szCs w:val="24"/>
          <w:lang w:eastAsia="zh-CN"/>
        </w:rPr>
        <w:t>Harmonised European standards in support of EU legislation</w:t>
      </w:r>
      <w:bookmarkEnd w:id="6"/>
    </w:p>
    <w:p>
      <w:pPr>
        <w:jc w:val="both"/>
        <w:rPr>
          <w:rFonts w:ascii="Times New Roman" w:hAnsi="Times New Roman" w:cs="Times New Roman"/>
          <w:noProof/>
          <w:sz w:val="24"/>
          <w:szCs w:val="24"/>
        </w:rPr>
      </w:pPr>
      <w:r>
        <w:rPr>
          <w:rFonts w:ascii="Times New Roman" w:hAnsi="Times New Roman" w:cs="Times New Roman"/>
          <w:noProof/>
          <w:sz w:val="24"/>
          <w:szCs w:val="24"/>
        </w:rPr>
        <w:t>The European standardisation system is based on a public-private partnership between the Commission and the standardisation community. Its uniqueness lies in the use of harmonised European standards. These standards are developed (or revised as the case may be) on the basis of a request by the Commission to apply Union harmonisation legislation</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xml:space="preserve">. When </w:t>
      </w:r>
      <w:r>
        <w:rPr>
          <w:rFonts w:ascii="Times New Roman" w:hAnsi="Times New Roman" w:cs="Times New Roman"/>
          <w:noProof/>
          <w:sz w:val="24"/>
          <w:szCs w:val="24"/>
        </w:rPr>
        <w:lastRenderedPageBreak/>
        <w:t xml:space="preserve">adopted, the standards become part of Union law, and when used, they provide manufacturers across the single market with a presumption that their products are in conformity with the requirements of Union legislation.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This provides important legal certainty and stability to users of harmonised standards. It reduces costs for manufacturers, which is in turn important for investors, and allows small and medium-sized businesses to place products in compliance with Union legislation on the market without additional costs. It also increases the public responsibility of the regulators who must oversee these harmonised standards appropriately. In 2020, the Commission intends to request that harmonised standards supporting EU legislation be developed and/or revised in several key areas such as the protection of environment and the single market for goods.  </w:t>
      </w:r>
    </w:p>
    <w:p>
      <w:pPr>
        <w:jc w:val="both"/>
        <w:rPr>
          <w:rFonts w:ascii="Times New Roman" w:hAnsi="Times New Roman" w:cs="Times New Roman"/>
          <w:noProof/>
          <w:sz w:val="24"/>
          <w:szCs w:val="24"/>
        </w:rPr>
      </w:pPr>
      <w:r>
        <w:rPr>
          <w:rFonts w:ascii="Times New Roman" w:hAnsi="Times New Roman" w:cs="Times New Roman"/>
          <w:noProof/>
          <w:sz w:val="24"/>
          <w:szCs w:val="24"/>
        </w:rPr>
        <w:t>The Commission will ask for the development of standards for the recycling and the reuse of plastic fishing gear</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These harmonised standards will support the implementation of Directive 2019/904 on the reduction of the impact of certain plastic products on the environment.</w:t>
      </w:r>
    </w:p>
    <w:p>
      <w:pPr>
        <w:jc w:val="both"/>
        <w:rPr>
          <w:rFonts w:ascii="Times New Roman" w:hAnsi="Times New Roman" w:cs="Times New Roman"/>
          <w:noProof/>
          <w:sz w:val="24"/>
          <w:szCs w:val="24"/>
        </w:rPr>
      </w:pPr>
      <w:r>
        <w:rPr>
          <w:rFonts w:ascii="Times New Roman" w:hAnsi="Times New Roman" w:cs="Times New Roman"/>
          <w:noProof/>
          <w:sz w:val="24"/>
          <w:szCs w:val="24"/>
        </w:rPr>
        <w:t>Pursuant to the objectives of the Regulation (EU) 2017/1369 on energy labelling and of the Directive 2009/125/EC on ecodesign requirements the Commission will propose the development of standards to measure the energy performance of electrical motors, water heaters washing machines and household washer-dryers. These standards will support the implementing legal acts</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xml:space="preserve"> related with the specific product categories.</w:t>
      </w:r>
    </w:p>
    <w:p>
      <w:pPr>
        <w:jc w:val="both"/>
        <w:rPr>
          <w:rFonts w:ascii="Times New Roman" w:eastAsia="Times New Roman" w:hAnsi="Times New Roman" w:cs="Times New Roman"/>
          <w:noProof/>
          <w:sz w:val="24"/>
          <w:szCs w:val="24"/>
          <w:lang w:eastAsia="en-GB"/>
        </w:rPr>
      </w:pPr>
      <w:r>
        <w:rPr>
          <w:rFonts w:ascii="Times New Roman" w:hAnsi="Times New Roman" w:cs="Times New Roman"/>
          <w:noProof/>
          <w:sz w:val="24"/>
          <w:szCs w:val="24"/>
          <w:lang w:val="en-IE"/>
        </w:rPr>
        <w:t xml:space="preserve">One of the key initiatives in this context will be the update by the European standardisation organisations </w:t>
      </w:r>
      <w:r>
        <w:rPr>
          <w:rFonts w:ascii="Times New Roman" w:eastAsia="Times New Roman" w:hAnsi="Times New Roman" w:cs="Times New Roman"/>
          <w:noProof/>
          <w:sz w:val="24"/>
          <w:szCs w:val="24"/>
          <w:lang w:eastAsia="en-GB"/>
        </w:rPr>
        <w:t xml:space="preserve">of the current harmonised standards, which </w:t>
      </w:r>
      <w:r>
        <w:rPr>
          <w:rFonts w:ascii="Times New Roman" w:hAnsi="Times New Roman" w:cs="Times New Roman"/>
          <w:noProof/>
          <w:sz w:val="24"/>
          <w:szCs w:val="24"/>
          <w:lang w:val="en-IE"/>
        </w:rPr>
        <w:t xml:space="preserve">the Commission intends to request </w:t>
      </w:r>
      <w:r>
        <w:rPr>
          <w:rFonts w:ascii="Times New Roman" w:eastAsia="Times New Roman" w:hAnsi="Times New Roman" w:cs="Times New Roman"/>
          <w:noProof/>
          <w:sz w:val="24"/>
          <w:szCs w:val="24"/>
          <w:lang w:eastAsia="en-GB"/>
        </w:rPr>
        <w:t>in order to reflect the requirements of Directive 2013/29/EU on pyrotechnic articles and the latest developments in technology</w:t>
      </w:r>
      <w:r>
        <w:rPr>
          <w:rStyle w:val="FootnoteReference"/>
          <w:rFonts w:ascii="Times New Roman" w:eastAsia="Times New Roman" w:hAnsi="Times New Roman" w:cs="Times New Roman"/>
          <w:noProof/>
          <w:sz w:val="24"/>
          <w:szCs w:val="24"/>
          <w:lang w:eastAsia="en-GB"/>
        </w:rPr>
        <w:footnoteReference w:id="7"/>
      </w:r>
      <w:r>
        <w:rPr>
          <w:rFonts w:ascii="Times New Roman" w:eastAsia="Times New Roman" w:hAnsi="Times New Roman" w:cs="Times New Roman"/>
          <w:noProof/>
          <w:sz w:val="24"/>
          <w:szCs w:val="24"/>
          <w:lang w:eastAsia="en-GB"/>
        </w:rPr>
        <w:t xml:space="preserve">. This update will increase the safety of pyrotechnic articles and the quality of conformity assessments of such articles by aligning the existing standards in this field with current legislative and safety requirements and with the latest technologies. </w:t>
      </w:r>
    </w:p>
    <w:p>
      <w:pPr>
        <w:jc w:val="both"/>
        <w:rPr>
          <w:rFonts w:ascii="Times New Roman" w:eastAsia="Times New Roman" w:hAnsi="Times New Roman" w:cs="Times New Roman"/>
          <w:noProof/>
          <w:sz w:val="24"/>
          <w:szCs w:val="24"/>
          <w:lang w:eastAsia="en-GB"/>
        </w:rPr>
      </w:pPr>
      <w:r>
        <w:rPr>
          <w:rFonts w:ascii="Times New Roman" w:hAnsi="Times New Roman" w:cs="Times New Roman"/>
          <w:noProof/>
          <w:sz w:val="24"/>
          <w:szCs w:val="24"/>
        </w:rPr>
        <w:t>In the medical area, in line with the requirements of the Basic Safety Standard, Council Directive 2013/59/Euratom, the Commission intends to request harmonised standards for the design, manufacturing, the installation, use and performance verification of radionuclide calibrators</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 xml:space="preserve">. These standards will improve the dose optimisation process by verification of the administered activity to patients using radionuclide calibrators. </w:t>
      </w:r>
    </w:p>
    <w:p>
      <w:pPr>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Further, the Commission intends to</w:t>
      </w:r>
      <w:r>
        <w:rPr>
          <w:rFonts w:ascii="Times New Roman" w:hAnsi="Times New Roman" w:cs="Times New Roman"/>
          <w:noProof/>
          <w:sz w:val="24"/>
          <w:szCs w:val="24"/>
          <w:lang w:val="en-IE"/>
        </w:rPr>
        <w:t xml:space="preserve"> ask the European standardisation organisations to revise the harmonised standards used in support of </w:t>
      </w:r>
      <w:r>
        <w:rPr>
          <w:rFonts w:ascii="Times New Roman" w:eastAsia="Times New Roman" w:hAnsi="Times New Roman" w:cs="Times New Roman"/>
          <w:noProof/>
          <w:sz w:val="24"/>
          <w:szCs w:val="24"/>
          <w:lang w:eastAsia="en-GB"/>
        </w:rPr>
        <w:t>Directive 2014/34/EU relating to equipment and protective systems intended for use in potentially explosive atmospheres in order to reflect the technological updates</w:t>
      </w:r>
      <w:r>
        <w:rPr>
          <w:rStyle w:val="FootnoteReference"/>
          <w:rFonts w:ascii="Times New Roman" w:eastAsia="Times New Roman" w:hAnsi="Times New Roman" w:cs="Times New Roman"/>
          <w:noProof/>
          <w:sz w:val="24"/>
          <w:szCs w:val="24"/>
          <w:lang w:eastAsia="en-GB"/>
        </w:rPr>
        <w:footnoteReference w:id="9"/>
      </w:r>
      <w:r>
        <w:rPr>
          <w:rFonts w:ascii="Times New Roman" w:eastAsia="Times New Roman" w:hAnsi="Times New Roman" w:cs="Times New Roman"/>
          <w:noProof/>
          <w:sz w:val="24"/>
          <w:szCs w:val="24"/>
          <w:lang w:eastAsia="en-GB"/>
        </w:rPr>
        <w:t xml:space="preserve">. </w:t>
      </w:r>
    </w:p>
    <w:p>
      <w:pPr>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lastRenderedPageBreak/>
        <w:t>The newly adopted Regulation (EU) 2019/1009 on fertilisers extends its scope from fertilisers made from mined or chemically produced, inorganic materials to fertilisers made from recycled or organic materials. Harmonisation of analytical test methods for verifying the conformity of fertilising products from secondary raw material will enable common inspection and testing practices for conformity to legal requirements, facilitating trade in the single market</w:t>
      </w:r>
      <w:r>
        <w:rPr>
          <w:rStyle w:val="FootnoteReference"/>
          <w:rFonts w:ascii="Times New Roman" w:eastAsia="Times New Roman" w:hAnsi="Times New Roman" w:cs="Times New Roman"/>
          <w:noProof/>
          <w:sz w:val="24"/>
          <w:szCs w:val="24"/>
          <w:lang w:eastAsia="en-GB"/>
        </w:rPr>
        <w:footnoteReference w:id="10"/>
      </w:r>
      <w:r>
        <w:rPr>
          <w:rFonts w:ascii="Times New Roman" w:eastAsia="Times New Roman" w:hAnsi="Times New Roman" w:cs="Times New Roman"/>
          <w:noProof/>
          <w:sz w:val="24"/>
          <w:szCs w:val="24"/>
          <w:lang w:eastAsia="en-GB"/>
        </w:rPr>
        <w:t xml:space="preserve">. </w:t>
      </w:r>
    </w:p>
    <w:p>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In the context of the Regulation(EC) 1907/2006 concerning the Registration, Evaluation, Authorisation and Restriction of Chemicals the Commission intents to ask the European standardisation organisations for the development of migration limits of the restricted substances (polycyclic aromatic hydrocarbons) in rubber and plastic material used in consumer articles</w:t>
      </w:r>
      <w:r>
        <w:rPr>
          <w:rStyle w:val="FootnoteReference"/>
          <w:rFonts w:ascii="Times New Roman" w:eastAsia="Times New Roman" w:hAnsi="Times New Roman" w:cs="Times New Roman"/>
          <w:noProof/>
          <w:sz w:val="24"/>
          <w:szCs w:val="24"/>
          <w:lang w:eastAsia="en-GB"/>
        </w:rPr>
        <w:footnoteReference w:id="11"/>
      </w:r>
      <w:r>
        <w:rPr>
          <w:rFonts w:ascii="Times New Roman" w:eastAsia="Times New Roman" w:hAnsi="Times New Roman" w:cs="Times New Roman"/>
          <w:noProof/>
          <w:sz w:val="24"/>
          <w:szCs w:val="24"/>
          <w:lang w:eastAsia="en-GB"/>
        </w:rPr>
        <w:t>.</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A common technical language is required for the appropriate functioning of the harmonisation system created in or by means of the </w:t>
      </w:r>
      <w:r>
        <w:rPr>
          <w:rFonts w:ascii="Times New Roman" w:eastAsia="Times New Roman" w:hAnsi="Times New Roman" w:cs="Times New Roman"/>
          <w:noProof/>
          <w:color w:val="000000"/>
          <w:sz w:val="24"/>
          <w:szCs w:val="24"/>
          <w:lang w:eastAsia="en-GB"/>
        </w:rPr>
        <w:t>construction products Regulation (EU) 305/2011</w:t>
      </w:r>
      <w:r>
        <w:rPr>
          <w:rFonts w:ascii="Times New Roman" w:eastAsia="Times New Roman" w:hAnsi="Times New Roman" w:cs="Times New Roman"/>
          <w:noProof/>
          <w:sz w:val="24"/>
          <w:szCs w:val="24"/>
          <w:lang w:eastAsia="en-GB"/>
        </w:rPr>
        <w:t>. The Commission intends to ask for the development of a series of standards in this regard</w:t>
      </w:r>
      <w:r>
        <w:rPr>
          <w:rStyle w:val="FootnoteReference"/>
          <w:rFonts w:ascii="Times New Roman" w:eastAsia="Times New Roman" w:hAnsi="Times New Roman" w:cs="Times New Roman"/>
          <w:noProof/>
          <w:sz w:val="24"/>
          <w:szCs w:val="24"/>
          <w:lang w:eastAsia="en-GB"/>
        </w:rPr>
        <w:footnoteReference w:id="12"/>
      </w:r>
      <w:r>
        <w:rPr>
          <w:rFonts w:ascii="Times New Roman" w:eastAsia="Times New Roman" w:hAnsi="Times New Roman" w:cs="Times New Roman"/>
          <w:noProof/>
          <w:sz w:val="24"/>
          <w:szCs w:val="24"/>
          <w:lang w:eastAsia="en-GB"/>
        </w:rPr>
        <w:t xml:space="preserve">.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sz w:val="24"/>
          <w:szCs w:val="24"/>
          <w:lang w:eastAsia="en-GB"/>
        </w:rPr>
        <w:t>Given the impact of the conformity bodies in the internal market and in particular on SMEs it is important to ensure that accreditation and conformity assessment have the same stringency in all Member States. Therefore, the Commission will ask for the development of harmonised standards</w:t>
      </w:r>
      <w:r>
        <w:rPr>
          <w:rStyle w:val="FootnoteReference"/>
          <w:rFonts w:ascii="Times New Roman" w:eastAsia="Times New Roman" w:hAnsi="Times New Roman" w:cs="Times New Roman"/>
          <w:noProof/>
          <w:sz w:val="24"/>
          <w:szCs w:val="24"/>
          <w:lang w:eastAsia="en-GB"/>
        </w:rPr>
        <w:footnoteReference w:id="13"/>
      </w:r>
      <w:r>
        <w:rPr>
          <w:rFonts w:ascii="Times New Roman" w:eastAsia="Times New Roman" w:hAnsi="Times New Roman" w:cs="Times New Roman"/>
          <w:noProof/>
          <w:sz w:val="24"/>
          <w:szCs w:val="24"/>
          <w:lang w:eastAsia="en-GB"/>
        </w:rPr>
        <w:t xml:space="preserve"> in support of the accreditation </w:t>
      </w:r>
      <w:r>
        <w:rPr>
          <w:rFonts w:ascii="Times New Roman" w:eastAsia="Times New Roman" w:hAnsi="Times New Roman" w:cs="Times New Roman"/>
          <w:noProof/>
          <w:color w:val="000000"/>
          <w:sz w:val="24"/>
          <w:szCs w:val="24"/>
          <w:lang w:eastAsia="en-GB"/>
        </w:rPr>
        <w:t>Regulation (EC) 765/2008 and of the market surveillance Regulation (EC) 1221/2009.</w:t>
      </w:r>
    </w:p>
    <w:p>
      <w:pPr>
        <w:spacing w:after="0" w:line="240" w:lineRule="auto"/>
        <w:jc w:val="both"/>
        <w:rPr>
          <w:rFonts w:ascii="Times New Roman" w:eastAsia="Times New Roman" w:hAnsi="Times New Roman" w:cs="Times New Roman"/>
          <w:noProof/>
          <w:sz w:val="24"/>
          <w:szCs w:val="24"/>
          <w:lang w:eastAsia="en-GB"/>
        </w:rPr>
      </w:pPr>
    </w:p>
    <w:p>
      <w:pPr>
        <w:jc w:val="both"/>
        <w:rPr>
          <w:rFonts w:ascii="Times New Roman" w:hAnsi="Times New Roman" w:cs="Times New Roman"/>
          <w:noProof/>
          <w:sz w:val="24"/>
          <w:szCs w:val="24"/>
        </w:rPr>
      </w:pPr>
      <w:r>
        <w:rPr>
          <w:rFonts w:ascii="Times New Roman" w:hAnsi="Times New Roman" w:cs="Times New Roman"/>
          <w:noProof/>
          <w:sz w:val="24"/>
          <w:szCs w:val="24"/>
        </w:rPr>
        <w:t>Last but not least, harmonised standards will be needed to support the compliance with the accessibility requirements for products and services set by Directive (EU) 2019/882</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 These standards will help to h</w:t>
      </w:r>
      <w:r>
        <w:rPr>
          <w:rFonts w:ascii="Times New Roman" w:eastAsia="Times New Roman" w:hAnsi="Times New Roman" w:cs="Times New Roman"/>
          <w:noProof/>
          <w:sz w:val="24"/>
          <w:szCs w:val="24"/>
          <w:lang w:eastAsia="en-GB"/>
        </w:rPr>
        <w:t>armonise the approaches that manufacturers and service providers currently use to comply with requirements whenever they produce/provide products and services with specific accessibility features, thus enabling persons with disabilities to have better access to products and services in the internal market.</w:t>
      </w:r>
    </w:p>
    <w:p>
      <w:pPr>
        <w:pStyle w:val="Heading2"/>
        <w:spacing w:after="240"/>
        <w:ind w:left="578" w:hanging="578"/>
        <w:rPr>
          <w:rFonts w:ascii="Times New Roman" w:hAnsi="Times New Roman" w:cs="Times New Roman"/>
          <w:b/>
          <w:i/>
          <w:noProof/>
          <w:color w:val="auto"/>
          <w:sz w:val="24"/>
          <w:szCs w:val="24"/>
          <w:lang w:eastAsia="zh-CN"/>
        </w:rPr>
      </w:pPr>
      <w:bookmarkStart w:id="7" w:name="_Toc19804387"/>
      <w:r>
        <w:rPr>
          <w:rFonts w:ascii="Times New Roman" w:hAnsi="Times New Roman" w:cs="Times New Roman"/>
          <w:b/>
          <w:i/>
          <w:noProof/>
          <w:color w:val="auto"/>
          <w:sz w:val="24"/>
          <w:szCs w:val="24"/>
          <w:lang w:eastAsia="zh-CN"/>
        </w:rPr>
        <w:t>Strategic priorities for the European standardisation system</w:t>
      </w:r>
      <w:bookmarkEnd w:id="7"/>
    </w:p>
    <w:p>
      <w:pPr>
        <w:jc w:val="both"/>
        <w:rPr>
          <w:rFonts w:ascii="Times New Roman" w:hAnsi="Times New Roman" w:cs="Times New Roman"/>
          <w:noProof/>
          <w:sz w:val="24"/>
          <w:szCs w:val="24"/>
          <w:lang w:eastAsia="zh-CN"/>
        </w:rPr>
      </w:pPr>
      <w:r>
        <w:rPr>
          <w:rFonts w:ascii="Times New Roman" w:hAnsi="Times New Roman" w:cs="Times New Roman"/>
          <w:noProof/>
          <w:sz w:val="24"/>
          <w:szCs w:val="24"/>
          <w:lang w:eastAsia="zh-CN"/>
        </w:rPr>
        <w:t xml:space="preserve">The Commission intends to continue its cooperation with its partners in the European standardisation system in strategically important fields to ensure that the standards developed support its broad policy priorities for a fully functioning single market.  </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Artificial intelligence (AI) will have a broad impact on the economy and the whole of society. In 2018 the Commission recognised the importance of AI for the single market in its Communication ‘Artificial Intelligence for Europe’</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 The Communication sets out a European initiative on AI as part of the digital single market and emphasises its importance for the Union’s industries in the competitive global market. Standardisation helps to address the challenges this key technology brings, particularly in terms of safety, liability and ethical considerations. Developing standards which reflect the European perspective for the operation of AI-based systems should be an important priority for the European standardisation organisations.</w:t>
      </w:r>
    </w:p>
    <w:p>
      <w:pPr>
        <w:spacing w:after="0"/>
        <w:jc w:val="both"/>
        <w:rPr>
          <w:rFonts w:ascii="Times New Roman" w:hAnsi="Times New Roman" w:cs="Times New Roman"/>
          <w:i/>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Standardisation is important for developing the Internet of things (IoT), as security, safety, reliability and interoperability are crucial in a world that revolves around smart devices. Hence, the European standardisation organisations should focus on developing standards to enhance security protocols, anticipate and reduce cyberattacks and ensure the interoperability of different IoT networks.</w:t>
      </w:r>
    </w:p>
    <w:p>
      <w:pPr>
        <w:jc w:val="both"/>
        <w:rPr>
          <w:rFonts w:ascii="Times New Roman" w:hAnsi="Times New Roman" w:cs="Times New Roman"/>
          <w:noProof/>
          <w:sz w:val="24"/>
          <w:szCs w:val="24"/>
        </w:rPr>
      </w:pPr>
      <w:r>
        <w:rPr>
          <w:rFonts w:ascii="Times New Roman" w:hAnsi="Times New Roman" w:cs="Times New Roman"/>
          <w:noProof/>
          <w:sz w:val="24"/>
          <w:szCs w:val="24"/>
        </w:rPr>
        <w:t>Protecting technologies from cyber-threats through cybersecurity is a precondition before they can be implemented and used. This is important because of the protection of privacy but also because of the protection of critical European infrastructure such as energy production plants and transmission and telecommunication networks. The ‘EU Cybersecurity Act’</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 xml:space="preserve"> establishes a European cybersecurity certification framework for ICT products, services and processes. Standardisation plays an important role in the new framework. The Commission is therefore expecting close cooperation on cybersecurity matters between the European standardisation organisations and the EU Agency for Cybersecurity, ENISA</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xml:space="preserve"> to help further complete the European single market, respond to the fast-changing and demanding realm of privacy and raise the level of cybersecurity in the EU in general.</w:t>
      </w:r>
    </w:p>
    <w:p>
      <w:pPr>
        <w:jc w:val="both"/>
        <w:rPr>
          <w:rFonts w:ascii="Times New Roman" w:hAnsi="Times New Roman" w:cs="Times New Roman"/>
          <w:noProof/>
          <w:sz w:val="24"/>
          <w:szCs w:val="24"/>
        </w:rPr>
      </w:pPr>
      <w:r>
        <w:rPr>
          <w:rFonts w:ascii="Times New Roman" w:hAnsi="Times New Roman" w:cs="Times New Roman"/>
          <w:noProof/>
          <w:sz w:val="24"/>
          <w:szCs w:val="24"/>
        </w:rPr>
        <w:t>The Commission has adopted a Recommendation on a ‘European Electronic Health Record exchange format’</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 The Recommendation supports the digital transformation of healthcare in the EU by seeking to unlock the flow of health data across borders and supporting Members States in their efforts to ensure that people can securely access and exchange their health data wherever they are in the EU. This technology will allow people to access their health data quickly and share it with healthcare professionals, for instance, when consulting a specialist or receiving emergency treatment in another EU country.</w:t>
      </w:r>
    </w:p>
    <w:p>
      <w:pPr>
        <w:jc w:val="both"/>
        <w:rPr>
          <w:rFonts w:ascii="Times New Roman" w:hAnsi="Times New Roman" w:cs="Times New Roman"/>
          <w:noProof/>
          <w:sz w:val="24"/>
          <w:szCs w:val="24"/>
        </w:rPr>
      </w:pPr>
      <w:r>
        <w:rPr>
          <w:rFonts w:ascii="Times New Roman" w:hAnsi="Times New Roman" w:cs="Times New Roman"/>
          <w:noProof/>
          <w:sz w:val="24"/>
          <w:szCs w:val="24"/>
        </w:rPr>
        <w:t>The European standardisation organisations should support the implementation of the recommended format for the exchange of European electronic health records by developing state-of-the-art standards to protect health data and ensure the security of network and information systems on which such electronic health record systems rely. This will help to avoid data breaches and minimise the risks of security incidents.</w:t>
      </w:r>
    </w:p>
    <w:p>
      <w:pPr>
        <w:jc w:val="both"/>
        <w:rPr>
          <w:rFonts w:ascii="Times New Roman" w:hAnsi="Times New Roman" w:cs="Times New Roman"/>
          <w:noProof/>
          <w:sz w:val="24"/>
          <w:szCs w:val="24"/>
        </w:rPr>
      </w:pPr>
      <w:bookmarkStart w:id="8" w:name="_Toc5095414"/>
      <w:bookmarkStart w:id="9" w:name="_Toc5095415"/>
      <w:bookmarkEnd w:id="8"/>
      <w:bookmarkEnd w:id="9"/>
      <w:r>
        <w:rPr>
          <w:rFonts w:ascii="Times New Roman" w:hAnsi="Times New Roman" w:cs="Times New Roman"/>
          <w:noProof/>
          <w:sz w:val="24"/>
          <w:szCs w:val="24"/>
        </w:rPr>
        <w:t>The Communication ‘On the road to automated mobility: An EU strategy for mobility of the future’</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 xml:space="preserve"> was adopted in 2018, highlighting that connected and automated mobility is likely to transform the way people move and the way vehicles are used, sold and owned. It will also open up new areas for business development and pave the way for new mobility services in a changing energy market. Whether such a mobility transition is successful depends on the performance, affordability and sustainability of the new system. The role of standardisation is to support the interoperability and interconnectivity between the different subsystems, i.e. vehicle, road and energy systems.</w:t>
      </w:r>
      <w:r>
        <w:rPr>
          <w:noProof/>
          <w:lang w:eastAsia="zh-CN"/>
        </w:rPr>
        <w:t xml:space="preserve"> </w:t>
      </w:r>
      <w:r>
        <w:rPr>
          <w:rFonts w:ascii="Times New Roman" w:hAnsi="Times New Roman" w:cs="Times New Roman"/>
          <w:noProof/>
          <w:sz w:val="24"/>
          <w:szCs w:val="24"/>
        </w:rPr>
        <w:t xml:space="preserve">The European standardisation organisations should work closely with the automotive industry, the energy providers and the ICT sector to develop standards related to the interoperability of cooperative systems spanning all vehicle classes, across borders and brands, and supporting the standardisation of communication protocols for multi-brand platooning is particularly important. </w:t>
      </w:r>
    </w:p>
    <w:p>
      <w:pPr>
        <w:jc w:val="both"/>
        <w:rPr>
          <w:rFonts w:ascii="Times New Roman" w:hAnsi="Times New Roman" w:cs="Times New Roman"/>
          <w:noProof/>
          <w:sz w:val="24"/>
          <w:szCs w:val="24"/>
        </w:rPr>
      </w:pPr>
      <w:r>
        <w:rPr>
          <w:rFonts w:ascii="Times New Roman" w:hAnsi="Times New Roman" w:cs="Times New Roman"/>
          <w:noProof/>
          <w:sz w:val="24"/>
          <w:szCs w:val="24"/>
        </w:rPr>
        <w:t>Similarly, the development of standards for digitisation, automation and cybersecurity is crucial for the rail sector. Such standards</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 xml:space="preserve"> will facilitate the integration of the different rail subsystems in a multimodal transport system and will secure its potential weak points or components from unauthorised access.</w:t>
      </w:r>
    </w:p>
    <w:p>
      <w:pPr>
        <w:spacing w:after="200"/>
        <w:jc w:val="both"/>
        <w:rPr>
          <w:rFonts w:ascii="Times New Roman" w:hAnsi="Times New Roman" w:cs="Times New Roman"/>
          <w:noProof/>
          <w:sz w:val="24"/>
          <w:szCs w:val="24"/>
        </w:rPr>
      </w:pPr>
      <w:bookmarkStart w:id="10" w:name="_Toc5095418"/>
      <w:bookmarkEnd w:id="10"/>
      <w:r>
        <w:rPr>
          <w:rFonts w:ascii="Times New Roman" w:hAnsi="Times New Roman" w:cs="Times New Roman"/>
          <w:noProof/>
          <w:sz w:val="24"/>
          <w:szCs w:val="24"/>
        </w:rPr>
        <w:t xml:space="preserve">The steel industry has achieved significant reductions in greenhouse gas emissions in the past decades by improving energy efficiency and deploying new technologies. However, the current processes have reached their limits and there is a need to develop new technologies to reduce greenhouse gas emissions further in order to reach the targets of the 2030 climate &amp; energy framework and the 2050 long-term strategy. Taking due account of standards at the research stage of new innovative production processes will help to ensure a smooth transition to a low-carbon economy. In addition, European standards can support a harmonised implementation of innovative steel production technologies in the single market. </w:t>
      </w:r>
    </w:p>
    <w:p>
      <w:pPr>
        <w:jc w:val="both"/>
        <w:rPr>
          <w:rFonts w:ascii="Times New Roman" w:hAnsi="Times New Roman" w:cs="Times New Roman"/>
          <w:noProof/>
          <w:sz w:val="24"/>
          <w:szCs w:val="24"/>
        </w:rPr>
      </w:pPr>
      <w:r>
        <w:rPr>
          <w:rFonts w:ascii="Times New Roman" w:hAnsi="Times New Roman" w:cs="Times New Roman"/>
          <w:noProof/>
          <w:sz w:val="24"/>
          <w:szCs w:val="24"/>
        </w:rPr>
        <w:t>The European defence industrial development programme (EDIDP)</w:t>
      </w:r>
      <w:r>
        <w:rPr>
          <w:rStyle w:val="FootnoteReference"/>
          <w:rFonts w:ascii="Times New Roman" w:hAnsi="Times New Roman" w:cs="Times New Roman"/>
          <w:noProof/>
          <w:sz w:val="24"/>
          <w:szCs w:val="24"/>
        </w:rPr>
        <w:footnoteReference w:id="21"/>
      </w:r>
      <w:r>
        <w:rPr>
          <w:rFonts w:ascii="Times New Roman" w:hAnsi="Times New Roman" w:cs="Times New Roman"/>
          <w:noProof/>
          <w:sz w:val="24"/>
          <w:szCs w:val="24"/>
        </w:rPr>
        <w:t xml:space="preserve"> aimed at supporting the competitiveness and innovation capacity of the Union’s defence industry. It is a pilot programme of the European Defence Fund (EDF), which will provide financial incentives for Member States to engage in joint research on defence equipment and technologies in the EU under the next multiannual financial framework (2021-2027). As part of the European Defence Action Plan, EDIDP is intended to provide the European defence industry with financial support during the development phase of new products and technologies in selected areas. The EDIDP work programme for 2020-2021 was adopted on 19 March 2019 and the calls for proposals for 2019 were published on 4 April 2019. Increased cooperation between the Member States on defence creates economies of scale by reducing the cost of producing and purchasing military material. Standards should support this cooperation by offering a common nomenclature for designing, developing and procuring the relevant material.</w:t>
      </w:r>
    </w:p>
    <w:p>
      <w:pPr>
        <w:pStyle w:val="Heading1"/>
        <w:rPr>
          <w:rFonts w:ascii="Times New Roman" w:hAnsi="Times New Roman" w:cs="Times New Roman"/>
          <w:b/>
          <w:noProof/>
          <w:color w:val="auto"/>
          <w:sz w:val="24"/>
          <w:szCs w:val="24"/>
        </w:rPr>
      </w:pPr>
      <w:bookmarkStart w:id="11" w:name="_Toc19804388"/>
      <w:r>
        <w:rPr>
          <w:rFonts w:ascii="Times New Roman" w:hAnsi="Times New Roman" w:cs="Times New Roman"/>
          <w:b/>
          <w:noProof/>
          <w:color w:val="auto"/>
          <w:sz w:val="24"/>
          <w:szCs w:val="24"/>
        </w:rPr>
        <w:t>International cooperation</w:t>
      </w:r>
      <w:bookmarkEnd w:id="11"/>
    </w:p>
    <w:p>
      <w:pPr>
        <w:jc w:val="both"/>
        <w:rPr>
          <w:rFonts w:ascii="Times New Roman" w:hAnsi="Times New Roman" w:cs="Times New Roman"/>
          <w:b/>
          <w:i/>
          <w:noProof/>
          <w:sz w:val="24"/>
          <w:szCs w:val="24"/>
        </w:rPr>
      </w:pPr>
    </w:p>
    <w:p>
      <w:p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The meeting of July 2018 between Presidents Juncker and Trump and the ensuing Joint Statement</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xml:space="preserve"> that explicitly mentions cooperation on standards as a priority to increase trade and growth in both regions led to the establishment of an EU-US Executive Working Group (EWG), where cooperation in standardisation is among the priority subjects discussed. </w:t>
      </w:r>
    </w:p>
    <w:p>
      <w:p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The 21st EU-China Summit of 9 April 2019</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xml:space="preserve"> gave new impetus to the relations between the two trade partners. Standardisation is now closely monitored as a key indicator for the opening of China's market, in particular the aspects of an access of EU companies/subsidiaries to Chinese standardisation processes and the rate of China's adoption of international standards. To more effectively promote European standards, a systematic mapping of the Chinese standardisation landscape will be developed. In this context, the EU-China Working Group on ‘Standardisation’ represents an important platform for dialogue and cooperation.</w:t>
      </w:r>
    </w:p>
    <w:p>
      <w:p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Standardisation is always an essential part of the Technical Barriers to Trade (TBT) chapter of every free trade agreement (FTA) negotiated and will remain so in the future. The EU-Singapore FTA enters into force early 2020, and the negotiations on FTAs with Australia, New Zealand, Indonesia and Mercosur will continue, underlying the EU’s openness to the global arena in its pursuit to boost European competitiveness, jobs, and growth.</w:t>
      </w:r>
    </w:p>
    <w:p>
      <w:pPr>
        <w:rPr>
          <w:noProof/>
        </w:rPr>
      </w:pPr>
    </w:p>
    <w:p>
      <w:pPr>
        <w:pStyle w:val="Heading1"/>
        <w:rPr>
          <w:rFonts w:ascii="Times New Roman" w:hAnsi="Times New Roman" w:cs="Times New Roman"/>
          <w:b/>
          <w:noProof/>
          <w:color w:val="auto"/>
          <w:sz w:val="24"/>
          <w:szCs w:val="24"/>
        </w:rPr>
      </w:pPr>
      <w:bookmarkStart w:id="12" w:name="_Toc19804389"/>
      <w:r>
        <w:rPr>
          <w:rFonts w:ascii="Times New Roman" w:hAnsi="Times New Roman" w:cs="Times New Roman"/>
          <w:b/>
          <w:noProof/>
          <w:color w:val="auto"/>
          <w:sz w:val="24"/>
          <w:szCs w:val="24"/>
        </w:rPr>
        <w:t>Public-private partnership</w:t>
      </w:r>
      <w:bookmarkEnd w:id="12"/>
    </w:p>
    <w:p>
      <w:pPr>
        <w:rPr>
          <w:noProof/>
        </w:rPr>
      </w:pPr>
    </w:p>
    <w:p>
      <w:pPr>
        <w:pStyle w:val="Heading2"/>
        <w:rPr>
          <w:rFonts w:ascii="Times New Roman" w:hAnsi="Times New Roman" w:cs="Times New Roman"/>
          <w:b/>
          <w:i/>
          <w:noProof/>
          <w:color w:val="auto"/>
          <w:sz w:val="24"/>
          <w:szCs w:val="24"/>
          <w:lang w:eastAsia="zh-CN"/>
        </w:rPr>
      </w:pPr>
      <w:bookmarkStart w:id="13" w:name="_Toc19804390"/>
      <w:r>
        <w:rPr>
          <w:rFonts w:ascii="Times New Roman" w:hAnsi="Times New Roman" w:cs="Times New Roman"/>
          <w:b/>
          <w:i/>
          <w:noProof/>
          <w:color w:val="auto"/>
          <w:sz w:val="24"/>
          <w:szCs w:val="24"/>
          <w:lang w:eastAsia="zh-CN"/>
        </w:rPr>
        <w:t>Governance</w:t>
      </w:r>
      <w:bookmarkEnd w:id="13"/>
    </w:p>
    <w:p>
      <w:pPr>
        <w:pStyle w:val="Normal1"/>
        <w:spacing w:after="0" w:afterAutospacing="0" w:line="276" w:lineRule="auto"/>
        <w:jc w:val="both"/>
        <w:textAlignment w:val="baseline"/>
        <w:rPr>
          <w:noProof/>
          <w:color w:val="000000"/>
          <w:bdr w:val="none" w:sz="0" w:space="0" w:color="auto" w:frame="1"/>
          <w:lang w:val="en-GB"/>
        </w:rPr>
      </w:pPr>
      <w:r>
        <w:rPr>
          <w:noProof/>
          <w:color w:val="000000"/>
          <w:bdr w:val="none" w:sz="0" w:space="0" w:color="auto" w:frame="1"/>
          <w:lang w:val="en-GB"/>
        </w:rPr>
        <w:t>A timely delivery of high-quality standards remains the Commission’s priority. In that regard, harmonised standards should receive specific attention in order to meet the recent jurisprudence of the Court of Justice. As part of European law, harmonised standards must fulfill the defined criteria of quality in terms of both form and technical substance.</w:t>
      </w:r>
    </w:p>
    <w:p>
      <w:pPr>
        <w:spacing w:before="100" w:beforeAutospacing="1" w:line="276" w:lineRule="auto"/>
        <w:jc w:val="both"/>
        <w:rPr>
          <w:rFonts w:ascii="Times New Roman" w:hAnsi="Times New Roman" w:cs="Times New Roman"/>
          <w:noProof/>
          <w:sz w:val="24"/>
          <w:szCs w:val="24"/>
        </w:rPr>
      </w:pPr>
      <w:r>
        <w:rPr>
          <w:rFonts w:ascii="Times New Roman" w:hAnsi="Times New Roman" w:cs="Times New Roman"/>
          <w:noProof/>
          <w:color w:val="000000"/>
          <w:sz w:val="24"/>
          <w:szCs w:val="24"/>
          <w:bdr w:val="none" w:sz="0" w:space="0" w:color="auto" w:frame="1"/>
        </w:rPr>
        <w:t>In particular, the quality of the harmonised standards, which provide for the legal effect of presumption of conformity, require specific attention from both sides. Against this background, o</w:t>
      </w:r>
      <w:r>
        <w:rPr>
          <w:rFonts w:ascii="Times New Roman" w:hAnsi="Times New Roman" w:cs="Times New Roman"/>
          <w:noProof/>
          <w:sz w:val="24"/>
          <w:szCs w:val="24"/>
        </w:rPr>
        <w:t>n 22 November 2018, the Commission adopted the Communication on ‘Harmonised standards: Enhancing transparency and legal certainty for a fully functioning Single Market’</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The Communication provides an overview of the functioning of the European standardisation system and defines specific actions that the Commission will undertake to support the implementation of the European Standardisation Regulation</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w:t>
      </w:r>
    </w:p>
    <w:p>
      <w:pPr>
        <w:spacing w:before="100" w:beforeAutospacing="1" w:line="276" w:lineRule="auto"/>
        <w:jc w:val="both"/>
        <w:rPr>
          <w:rFonts w:ascii="Times New Roman" w:hAnsi="Times New Roman" w:cs="Times New Roman"/>
          <w:noProof/>
          <w:color w:val="000000"/>
          <w:sz w:val="24"/>
          <w:bdr w:val="none" w:sz="0" w:space="0" w:color="auto" w:frame="1"/>
        </w:rPr>
      </w:pPr>
      <w:r>
        <w:rPr>
          <w:rFonts w:ascii="Times New Roman" w:hAnsi="Times New Roman" w:cs="Times New Roman"/>
          <w:noProof/>
          <w:sz w:val="24"/>
          <w:szCs w:val="24"/>
        </w:rPr>
        <w:t>In this respect, the Commission, after consultation, will also issue a guidance document on the practical aspects of implementing the European Standardisation Regulation, paying particular attention to the division of roles and responsibilities in the process of developing harmonised standards and paying close attention to the</w:t>
      </w:r>
      <w:r>
        <w:rPr>
          <w:noProof/>
        </w:rPr>
        <w:t xml:space="preserve"> </w:t>
      </w:r>
      <w:r>
        <w:rPr>
          <w:rFonts w:ascii="Times New Roman" w:hAnsi="Times New Roman" w:cs="Times New Roman"/>
          <w:noProof/>
          <w:sz w:val="24"/>
          <w:szCs w:val="24"/>
        </w:rPr>
        <w:t>efficiency, inclusiveness and speed</w:t>
      </w:r>
      <w:r>
        <w:rPr>
          <w:noProof/>
        </w:rPr>
        <w:t xml:space="preserve"> of s</w:t>
      </w:r>
      <w:r>
        <w:rPr>
          <w:rFonts w:ascii="Times New Roman" w:hAnsi="Times New Roman" w:cs="Times New Roman"/>
          <w:noProof/>
          <w:sz w:val="24"/>
          <w:szCs w:val="24"/>
        </w:rPr>
        <w:t>tandardisation processes. In that guidance document, the Commission will take into account the recent jurisprudence and particular conditions required to comply with the European Standardisation Regulation and improve the standardisation process in practice</w:t>
      </w:r>
      <w:r>
        <w:rPr>
          <w:rFonts w:ascii="Times New Roman" w:hAnsi="Times New Roman" w:cs="Times New Roman"/>
          <w:noProof/>
          <w:color w:val="000000"/>
          <w:sz w:val="24"/>
          <w:bdr w:val="none" w:sz="0" w:space="0" w:color="auto" w:frame="1"/>
        </w:rPr>
        <w:t>. Following these steps, the Commission will continue to reassess its procedures in discussion with all the stakeholders involved.</w:t>
      </w:r>
    </w:p>
    <w:p>
      <w:pPr>
        <w:spacing w:before="100" w:beforeAutospacing="1" w:line="276" w:lineRule="auto"/>
        <w:jc w:val="both"/>
        <w:rPr>
          <w:rFonts w:ascii="Times New Roman" w:hAnsi="Times New Roman" w:cs="Times New Roman"/>
          <w:noProof/>
          <w:color w:val="000000"/>
          <w:sz w:val="24"/>
          <w:bdr w:val="none" w:sz="0" w:space="0" w:color="auto" w:frame="1"/>
        </w:rPr>
      </w:pPr>
      <w:r>
        <w:rPr>
          <w:rFonts w:ascii="Times New Roman" w:hAnsi="Times New Roman" w:cs="Times New Roman"/>
          <w:noProof/>
          <w:color w:val="000000"/>
          <w:sz w:val="24"/>
          <w:bdr w:val="none" w:sz="0" w:space="0" w:color="auto" w:frame="1"/>
        </w:rPr>
        <w:t>The Commission recommends that the European standardisation organisations take due account of the guidance document, particularly with regard to the timely provision of all documents needed to assess draft harmonised standards allowing for a smooth progress of the assessment process.</w:t>
      </w:r>
    </w:p>
    <w:p>
      <w:pPr>
        <w:spacing w:line="276" w:lineRule="auto"/>
        <w:jc w:val="both"/>
        <w:rPr>
          <w:rFonts w:ascii="Times New Roman" w:hAnsi="Times New Roman" w:cs="Times New Roman"/>
          <w:noProof/>
          <w:color w:val="000000"/>
          <w:sz w:val="24"/>
          <w:bdr w:val="none" w:sz="0" w:space="0" w:color="auto" w:frame="1"/>
        </w:rPr>
      </w:pPr>
      <w:r>
        <w:rPr>
          <w:rFonts w:ascii="Times New Roman" w:hAnsi="Times New Roman" w:cs="Times New Roman"/>
          <w:noProof/>
          <w:color w:val="000000"/>
          <w:sz w:val="24"/>
          <w:bdr w:val="none" w:sz="0" w:space="0" w:color="auto" w:frame="1"/>
        </w:rPr>
        <w:t>The Commission will continue to support the governance process through all relevant means available to it, namely through the Committee on Standards (CoS), the Multi-Stakeholder Platform (MSP) on ICT standardisation and the structural dialogues with the European standardisation organisations. In this context, the Commission encourages the European standardisation organisations to actively participate in these platforms in order to help continue shaping European industrial and digital policies.</w:t>
      </w:r>
    </w:p>
    <w:p>
      <w:pPr>
        <w:pStyle w:val="Heading2"/>
        <w:spacing w:after="200"/>
        <w:ind w:left="578" w:hanging="578"/>
        <w:rPr>
          <w:rFonts w:ascii="Times New Roman" w:hAnsi="Times New Roman" w:cs="Times New Roman"/>
          <w:b/>
          <w:i/>
          <w:noProof/>
          <w:color w:val="auto"/>
          <w:sz w:val="24"/>
          <w:szCs w:val="24"/>
          <w:lang w:eastAsia="zh-CN"/>
        </w:rPr>
      </w:pPr>
      <w:bookmarkStart w:id="14" w:name="_Toc19804391"/>
      <w:r>
        <w:rPr>
          <w:rFonts w:ascii="Times New Roman" w:hAnsi="Times New Roman" w:cs="Times New Roman"/>
          <w:b/>
          <w:i/>
          <w:noProof/>
          <w:color w:val="auto"/>
          <w:sz w:val="24"/>
          <w:szCs w:val="24"/>
          <w:lang w:eastAsia="zh-CN"/>
        </w:rPr>
        <w:t>Inclusiveness</w:t>
      </w:r>
      <w:bookmarkEnd w:id="14"/>
    </w:p>
    <w:p>
      <w:pPr>
        <w:spacing w:line="276" w:lineRule="auto"/>
        <w:jc w:val="both"/>
        <w:rPr>
          <w:rFonts w:ascii="Helvetica Neue" w:hAnsi="Helvetica Neue"/>
          <w:noProof/>
          <w:color w:val="000000"/>
          <w:sz w:val="24"/>
          <w:szCs w:val="24"/>
          <w:shd w:val="clear" w:color="auto" w:fill="FFFFFF"/>
        </w:rPr>
      </w:pPr>
      <w:r>
        <w:rPr>
          <w:rFonts w:ascii="Helvetica Neue" w:hAnsi="Helvetica Neue"/>
          <w:noProof/>
          <w:color w:val="000000"/>
          <w:sz w:val="24"/>
          <w:szCs w:val="24"/>
          <w:shd w:val="clear" w:color="auto" w:fill="FFFFFF"/>
        </w:rPr>
        <w:t>Inclusiveness and transparency are the key features of the European standardisation system. The Commission will therefore continue to support the involvement of stakeholders representing SMEs, consumers, environmental interests and trade unions in the standardisation process (referred to as the Annex</w:t>
      </w:r>
      <w:r>
        <w:rPr>
          <w:rStyle w:val="FootnoteReference"/>
          <w:rFonts w:ascii="Helvetica Neue" w:hAnsi="Helvetica Neue"/>
          <w:noProof/>
          <w:color w:val="000000"/>
          <w:sz w:val="24"/>
          <w:szCs w:val="24"/>
          <w:shd w:val="clear" w:color="auto" w:fill="FFFFFF"/>
        </w:rPr>
        <w:footnoteReference w:id="26"/>
      </w:r>
      <w:r>
        <w:rPr>
          <w:rFonts w:ascii="Helvetica Neue" w:hAnsi="Helvetica Neue"/>
          <w:noProof/>
          <w:color w:val="000000"/>
          <w:sz w:val="24"/>
          <w:szCs w:val="24"/>
          <w:shd w:val="clear" w:color="auto" w:fill="FFFFFF"/>
        </w:rPr>
        <w:t xml:space="preserve">  III organisations</w:t>
      </w:r>
      <w:r>
        <w:rPr>
          <w:rStyle w:val="FootnoteReference"/>
          <w:rFonts w:ascii="Helvetica Neue" w:hAnsi="Helvetica Neue"/>
          <w:noProof/>
          <w:color w:val="000000"/>
          <w:sz w:val="24"/>
          <w:szCs w:val="24"/>
          <w:shd w:val="clear" w:color="auto" w:fill="FFFFFF"/>
        </w:rPr>
        <w:footnoteReference w:id="27"/>
      </w:r>
      <w:r>
        <w:rPr>
          <w:rFonts w:ascii="Helvetica Neue" w:hAnsi="Helvetica Neue"/>
          <w:noProof/>
          <w:color w:val="000000"/>
          <w:sz w:val="24"/>
          <w:szCs w:val="24"/>
          <w:shd w:val="clear" w:color="auto" w:fill="FFFFFF"/>
        </w:rPr>
        <w:t>).</w:t>
      </w:r>
    </w:p>
    <w:p>
      <w:pPr>
        <w:spacing w:line="276" w:lineRule="auto"/>
        <w:jc w:val="both"/>
        <w:rPr>
          <w:rFonts w:ascii="Helvetica Neue" w:hAnsi="Helvetica Neue"/>
          <w:noProof/>
          <w:color w:val="000000"/>
          <w:sz w:val="24"/>
          <w:szCs w:val="24"/>
          <w:shd w:val="clear" w:color="auto" w:fill="FFFFFF"/>
        </w:rPr>
      </w:pPr>
      <w:r>
        <w:rPr>
          <w:rFonts w:ascii="Helvetica Neue" w:hAnsi="Helvetica Neue"/>
          <w:noProof/>
          <w:color w:val="000000"/>
          <w:sz w:val="24"/>
          <w:szCs w:val="24"/>
          <w:shd w:val="clear" w:color="auto" w:fill="FFFFFF"/>
        </w:rPr>
        <w:t>Financial support to the organisations representing SMEs, social and societal interests at European level has paved the way for gradually involving their members in the standardisation activities. Nonetheless, there are still certain challenges to their effective participation in the standardisation process.</w:t>
      </w:r>
    </w:p>
    <w:p>
      <w:pPr>
        <w:spacing w:line="276" w:lineRule="auto"/>
        <w:jc w:val="both"/>
        <w:rPr>
          <w:rFonts w:ascii="Helvetica Neue" w:hAnsi="Helvetica Neue"/>
          <w:noProof/>
          <w:color w:val="000000"/>
          <w:sz w:val="24"/>
          <w:szCs w:val="24"/>
          <w:shd w:val="clear" w:color="auto" w:fill="FFFFFF"/>
        </w:rPr>
      </w:pPr>
      <w:r>
        <w:rPr>
          <w:rFonts w:ascii="Helvetica Neue" w:hAnsi="Helvetica Neue"/>
          <w:noProof/>
          <w:color w:val="000000"/>
          <w:sz w:val="24"/>
          <w:szCs w:val="24"/>
          <w:shd w:val="clear" w:color="auto" w:fill="FFFFFF"/>
        </w:rPr>
        <w:t xml:space="preserve">The Commission will closely monitor how the European standardisation organisations implement the requirements of effective participation of the Annex III organisations, pursuant to Article 5 of the European Standardisation Regulation. </w:t>
      </w:r>
    </w:p>
    <w:p>
      <w:pPr>
        <w:spacing w:line="276" w:lineRule="auto"/>
        <w:jc w:val="both"/>
        <w:rPr>
          <w:rFonts w:ascii="Helvetica Neue" w:hAnsi="Helvetica Neue"/>
          <w:noProof/>
          <w:color w:val="000000"/>
          <w:sz w:val="24"/>
          <w:szCs w:val="24"/>
          <w:shd w:val="clear" w:color="auto" w:fill="FFFFFF"/>
        </w:rPr>
      </w:pPr>
      <w:r>
        <w:rPr>
          <w:rFonts w:ascii="Helvetica Neue" w:hAnsi="Helvetica Neue"/>
          <w:noProof/>
          <w:color w:val="000000"/>
          <w:sz w:val="24"/>
          <w:szCs w:val="24"/>
          <w:shd w:val="clear" w:color="auto" w:fill="FFFFFF"/>
        </w:rPr>
        <w:t>The European standardisation organisations CEN and CENELEC and the international standardisation organisations are based on the national delegation principle. As a rule, the participation of experts in the elaboration of standards is expected to be open to everybody. The Commission calls upon the Annex III organisations to include, in their annual reports, any incident where stakeholders requested but did not manage to participate in the standardisation activities; this reporting should also include the international level (ISO, IEC).</w:t>
      </w:r>
    </w:p>
    <w:p>
      <w:pPr>
        <w:pStyle w:val="Heading2"/>
        <w:rPr>
          <w:rFonts w:ascii="Times New Roman" w:hAnsi="Times New Roman" w:cs="Times New Roman"/>
          <w:b/>
          <w:i/>
          <w:noProof/>
          <w:color w:val="auto"/>
          <w:sz w:val="24"/>
          <w:szCs w:val="24"/>
          <w:lang w:eastAsia="zh-CN"/>
        </w:rPr>
      </w:pPr>
      <w:bookmarkStart w:id="15" w:name="_Toc19804392"/>
      <w:r>
        <w:rPr>
          <w:rFonts w:ascii="Times New Roman" w:hAnsi="Times New Roman" w:cs="Times New Roman"/>
          <w:b/>
          <w:i/>
          <w:noProof/>
          <w:color w:val="auto"/>
          <w:sz w:val="24"/>
          <w:szCs w:val="24"/>
          <w:lang w:eastAsia="zh-CN"/>
        </w:rPr>
        <w:t>Financing European standardisation</w:t>
      </w:r>
      <w:bookmarkEnd w:id="15"/>
    </w:p>
    <w:p>
      <w:pPr>
        <w:spacing w:before="120" w:after="120" w:line="276" w:lineRule="auto"/>
        <w:jc w:val="both"/>
        <w:rPr>
          <w:rFonts w:ascii="Times New Roman" w:hAnsi="Times New Roman"/>
          <w:noProof/>
          <w:sz w:val="24"/>
          <w:szCs w:val="24"/>
        </w:rPr>
      </w:pPr>
      <w:r>
        <w:rPr>
          <w:rFonts w:ascii="Times New Roman" w:hAnsi="Times New Roman"/>
          <w:noProof/>
          <w:sz w:val="24"/>
          <w:szCs w:val="24"/>
        </w:rPr>
        <w:t xml:space="preserve">The current Framework Partnership Agreements, which provide the legal frameworks for Union funding to European standardisation organisations, will end in December 2020. The future financing of European standardisation is a part of </w:t>
      </w:r>
      <w:r>
        <w:rPr>
          <w:rFonts w:ascii="Times New Roman" w:hAnsi="Times New Roman" w:cs="Times New Roman"/>
          <w:noProof/>
          <w:sz w:val="24"/>
          <w:szCs w:val="24"/>
        </w:rPr>
        <w:t>the "Single Market Programme"</w:t>
      </w:r>
      <w:r>
        <w:rPr>
          <w:rFonts w:ascii="Times New Roman" w:hAnsi="Times New Roman" w:cs="Times New Roman"/>
          <w:noProof/>
          <w:sz w:val="24"/>
          <w:szCs w:val="24"/>
          <w:vertAlign w:val="superscript"/>
        </w:rPr>
        <w:footnoteReference w:id="28"/>
      </w:r>
      <w:r>
        <w:rPr>
          <w:rFonts w:ascii="Times New Roman" w:hAnsi="Times New Roman" w:cs="Times New Roman"/>
          <w:noProof/>
          <w:sz w:val="24"/>
          <w:szCs w:val="24"/>
        </w:rPr>
        <w:t>. The impact of this programme will be assessed through mid</w:t>
      </w:r>
      <w:r>
        <w:rPr>
          <w:rFonts w:ascii="Times New Roman" w:hAnsi="Times New Roman"/>
          <w:noProof/>
          <w:sz w:val="24"/>
          <w:szCs w:val="24"/>
        </w:rPr>
        <w:t xml:space="preserve">-term and final evaluations and by continuous monitoring of a set of high-level key performance indicators. The indicator adopted for European standardisation is the ‘Share of implementation of European standards as national standards by Member States in total amount of active European standards’. </w:t>
      </w:r>
    </w:p>
    <w:p>
      <w:pPr>
        <w:rPr>
          <w:rFonts w:ascii="Times New Roman" w:hAnsi="Times New Roman" w:cs="Times New Roman"/>
          <w:b/>
          <w:i/>
          <w:noProof/>
          <w:sz w:val="24"/>
          <w:szCs w:val="24"/>
          <w:lang w:eastAsia="zh-CN"/>
        </w:rPr>
      </w:pPr>
      <w:r>
        <w:rPr>
          <w:rFonts w:ascii="Times New Roman" w:hAnsi="Times New Roman" w:cs="Times New Roman"/>
          <w:b/>
          <w:i/>
          <w:noProof/>
          <w:sz w:val="24"/>
          <w:szCs w:val="24"/>
          <w:lang w:eastAsia="zh-CN"/>
        </w:rPr>
        <w:br w:type="page"/>
      </w:r>
    </w:p>
    <w:p>
      <w:pPr>
        <w:spacing w:before="120" w:after="120" w:line="276" w:lineRule="auto"/>
        <w:jc w:val="both"/>
        <w:rPr>
          <w:rFonts w:ascii="Times New Roman" w:hAnsi="Times New Roman" w:cs="Times New Roman"/>
          <w:b/>
          <w:i/>
          <w:noProof/>
          <w:sz w:val="24"/>
          <w:szCs w:val="24"/>
          <w:lang w:eastAsia="zh-CN"/>
        </w:rPr>
      </w:pPr>
      <w:r>
        <w:rPr>
          <w:rFonts w:ascii="Times New Roman" w:hAnsi="Times New Roman" w:cs="Times New Roman"/>
          <w:b/>
          <w:i/>
          <w:noProof/>
          <w:sz w:val="24"/>
          <w:szCs w:val="24"/>
          <w:lang w:eastAsia="zh-CN"/>
        </w:rPr>
        <w:t>Study on the economic and societal impact of standardisation</w:t>
      </w:r>
    </w:p>
    <w:p>
      <w:pPr>
        <w:spacing w:before="120" w:after="120"/>
        <w:jc w:val="both"/>
        <w:rPr>
          <w:rFonts w:ascii="Times New Roman" w:hAnsi="Times New Roman"/>
          <w:noProof/>
          <w:sz w:val="24"/>
          <w:szCs w:val="24"/>
        </w:rPr>
      </w:pPr>
      <w:r>
        <w:rPr>
          <w:rFonts w:ascii="Times New Roman" w:hAnsi="Times New Roman"/>
          <w:noProof/>
          <w:sz w:val="24"/>
          <w:szCs w:val="24"/>
        </w:rPr>
        <w:t>European standards are indispensable instruments for the proper functioning of the single market. Among other things, they support economic growth by removing the barriers for placing innovative, competitive products and services in existing markets and by expanding the trade to new ones. However, their potential and actual effects and functions remain under-examined and call for a more detailed understanding.</w:t>
      </w:r>
    </w:p>
    <w:p>
      <w:pPr>
        <w:rPr>
          <w:noProof/>
        </w:rPr>
      </w:pPr>
      <w:r>
        <w:rPr>
          <w:rFonts w:ascii="Times New Roman" w:hAnsi="Times New Roman"/>
          <w:noProof/>
          <w:color w:val="000000"/>
          <w:sz w:val="24"/>
          <w:szCs w:val="24"/>
          <w:lang w:eastAsia="zh-CN"/>
        </w:rPr>
        <w:t>Against this background, following the invitation from the Council and in line with the Joint Initiative on Standardisation, the Commission is launching a study in 2019 on the functions and effects of European standards and standardisation in the EU. The results of the study will be available by 2021.</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03908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Article 8 of Regulation (EU) No 1025/2012.</w:t>
      </w:r>
    </w:p>
  </w:footnote>
  <w:footnote w:id="2">
    <w:p>
      <w:pPr>
        <w:pStyle w:val="FootnoteText"/>
      </w:pPr>
      <w:r>
        <w:rPr>
          <w:rStyle w:val="FootnoteReference"/>
        </w:rPr>
        <w:footnoteRef/>
      </w:r>
      <w:r>
        <w:t xml:space="preserve"> For a more comprehensive list of actions, see the annex to this Communication.</w:t>
      </w:r>
    </w:p>
  </w:footnote>
  <w:footnote w:id="3">
    <w:p>
      <w:pPr>
        <w:pStyle w:val="FootnoteText"/>
      </w:pPr>
      <w:r>
        <w:rPr>
          <w:rStyle w:val="FootnoteReference"/>
        </w:rPr>
        <w:footnoteRef/>
      </w:r>
      <w:r>
        <w:t xml:space="preserve"> Not excluding European standards ensuring compliance with the general safety requirements under Directive 2001/95/EC on general product safety.</w:t>
      </w:r>
    </w:p>
  </w:footnote>
  <w:footnote w:id="4">
    <w:p>
      <w:pPr>
        <w:pStyle w:val="FootnoteText"/>
      </w:pPr>
      <w:r>
        <w:rPr>
          <w:rStyle w:val="FootnoteReference"/>
        </w:rPr>
        <w:footnoteRef/>
      </w:r>
      <w:r>
        <w:t xml:space="preserve"> see Article 10 of Regulation (EU) No 1025/2012.</w:t>
      </w:r>
    </w:p>
  </w:footnote>
  <w:footnote w:id="5">
    <w:p>
      <w:pPr>
        <w:pStyle w:val="FootnoteText"/>
      </w:pPr>
      <w:r>
        <w:rPr>
          <w:rStyle w:val="FootnoteReference"/>
        </w:rPr>
        <w:footnoteRef/>
      </w:r>
      <w:r>
        <w:t xml:space="preserve"> see actions and measures related to fishing gear in European Strategy for Plastics in a Circular Economy - COM(2018) 28 final and action 13 in the annex to this Communication.</w:t>
      </w:r>
    </w:p>
  </w:footnote>
  <w:footnote w:id="6">
    <w:p>
      <w:pPr>
        <w:pStyle w:val="FootnoteText"/>
      </w:pPr>
      <w:r>
        <w:rPr>
          <w:rStyle w:val="FootnoteReference"/>
        </w:rPr>
        <w:footnoteRef/>
      </w:r>
      <w:r>
        <w:t xml:space="preserve"> see details in actions 1 to 3 in the annex to this Communication.</w:t>
      </w:r>
    </w:p>
  </w:footnote>
  <w:footnote w:id="7">
    <w:p>
      <w:pPr>
        <w:pStyle w:val="FootnoteText"/>
      </w:pPr>
      <w:r>
        <w:rPr>
          <w:rStyle w:val="FootnoteReference"/>
        </w:rPr>
        <w:footnoteRef/>
      </w:r>
      <w:r>
        <w:t xml:space="preserve"> see action 7 in the annex to this Communication.</w:t>
      </w:r>
    </w:p>
  </w:footnote>
  <w:footnote w:id="8">
    <w:p>
      <w:pPr>
        <w:pStyle w:val="FootnoteText"/>
      </w:pPr>
      <w:r>
        <w:rPr>
          <w:rStyle w:val="FootnoteReference"/>
        </w:rPr>
        <w:footnoteRef/>
      </w:r>
      <w:r>
        <w:t xml:space="preserve"> see action 8 in the annex to this Communication.</w:t>
      </w:r>
    </w:p>
  </w:footnote>
  <w:footnote w:id="9">
    <w:p>
      <w:pPr>
        <w:pStyle w:val="FootnoteText"/>
      </w:pPr>
      <w:r>
        <w:rPr>
          <w:rStyle w:val="FootnoteReference"/>
        </w:rPr>
        <w:footnoteRef/>
      </w:r>
      <w:r>
        <w:t xml:space="preserve"> see action 6 in the annex to this Communication.</w:t>
      </w:r>
    </w:p>
  </w:footnote>
  <w:footnote w:id="10">
    <w:p>
      <w:pPr>
        <w:pStyle w:val="FootnoteText"/>
      </w:pPr>
      <w:r>
        <w:rPr>
          <w:rStyle w:val="FootnoteReference"/>
        </w:rPr>
        <w:footnoteRef/>
      </w:r>
      <w:r>
        <w:t xml:space="preserve"> see action 5 in the annex to this Communication.</w:t>
      </w:r>
    </w:p>
  </w:footnote>
  <w:footnote w:id="11">
    <w:p>
      <w:pPr>
        <w:pStyle w:val="FootnoteText"/>
      </w:pPr>
      <w:r>
        <w:rPr>
          <w:rStyle w:val="FootnoteReference"/>
        </w:rPr>
        <w:footnoteRef/>
      </w:r>
      <w:r>
        <w:t xml:space="preserve"> see action 4 in the annex to this Communication.</w:t>
      </w:r>
    </w:p>
  </w:footnote>
  <w:footnote w:id="12">
    <w:p>
      <w:pPr>
        <w:pStyle w:val="FootnoteText"/>
      </w:pPr>
      <w:r>
        <w:rPr>
          <w:rStyle w:val="FootnoteReference"/>
        </w:rPr>
        <w:footnoteRef/>
      </w:r>
      <w:r>
        <w:t xml:space="preserve"> see action 9 in the annex to this Communication.</w:t>
      </w:r>
    </w:p>
  </w:footnote>
  <w:footnote w:id="13">
    <w:p>
      <w:pPr>
        <w:pStyle w:val="FootnoteText"/>
      </w:pPr>
      <w:r>
        <w:rPr>
          <w:rStyle w:val="FootnoteReference"/>
        </w:rPr>
        <w:footnoteRef/>
      </w:r>
      <w:r>
        <w:t xml:space="preserve"> See action 11 in the annex to this Communication.</w:t>
      </w:r>
    </w:p>
  </w:footnote>
  <w:footnote w:id="14">
    <w:p>
      <w:pPr>
        <w:pStyle w:val="FootnoteText"/>
      </w:pPr>
      <w:r>
        <w:rPr>
          <w:rStyle w:val="FootnoteReference"/>
        </w:rPr>
        <w:footnoteRef/>
      </w:r>
      <w:r>
        <w:t xml:space="preserve"> see action 12 in the annex to this Communication.</w:t>
      </w:r>
    </w:p>
  </w:footnote>
  <w:footnote w:id="15">
    <w:p>
      <w:pPr>
        <w:pStyle w:val="FootnoteText"/>
      </w:pPr>
      <w:r>
        <w:rPr>
          <w:rStyle w:val="FootnoteReference"/>
        </w:rPr>
        <w:footnoteRef/>
      </w:r>
      <w:r>
        <w:t xml:space="preserve"> COM(2018) 237.</w:t>
      </w:r>
    </w:p>
  </w:footnote>
  <w:footnote w:id="16">
    <w:p>
      <w:pPr>
        <w:pStyle w:val="FootnoteText"/>
      </w:pPr>
      <w:r>
        <w:rPr>
          <w:rStyle w:val="FootnoteReference"/>
        </w:rPr>
        <w:footnoteRef/>
      </w:r>
      <w:r>
        <w:t xml:space="preserve"> COM(2017) 477 final.</w:t>
      </w:r>
    </w:p>
  </w:footnote>
  <w:footnote w:id="17">
    <w:p>
      <w:pPr>
        <w:pStyle w:val="FootnoteText"/>
      </w:pPr>
      <w:r>
        <w:rPr>
          <w:rStyle w:val="FootnoteReference"/>
        </w:rPr>
        <w:footnoteRef/>
      </w:r>
      <w:r>
        <w:t xml:space="preserve"> European Union Agency for Network and Information Security.</w:t>
      </w:r>
    </w:p>
  </w:footnote>
  <w:footnote w:id="18">
    <w:p>
      <w:pPr>
        <w:pStyle w:val="FootnoteText"/>
      </w:pPr>
      <w:r>
        <w:rPr>
          <w:rStyle w:val="FootnoteReference"/>
        </w:rPr>
        <w:footnoteRef/>
      </w:r>
      <w:r>
        <w:t xml:space="preserve"> C(2019)800 of 6 February 2019.</w:t>
      </w:r>
    </w:p>
  </w:footnote>
  <w:footnote w:id="19">
    <w:p>
      <w:pPr>
        <w:pStyle w:val="FootnoteText"/>
      </w:pPr>
      <w:r>
        <w:rPr>
          <w:rStyle w:val="FootnoteReference"/>
        </w:rPr>
        <w:footnoteRef/>
      </w:r>
      <w:r>
        <w:t xml:space="preserve"> COM(2018) 283 final.</w:t>
      </w:r>
    </w:p>
  </w:footnote>
  <w:footnote w:id="20">
    <w:p>
      <w:pPr>
        <w:pStyle w:val="FootnoteText"/>
      </w:pPr>
      <w:r>
        <w:rPr>
          <w:rStyle w:val="FootnoteReference"/>
        </w:rPr>
        <w:footnoteRef/>
      </w:r>
      <w:r>
        <w:t xml:space="preserve"> see action 10 in the annex to this Communication.</w:t>
      </w:r>
    </w:p>
  </w:footnote>
  <w:footnote w:id="21">
    <w:p>
      <w:pPr>
        <w:pStyle w:val="FootnoteText"/>
      </w:pPr>
      <w:r>
        <w:rPr>
          <w:rStyle w:val="FootnoteReference"/>
        </w:rPr>
        <w:footnoteRef/>
      </w:r>
      <w:r>
        <w:t xml:space="preserve"> Regulation (EU) 2018/1092. </w:t>
      </w:r>
    </w:p>
  </w:footnote>
  <w:footnote w:id="22">
    <w:p>
      <w:pPr>
        <w:pStyle w:val="FootnoteText"/>
      </w:pPr>
      <w:r>
        <w:rPr>
          <w:rStyle w:val="FootnoteReference"/>
        </w:rPr>
        <w:footnoteRef/>
      </w:r>
      <w:r>
        <w:t xml:space="preserve"> STATEMENT/18/4687.</w:t>
      </w:r>
    </w:p>
  </w:footnote>
  <w:footnote w:id="23">
    <w:p>
      <w:pPr>
        <w:pStyle w:val="FootnoteText"/>
      </w:pPr>
      <w:r>
        <w:rPr>
          <w:rStyle w:val="FootnoteReference"/>
        </w:rPr>
        <w:footnoteRef/>
      </w:r>
      <w:r>
        <w:t xml:space="preserve"> https://www.consilium.europa.eu/media/39020/euchina-joint-statement-9april2019.pdf.</w:t>
      </w:r>
    </w:p>
  </w:footnote>
  <w:footnote w:id="24">
    <w:p>
      <w:pPr>
        <w:pStyle w:val="FootnoteText"/>
      </w:pPr>
      <w:r>
        <w:rPr>
          <w:rStyle w:val="FootnoteReference"/>
        </w:rPr>
        <w:footnoteRef/>
      </w:r>
      <w:r>
        <w:t xml:space="preserve"> COM(2018) 764.</w:t>
      </w:r>
    </w:p>
  </w:footnote>
  <w:footnote w:id="25">
    <w:p>
      <w:pPr>
        <w:pStyle w:val="FootnoteText"/>
        <w:rPr>
          <w:lang w:val="cs-CZ"/>
        </w:rPr>
      </w:pPr>
      <w:r>
        <w:rPr>
          <w:rStyle w:val="FootnoteReference"/>
        </w:rPr>
        <w:footnoteRef/>
      </w:r>
      <w:r>
        <w:t xml:space="preserve"> Regulation (EU) No 1025/2012.</w:t>
      </w:r>
    </w:p>
  </w:footnote>
  <w:footnote w:id="26">
    <w:p>
      <w:pPr>
        <w:pStyle w:val="FootnoteText"/>
      </w:pPr>
      <w:r>
        <w:rPr>
          <w:rStyle w:val="FootnoteReference"/>
        </w:rPr>
        <w:footnoteRef/>
      </w:r>
      <w:r>
        <w:t xml:space="preserve"> Annex III of the European Standardisation Regulation (EU)1025/2012.</w:t>
      </w:r>
    </w:p>
  </w:footnote>
  <w:footnote w:id="27">
    <w:p>
      <w:pPr>
        <w:pStyle w:val="FootnoteText"/>
      </w:pPr>
      <w:r>
        <w:rPr>
          <w:rStyle w:val="FootnoteReference"/>
        </w:rPr>
        <w:footnoteRef/>
      </w:r>
      <w:r>
        <w:t xml:space="preserve"> </w:t>
      </w:r>
      <w:hyperlink r:id="rId1" w:history="1">
        <w:r>
          <w:rPr>
            <w:rStyle w:val="Hyperlink"/>
          </w:rPr>
          <w:t>Small Business Standards</w:t>
        </w:r>
      </w:hyperlink>
      <w:r>
        <w:rPr>
          <w:rStyle w:val="Hyperlink"/>
        </w:rPr>
        <w:t xml:space="preserve"> (SBS)</w:t>
      </w:r>
      <w:r>
        <w:t xml:space="preserve">, </w:t>
      </w:r>
      <w:hyperlink r:id="rId2" w:history="1">
        <w:r>
          <w:rPr>
            <w:rStyle w:val="Hyperlink"/>
          </w:rPr>
          <w:t>the European consumer voice in standardisation</w:t>
        </w:r>
      </w:hyperlink>
      <w:r>
        <w:rPr>
          <w:rStyle w:val="Hyperlink"/>
        </w:rPr>
        <w:t xml:space="preserve"> (ANEC)</w:t>
      </w:r>
      <w:r>
        <w:t xml:space="preserve">, </w:t>
      </w:r>
      <w:hyperlink r:id="rId3" w:history="1">
        <w:r>
          <w:rPr>
            <w:rStyle w:val="Hyperlink"/>
          </w:rPr>
          <w:t>the European Trade Union Confederation (ETUC)</w:t>
        </w:r>
      </w:hyperlink>
      <w:r>
        <w:rPr>
          <w:rStyle w:val="Hyperlink"/>
          <w:u w:val="none"/>
        </w:rPr>
        <w:t xml:space="preserve"> </w:t>
      </w:r>
      <w:r>
        <w:t xml:space="preserve">and </w:t>
      </w:r>
      <w:hyperlink r:id="rId4" w:history="1">
        <w:r>
          <w:rPr>
            <w:rStyle w:val="Hyperlink"/>
          </w:rPr>
          <w:t>the European Environmental Citizens’ Organisation for Standardisation</w:t>
        </w:r>
      </w:hyperlink>
      <w:r>
        <w:rPr>
          <w:rStyle w:val="Hyperlink"/>
        </w:rPr>
        <w:t xml:space="preserve"> (ECOS).</w:t>
      </w:r>
    </w:p>
  </w:footnote>
  <w:footnote w:id="28">
    <w:p>
      <w:pPr>
        <w:pStyle w:val="FootnoteText"/>
        <w:rPr>
          <w:lang w:val="pt-PT"/>
        </w:rPr>
      </w:pPr>
      <w:r>
        <w:rPr>
          <w:rStyle w:val="FootnoteReference"/>
        </w:rPr>
        <w:footnoteRef/>
      </w:r>
      <w:r>
        <w:rPr>
          <w:lang w:val="pt-PT"/>
        </w:rPr>
        <w:t xml:space="preserve"> COM(2018) 441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4044"/>
    <w:multiLevelType w:val="multilevel"/>
    <w:tmpl w:val="DF4ADD78"/>
    <w:lvl w:ilvl="0">
      <w:start w:val="1"/>
      <w:numFmt w:val="decimal"/>
      <w:lvlText w:val="%1."/>
      <w:lvlJc w:val="left"/>
      <w:pPr>
        <w:tabs>
          <w:tab w:val="num" w:pos="763"/>
        </w:tabs>
        <w:ind w:left="763"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0581A51"/>
    <w:multiLevelType w:val="hybridMultilevel"/>
    <w:tmpl w:val="89A2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BE2E40"/>
    <w:multiLevelType w:val="hybridMultilevel"/>
    <w:tmpl w:val="EED4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B25DD5"/>
    <w:multiLevelType w:val="multilevel"/>
    <w:tmpl w:val="F73697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04452D1"/>
    <w:multiLevelType w:val="hybridMultilevel"/>
    <w:tmpl w:val="CE6CA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673DF7"/>
    <w:multiLevelType w:val="multilevel"/>
    <w:tmpl w:val="BBAE8648"/>
    <w:lvl w:ilvl="0">
      <w:start w:val="1"/>
      <w:numFmt w:val="decimal"/>
      <w:pStyle w:val="Heading1"/>
      <w:lvlText w:val="%1"/>
      <w:lvlJc w:val="left"/>
      <w:pPr>
        <w:ind w:left="432" w:hanging="432"/>
      </w:pPr>
      <w:rPr>
        <w:rFonts w:hint="default"/>
        <w:b/>
        <w:color w:val="auto"/>
        <w:sz w:val="24"/>
        <w:szCs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2"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6A8B1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091866"/>
    <w:multiLevelType w:val="hybridMultilevel"/>
    <w:tmpl w:val="6DEA0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0"/>
  </w:num>
  <w:num w:numId="5">
    <w:abstractNumId w:val="0"/>
  </w:num>
  <w:num w:numId="6">
    <w:abstractNumId w:val="6"/>
  </w:num>
  <w:num w:numId="7">
    <w:abstractNumId w:val="1"/>
  </w:num>
  <w:num w:numId="8">
    <w:abstractNumId w:val="0"/>
  </w:num>
  <w:num w:numId="9">
    <w:abstractNumId w:val="3"/>
  </w:num>
  <w:num w:numId="10">
    <w:abstractNumId w:val="3"/>
  </w:num>
  <w:num w:numId="11">
    <w:abstractNumId w:val="3"/>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64093D0-A8A7-43F2-847D-540F356A7CF9"/>
    <w:docVar w:name="LW_COVERPAGE_TYPE" w:val="1"/>
    <w:docVar w:name="LW_CROSSREFERENCE" w:val="&lt;UNUSED&gt;"/>
    <w:docVar w:name="LW_DocType" w:val="NORMAL"/>
    <w:docVar w:name="LW_EMISSION" w:val="28.10.2019"/>
    <w:docVar w:name="LW_EMISSION_ISODATE" w:val="2019-10-28"/>
    <w:docVar w:name="LW_EMISSION_LOCATION" w:val="BRX"/>
    <w:docVar w:name="LW_EMISSION_PREFIX" w:val="Brussels, "/>
    <w:docVar w:name="LW_EMISSION_SUFFIX" w:val=" "/>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4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Microsoft Sans Serif&gt;The annual Union work programme for European standardisation for 2020&lt;/FMT&gt;"/>
    <w:docVar w:name="LW_TYPE.DOC.CP" w:val="COMMUNICATION FROM THE COMMISSION TO THE EUROPEAN PARLIAMENT, THE COUNCIL, THE EUROPEAN ECONOMIC AND SOCIAL COMMITTEE AND THE COMMITTEE OF THE REGION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aliases w:val="Fußnotentextf,Note de bas de page Car Car,Note de bas de page Car Car Car Car Car,Note de bas de page Car Car Car Car,Note de bas de page Car Car Car,stile 1,Footnote,Footnote1,Footnote2,Footnote3,Footnote4,Footnote5,Footnote6,Znak"/>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f Char,Note de bas de page Car Car Char,Note de bas de page Car Car Car Car Car Char,Note de bas de page Car Car Car Car Char,Note de bas de page Car Car Car Char,stile 1 Char,Footnote Char,Footnote1 Char,Footnote2 Char"/>
    <w:basedOn w:val="DefaultParagraphFont"/>
    <w:link w:val="FootnoteText"/>
    <w:uiPriority w:val="99"/>
    <w:rPr>
      <w:sz w:val="20"/>
      <w:szCs w:val="20"/>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ootnote ref,Footnote s,FR"/>
    <w:basedOn w:val="DefaultParagraphFont"/>
    <w:unhideWhenUsed/>
    <w:qFormat/>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pPr>
      <w:numPr>
        <w:numId w:val="0"/>
      </w:numPr>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Pr>
      <w:rFonts w:ascii="Calibri" w:hAnsi="Calibri" w:cs="Calibri"/>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NumberLevel2">
    <w:name w:val="List Number (Level 2)"/>
    <w:basedOn w:val="Normal"/>
    <w:pPr>
      <w:tabs>
        <w:tab w:val="num" w:pos="1417"/>
      </w:tabs>
      <w:spacing w:before="120" w:after="120" w:line="240" w:lineRule="auto"/>
      <w:ind w:left="1417" w:hanging="708"/>
      <w:jc w:val="both"/>
    </w:pPr>
    <w:rPr>
      <w:rFonts w:ascii="Times New Roman" w:eastAsia="Times New Roman" w:hAnsi="Times New Roman" w:cs="Times New Roman"/>
      <w:sz w:val="24"/>
      <w:lang w:eastAsia="de-DE"/>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aliases w:val="Fußnotentextf,Note de bas de page Car Car,Note de bas de page Car Car Car Car Car,Note de bas de page Car Car Car Car,Note de bas de page Car Car Car,stile 1,Footnote,Footnote1,Footnote2,Footnote3,Footnote4,Footnote5,Footnote6,Znak"/>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f Char,Note de bas de page Car Car Char,Note de bas de page Car Car Car Car Car Char,Note de bas de page Car Car Car Car Char,Note de bas de page Car Car Car Char,stile 1 Char,Footnote Char,Footnote1 Char,Footnote2 Char"/>
    <w:basedOn w:val="DefaultParagraphFont"/>
    <w:link w:val="FootnoteText"/>
    <w:uiPriority w:val="99"/>
    <w:rPr>
      <w:sz w:val="20"/>
      <w:szCs w:val="20"/>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ootnote ref,Footnote s,FR"/>
    <w:basedOn w:val="DefaultParagraphFont"/>
    <w:unhideWhenUsed/>
    <w:qFormat/>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pPr>
      <w:numPr>
        <w:numId w:val="0"/>
      </w:numPr>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Pr>
      <w:rFonts w:ascii="Calibri" w:hAnsi="Calibri" w:cs="Calibri"/>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NumberLevel2">
    <w:name w:val="List Number (Level 2)"/>
    <w:basedOn w:val="Normal"/>
    <w:pPr>
      <w:tabs>
        <w:tab w:val="num" w:pos="1417"/>
      </w:tabs>
      <w:spacing w:before="120" w:after="120" w:line="240" w:lineRule="auto"/>
      <w:ind w:left="1417" w:hanging="708"/>
      <w:jc w:val="both"/>
    </w:pPr>
    <w:rPr>
      <w:rFonts w:ascii="Times New Roman" w:eastAsia="Times New Roman" w:hAnsi="Times New Roman" w:cs="Times New Roman"/>
      <w:sz w:val="24"/>
      <w:lang w:eastAsia="de-DE"/>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6351">
      <w:bodyDiv w:val="1"/>
      <w:marLeft w:val="0"/>
      <w:marRight w:val="0"/>
      <w:marTop w:val="0"/>
      <w:marBottom w:val="0"/>
      <w:divBdr>
        <w:top w:val="none" w:sz="0" w:space="0" w:color="auto"/>
        <w:left w:val="none" w:sz="0" w:space="0" w:color="auto"/>
        <w:bottom w:val="none" w:sz="0" w:space="0" w:color="auto"/>
        <w:right w:val="none" w:sz="0" w:space="0" w:color="auto"/>
      </w:divBdr>
    </w:div>
    <w:div w:id="97989261">
      <w:bodyDiv w:val="1"/>
      <w:marLeft w:val="0"/>
      <w:marRight w:val="0"/>
      <w:marTop w:val="0"/>
      <w:marBottom w:val="0"/>
      <w:divBdr>
        <w:top w:val="none" w:sz="0" w:space="0" w:color="auto"/>
        <w:left w:val="none" w:sz="0" w:space="0" w:color="auto"/>
        <w:bottom w:val="none" w:sz="0" w:space="0" w:color="auto"/>
        <w:right w:val="none" w:sz="0" w:space="0" w:color="auto"/>
      </w:divBdr>
    </w:div>
    <w:div w:id="342360451">
      <w:bodyDiv w:val="1"/>
      <w:marLeft w:val="0"/>
      <w:marRight w:val="0"/>
      <w:marTop w:val="0"/>
      <w:marBottom w:val="0"/>
      <w:divBdr>
        <w:top w:val="none" w:sz="0" w:space="0" w:color="auto"/>
        <w:left w:val="none" w:sz="0" w:space="0" w:color="auto"/>
        <w:bottom w:val="none" w:sz="0" w:space="0" w:color="auto"/>
        <w:right w:val="none" w:sz="0" w:space="0" w:color="auto"/>
      </w:divBdr>
    </w:div>
    <w:div w:id="586035198">
      <w:bodyDiv w:val="1"/>
      <w:marLeft w:val="0"/>
      <w:marRight w:val="0"/>
      <w:marTop w:val="0"/>
      <w:marBottom w:val="0"/>
      <w:divBdr>
        <w:top w:val="none" w:sz="0" w:space="0" w:color="auto"/>
        <w:left w:val="none" w:sz="0" w:space="0" w:color="auto"/>
        <w:bottom w:val="none" w:sz="0" w:space="0" w:color="auto"/>
        <w:right w:val="none" w:sz="0" w:space="0" w:color="auto"/>
      </w:divBdr>
    </w:div>
    <w:div w:id="1081564085">
      <w:bodyDiv w:val="1"/>
      <w:marLeft w:val="0"/>
      <w:marRight w:val="0"/>
      <w:marTop w:val="0"/>
      <w:marBottom w:val="0"/>
      <w:divBdr>
        <w:top w:val="none" w:sz="0" w:space="0" w:color="auto"/>
        <w:left w:val="none" w:sz="0" w:space="0" w:color="auto"/>
        <w:bottom w:val="none" w:sz="0" w:space="0" w:color="auto"/>
        <w:right w:val="none" w:sz="0" w:space="0" w:color="auto"/>
      </w:divBdr>
    </w:div>
    <w:div w:id="1349865703">
      <w:bodyDiv w:val="1"/>
      <w:marLeft w:val="0"/>
      <w:marRight w:val="0"/>
      <w:marTop w:val="0"/>
      <w:marBottom w:val="0"/>
      <w:divBdr>
        <w:top w:val="none" w:sz="0" w:space="0" w:color="auto"/>
        <w:left w:val="none" w:sz="0" w:space="0" w:color="auto"/>
        <w:bottom w:val="none" w:sz="0" w:space="0" w:color="auto"/>
        <w:right w:val="none" w:sz="0" w:space="0" w:color="auto"/>
      </w:divBdr>
    </w:div>
    <w:div w:id="1354845401">
      <w:bodyDiv w:val="1"/>
      <w:marLeft w:val="0"/>
      <w:marRight w:val="0"/>
      <w:marTop w:val="0"/>
      <w:marBottom w:val="0"/>
      <w:divBdr>
        <w:top w:val="none" w:sz="0" w:space="0" w:color="auto"/>
        <w:left w:val="none" w:sz="0" w:space="0" w:color="auto"/>
        <w:bottom w:val="none" w:sz="0" w:space="0" w:color="auto"/>
        <w:right w:val="none" w:sz="0" w:space="0" w:color="auto"/>
      </w:divBdr>
    </w:div>
    <w:div w:id="1406798885">
      <w:bodyDiv w:val="1"/>
      <w:marLeft w:val="0"/>
      <w:marRight w:val="0"/>
      <w:marTop w:val="0"/>
      <w:marBottom w:val="0"/>
      <w:divBdr>
        <w:top w:val="none" w:sz="0" w:space="0" w:color="auto"/>
        <w:left w:val="none" w:sz="0" w:space="0" w:color="auto"/>
        <w:bottom w:val="none" w:sz="0" w:space="0" w:color="auto"/>
        <w:right w:val="none" w:sz="0" w:space="0" w:color="auto"/>
      </w:divBdr>
    </w:div>
    <w:div w:id="1740710009">
      <w:bodyDiv w:val="1"/>
      <w:marLeft w:val="0"/>
      <w:marRight w:val="0"/>
      <w:marTop w:val="0"/>
      <w:marBottom w:val="0"/>
      <w:divBdr>
        <w:top w:val="none" w:sz="0" w:space="0" w:color="auto"/>
        <w:left w:val="none" w:sz="0" w:space="0" w:color="auto"/>
        <w:bottom w:val="none" w:sz="0" w:space="0" w:color="auto"/>
        <w:right w:val="none" w:sz="0" w:space="0" w:color="auto"/>
      </w:divBdr>
    </w:div>
    <w:div w:id="20341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tuc.org/" TargetMode="External"/><Relationship Id="rId2" Type="http://schemas.openxmlformats.org/officeDocument/2006/relationships/hyperlink" Target="http://www.anec.eu/anec.asp" TargetMode="External"/><Relationship Id="rId1" Type="http://schemas.openxmlformats.org/officeDocument/2006/relationships/hyperlink" Target="http://sbs-sme.eu/" TargetMode="External"/><Relationship Id="rId4" Type="http://schemas.openxmlformats.org/officeDocument/2006/relationships/hyperlink" Target="http://ecostand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65CBBE5-BBC8-4A2A-8782-A10B216D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2956</Words>
  <Characters>17770</Characters>
  <Application>Microsoft Office Word</Application>
  <DocSecurity>0</DocSecurity>
  <Lines>273</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2019-09-19T08:27:00Z</cp:lastPrinted>
  <dcterms:created xsi:type="dcterms:W3CDTF">2019-09-19T14:40:00Z</dcterms:created>
  <dcterms:modified xsi:type="dcterms:W3CDTF">2019-10-21T07:46:00Z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CP-014</vt:lpwstr>
  </property>
</Properties>
</file>