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96FD701-1C87-43A1-A9D5-7592B73B3634" style="width:450.4pt;height:392.6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W w:w="13420" w:type="dxa"/>
        <w:tblInd w:w="113" w:type="dxa"/>
        <w:tblLook w:val="04A0" w:firstRow="1" w:lastRow="0" w:firstColumn="1" w:lastColumn="0" w:noHBand="0" w:noVBand="1"/>
        <w:tblCaption w:val="Eurooppalaisille standardointiorganisaatioille esitettäviä standardointipyyntöjä koskeva suunnitelma 2020"/>
        <w:tblDescription w:val="Eurooppalaisille standardointiorganisaatioille esitettäviä standardointipyyntöjä koskeva suunnitelma 2020"/>
      </w:tblPr>
      <w:tblGrid>
        <w:gridCol w:w="742"/>
        <w:gridCol w:w="2502"/>
        <w:gridCol w:w="3360"/>
        <w:gridCol w:w="3135"/>
        <w:gridCol w:w="3681"/>
      </w:tblGrid>
      <w:tr>
        <w:trPr>
          <w:trHeight w:val="58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noProof/>
              </w:rPr>
              <w:lastRenderedPageBreak/>
              <w:t>Viite: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Toimen nimi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Toimintatapa/lainsäädäntöviite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Tavoite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Toimen vaikutus</w:t>
            </w:r>
          </w:p>
        </w:tc>
      </w:tr>
      <w:tr>
        <w:trPr>
          <w:trHeight w:val="315"/>
        </w:trPr>
        <w:tc>
          <w:tcPr>
            <w:tcW w:w="1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Unionin lainsäädäntöä tukevien yhdenmukaistettujen eurooppalaisten standardien laatimista/tarkistamista koskevat standardointipyynnöt</w:t>
            </w:r>
          </w:p>
        </w:tc>
      </w:tr>
      <w:tr>
        <w:trPr>
          <w:cantSplit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Ekologinen suunnittelu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 xml:space="preserve"> Tarkistetaan asetusta (EY) N:o 640/2009 sähkömoottoreiden ekologista suunnittelua koskevien vaatimusten osalta.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 xml:space="preserve">Arvioidaan taajuusmuuttajan tulo- ja lähtöpuolella aiheutuvia energiahäviöitä standardin IEC 61800-9-2 soveltamisalaan jo sisältyvien voimansiirtolaitteiden aiheuttamien häviöiden lisäksi.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Arvioidaan taajuusmuuttajan vaikutuksia järjestelmäpohjaisessa lähestymistavassa sellaisten taajuusmuuttajien edistämiseksi, jotka minimoivat energiahäviöt.</w:t>
            </w:r>
          </w:p>
        </w:tc>
      </w:tr>
      <w:tr>
        <w:trPr>
          <w:cantSplit/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Ekologinen suunnittelu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Vedenlämmittimien ekologista suunnittelua ja energiamerkintää koskeva asetus (tarkistetaan Euroopan parlamentin ja neuvoston direktiivin 2010/30/EU täydentämisestä vedenlämmittimien, kuumavesisäiliöiden ja vedenlämmittimestä ja aurinkolämpölaitteesta koostuvien kokoonpanojen energiamerkinnän osalta annettu komission delegoitu asetus (EU) N:o 812/2013 ja Euroopan parlamentin ja neuvoston direktiivin 2009/125/EY täytäntöönpanemisesta vedenlämmittimien ja kuumavesisäiliöiden ekologista suunnittelua koskevien vaatimusten osalta annettu asetus (EU) N:o 814/2013).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Arvioidaan vedenlämmittimien energiatehokkuutta, niiden päästöjä ja mahdollisia muita ympäristövaikutuksia.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Parannetaan vedenlämmittimien ympäristönsuojelullista tasoa ja luodaan tasapuoliset toimintaedellytykset valmistajille, joiden on noudatettava asetusta.</w:t>
            </w:r>
          </w:p>
        </w:tc>
      </w:tr>
      <w:tr>
        <w:trPr>
          <w:cantSplit/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lastRenderedPageBreak/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Ekologinen suunnittelu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Kotitalouksien tiskikoneiden, pyykinpesukoneiden ja kuivaavien pesukoneiden ekologista suunnittelua koskevat vaatimukset. Kotitalouksien tiskikoneiden, pyykinpesukoneiden ja kuivaavien pesukoneiden energiamerkinnät. Vuonna 2019 on määrä hyväksyä neljä komission asetusta.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Tarkistetaan yhdenmukaistetut testausstandardit, joilla mitataan kotitalouksien tiskikoneiden, pyykinpesukoneiden ja kuivaavien pyykinpesukoneiden suorituskykyä sen jälkeen, kun asiaankuuluvat ekologista suunnittelua ja energiamerkintää koskevat asetukset on tarkistettu.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Helpotetaan sellaisten laitteiden markkinoille saattamista, jotka ovat tarkistettujen asetusten mukaisia, säästävät energiaa, vettä ja muita luonnonvaroja sekä vastaavat kuluttajien tarpeita ja täyttävät alan kilpailukykyvaatimukset.</w:t>
            </w:r>
          </w:p>
        </w:tc>
      </w:tr>
      <w:tr>
        <w:trPr>
          <w:cantSplit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Kemikaalien rekisteröinti, arviointi, lupamenettelyt ja rajoitukset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 xml:space="preserve">Asetus (EY) N:o 1907/2006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kemikaalien rekisteröinnistä, arvioinnista, lupamenettelyistä ja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rajoituksista –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Liite XVII – nimike 50.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Pannaan täytäntöön rajoitusta koskevan nimikkeen 50 alakohdat 5 ja 6 (polysykliset aromaattiset hiilivedyt (PAH)), joiden tarkistamisessa voidaan ottaa huomioon siirtymien raja-arvot kumille ja muoville.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Varmistetaan, että muovista/kumista valmistettuja kulutustuotteita voidaan tuottaa tai ne voivat liikkua vapaasti sisämarkkinoilla.</w:t>
            </w:r>
          </w:p>
        </w:tc>
      </w:tr>
      <w:tr>
        <w:trPr>
          <w:cantSplit/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Lannoitteet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Euroopan parlamentin ja neuvoston asetus (EU) 2019/1009, annettu 5 päivänä kesäkuuta 2019, EU-lannoitevalmisteiden asettamista saataville markkinoilla koskevien sääntöjen vahvistamisesta ja asetusten (EY) N:o 1069/2009 ja (EY) N:o 1107/2009 muuttamisesta sekä asetuksen (EY) N:o 2003/2003 kumoamisesta.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Yhdenmukaistetaan uusiomateriaaleista saatujen lannoitevalmisteiden vaatimustenmukaisuuden todentamisessa käytettävät analyyttiset testimenetelmät uuden lannoitevalmisteista annetun asetuksen olennaisten vaatimusten kanssa.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 xml:space="preserve">Täytetään oikeudelliset vaatimukset yhteisillä tarkastus- ja testauskäytännöillä, mikä helpottaa valmisteilla käytävää kauppaa sisämarkkinoilla. </w:t>
            </w:r>
          </w:p>
        </w:tc>
      </w:tr>
      <w:tr>
        <w:trPr>
          <w:cantSplit/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lastRenderedPageBreak/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Räjähdysvaaralliset tilat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Euroopan parlamentin ja neuvoston direktiivi 2014/34/EU räjähdysvaarallisissa tiloissa käytettäviksi tarkoitettuja laitteita ja suojajärjestelmiä koskevan jäsenvaltioiden lainsäädännön yhdenmukaistamisesta.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Laaditaan tekniset eritelmät, joissa otetaan huomioon direktiivin olennaisten vaatimusten mukaisesti räjähdysvaarallisissa tiloissa käytettäviksi tarkoitettujen laitteiden ja suojajärjestelmien tekniset päivitykset.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 xml:space="preserve">Laitteet suunnitellaan ja rakennetaan päivitetyn ja alan uusimman tekniikan mukaisesti, ja käyttäjät pääsevät hyötymään ajantasaisesta turvallisuudesta. </w:t>
            </w:r>
          </w:p>
        </w:tc>
      </w:tr>
      <w:tr>
        <w:trPr>
          <w:cantSplit/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Pyroteknisten tuotteiden turvallisuus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Euroopan parlamentin ja neuvoston direktiivi 2013/29/EU, annettu 12 päivänä kesäkuuta 2013, pyroteknisten tuotteiden asettamista saataville markkinoilla koskevan jäsenvaltioiden lainsäädännön yhdenmukaistamisesta (uudelleenlaadittu).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Standardoinnilla lisätään pyroteknisten tuotteiden turvallisuutta: päivitetään voimassa olevat pyroteknisiä tuotteita koskevat standardit, jotta ne täyttävät voimassa olevan direktiivin 2013/29/EU vaatimukset ja jotta teknologian uusin kehitys voidaan ottaa huomioon.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Toimella lisätään pyroteknisten tuotteiden turvallisuutta ja näiden tuotteiden vaatimustenmukaisuutta koskevien arviointien laatua, ja tämä tapahtuu saattamalla alan voimassa olevat standardit voimassa olevan lainsäädännön ja turvallisuusvaatimusten sekä uusimman teknologian mukaisiksi.</w:t>
            </w:r>
          </w:p>
        </w:tc>
      </w:tr>
      <w:tr>
        <w:trPr>
          <w:cantSplit/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Radionuklidikalibraattorit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Lääkinnällisiä laitteita koskeva asetus (EU) 2017/745,  turvallisuutta koskevat perusnormit, neuvoston direktiivi 2013/59/Euratom.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Ennen lääkkeen antamista potilaalle käytettävien radioaktiivisten lääkeaineiden aktiivisuutta mittaavien radionuklidikalibraattoreiden suunnittelu, valmistus, asennus, käyttö ja suorituskyvyn todentaminen.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Parannetaan annosten optimointiprosessia todentamalla potilaalle annettavien radioaktiivisten lääkeaineiden aktiivisuus.</w:t>
            </w:r>
          </w:p>
        </w:tc>
      </w:tr>
      <w:tr>
        <w:trPr>
          <w:cantSplit/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Rakennustuotteet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Rakennustuotteista annettu asetus (EU) N:o 305/2011.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 xml:space="preserve">Laaditaan rakennustuotteiden suoritustasojen arviointimenetelmät ja </w:t>
            </w:r>
            <w:r>
              <w:rPr>
                <w:rFonts w:ascii="Times New Roman" w:hAnsi="Times New Roman"/>
                <w:noProof/>
              </w:rPr>
              <w:noBreakHyphen/>
              <w:t xml:space="preserve">perusteet.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Tässä asetuksessa tai sen avulla luodun yhdenmukaistamisjärjestelmän asianmukaisen toiminnan edellyttämä yhteinen tekninen kieli.</w:t>
            </w:r>
          </w:p>
        </w:tc>
      </w:tr>
      <w:tr>
        <w:trPr>
          <w:cantSplit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Raideliikenne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Direktiivi (EU) 2016/797 rautatiejärjestelmän yhteentoimivuudesta Euroopan unionissa (uudelleenlaadittu).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Tuetaan yhteentoimivuutta ja rautatiejärjestelmän rakennetta koskevia teknisiä eritelmiä, kuten digitalisointia junanhallinnan tehostamiseksi ja käyttäjille aiheutuvien etujen parantamiseksi sekä automaatiota ja kyberturvallisuutta.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Valmistellaan rautatiealan yhdentymistä ja yhdenmukaistamista yhtenäiseksi eurooppalaiseksi rautatiealueeksi, joka muodostaa perustan tulevalle multimodaaliselle ja digitaaliselle eurooppalaiselle liikenneverkolle.</w:t>
            </w:r>
          </w:p>
        </w:tc>
      </w:tr>
      <w:tr>
        <w:trPr>
          <w:cantSplit/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Akkreditointi ja vaatimustenmukaisuuden arviointi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Asetus (EY) N:o 765/2008 tuotteiden kaupan pitämiseen liittyvää akkreditointia ja markkinavalvontaa koskevista vaatimuksista ja asetus (EY) N:o 1221/2009.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Yhdenmukaistetaan vertaisarviointiperusteita kansallisten akkreditointielinten kesken. Jäsenvaltioiden kansalliset akkreditointielimet yhdenmukaistavat vaatimustenmukaisuuden arviointilaitosten akkreditointiperusteet.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Varmistetaan, että akkreditointi ja vaatimustenmukaisuuden arviointi on yhtä tiukkaa kaikissa jäsenvaltioissa varmistamalla akkreditointilaitosten ja vaatimustenmukaisuuden arviointilaitosten pätevyyden korkea taso, ja luodaan siten toimijoille (etenkin pk-yrityksille) tasapuoliset toimintaedellytykset.</w:t>
            </w:r>
          </w:p>
        </w:tc>
      </w:tr>
      <w:tr>
        <w:trPr>
          <w:cantSplit/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Vammaiset ja esteettömyys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Euroopan parlamentin ja neuvoston direktiivi (EU) 2019/882, annettu 17 päivänä huhtikuuta 2019, tuotteiden ja palvelujen esteettömyysvaatimuksista.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Yhdenmukaistetaan toimintatavat, joita valmistajat ja palveluntarjoajat nykyisin käyttävät eri puolilla maailmaa täyttääkseen esteettömyysvaatimukset aina tuottaessaan/tarjotessaan tuotteita/palveluja, joilla on esteettömyysominaisuuksia.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Varmistetaan, että vammaiset henkilöt voivat käyttää tuotteita ja palveluja sisämarkkinoilla.</w:t>
            </w:r>
          </w:p>
        </w:tc>
      </w:tr>
      <w:tr>
        <w:trPr>
          <w:cantSplit/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Kalastusvälineiden uudelleenkäyttö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Direktiivi (EU) 2019/904 tiettyjen muovituotteiden ympäristövaikutuksen vähentämisestä.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Laaditaan yhdenmukaistetut standardit kalastusvälineiden kiertotalouden periaatteiden mukaista suunnittelua varten ja siten kannustetaan valmistelua uudelleenkäyttöön ja helpotetaan kierrätettävyyttä käyttöiän päättyessä.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Kannustetaan valmistelua uudelleenkäyttöön ja helpotetaan kierrätettävyyttä käyttöiän päättyessä.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p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5667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96FD701-1C87-43A1-A9D5-7592B73B3634"/>
    <w:docVar w:name="LW_COVERPAGE_TYPE" w:val="1"/>
    <w:docVar w:name="LW_CROSSREFERENCE" w:val="&lt;UNUSED&gt;"/>
    <w:docVar w:name="LW_DocType" w:val="NORMAL"/>
    <w:docVar w:name="LW_EMISSION" w:val="28.10.2019"/>
    <w:docVar w:name="LW_EMISSION_ISODATE" w:val="2019-10-28"/>
    <w:docVar w:name="LW_EMISSION_LOCATION" w:val="BRX"/>
    <w:docVar w:name="LW_EMISSION_PREFIX" w:val="Bryssel "/>
    <w:docVar w:name="LW_EMISSION_SUFFIX" w:val=" "/>
    <w:docVar w:name="LW_ID_DOCTYPE_NONLW" w:val="CP-039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.CP" w:val="Eurooppalaista standardointia koskeva unionin vuotuinen työohjelma 2020"/>
    <w:docVar w:name="LW_PART_NBR" w:val="1"/>
    <w:docVar w:name="LW_PART_NBR_TOTAL" w:val="1"/>
    <w:docVar w:name="LW_REF.INST.NEW" w:val="COM"/>
    <w:docVar w:name="LW_REF.INST.NEW_ADOPTED" w:val="final"/>
    <w:docVar w:name="LW_REF.INST.NEW_TEXT" w:val="(2019) 48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LIITE_x000b_"/>
    <w:docVar w:name="LW_TYPEACTEPRINCIPAL.CP" w:val="KOMISSION TIEDONANTO EUROOPAN PARLAMENTILLE, NEUVOSTOLLE, EUROOPAN TALOUS- JA SOSIAALIKOMITEALLE JA ALUEIDEN KOMITEAL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5869C6-AAD6-4094-A853-A3D672BA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739</Words>
  <Characters>7318</Characters>
  <Application>Microsoft Office Word</Application>
  <DocSecurity>0</DocSecurity>
  <Lines>318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DIAMANTOPOULOS Dimitrios (GROW)</dc:creator>
  <cp:lastModifiedBy>WES PDFC Administrator</cp:lastModifiedBy>
  <cp:revision>14</cp:revision>
  <cp:lastPrinted>2019-09-19T09:41:00Z</cp:lastPrinted>
  <dcterms:created xsi:type="dcterms:W3CDTF">2019-09-19T14:28:00Z</dcterms:created>
  <dcterms:modified xsi:type="dcterms:W3CDTF">2019-10-28T08:33:00Z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First annex">
    <vt:lpwstr>1</vt:lpwstr>
  </property>
  <property fmtid="{D5CDD505-2E9C-101B-9397-08002B2CF9AE}" pid="9" name="Last annex">
    <vt:lpwstr>1</vt:lpwstr>
  </property>
  <property fmtid="{D5CDD505-2E9C-101B-9397-08002B2CF9AE}" pid="10" name="Unique annex">
    <vt:lpwstr>1</vt:lpwstr>
  </property>
  <property fmtid="{D5CDD505-2E9C-101B-9397-08002B2CF9AE}" pid="11" name="CPTemplateID">
    <vt:lpwstr>CP-039</vt:lpwstr>
  </property>
</Properties>
</file>