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609E3C6-60B5-4C34-88D8-5D904F497D7E" style="width:450.35pt;height:393.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W w:w="13420" w:type="dxa"/>
        <w:tblInd w:w="113" w:type="dxa"/>
        <w:tblLook w:val="04A0" w:firstRow="1" w:lastRow="0" w:firstColumn="1" w:lastColumn="0" w:noHBand="0" w:noVBand="1"/>
        <w:tblCaption w:val="Planning van normalisatieverzoeken aan de Europese normalisatieorganisaties voor 2020"/>
        <w:tblDescription w:val="Planning van normalisatieverzoeken aan de Europese normalisatieorganisaties voor 2020"/>
      </w:tblPr>
      <w:tblGrid>
        <w:gridCol w:w="546"/>
        <w:gridCol w:w="2440"/>
        <w:gridCol w:w="3209"/>
        <w:gridCol w:w="3410"/>
        <w:gridCol w:w="3815"/>
      </w:tblGrid>
      <w:tr>
        <w:trPr>
          <w:trHeight w:val="585"/>
          <w:tblHeader/>
        </w:trPr>
        <w:tc>
          <w:tcPr>
            <w:tcW w:w="546" w:type="dxa"/>
            <w:tcBorders>
              <w:top w:val="single" w:sz="4" w:space="0" w:color="auto"/>
              <w:left w:val="single" w:sz="4" w:space="0" w:color="auto"/>
              <w:bottom w:val="single" w:sz="4" w:space="0" w:color="auto"/>
              <w:right w:val="single" w:sz="4" w:space="0" w:color="auto"/>
            </w:tcBorders>
            <w:shd w:val="clear" w:color="000000" w:fill="A6A6A6"/>
            <w:vAlign w:val="center"/>
            <w:hideMark/>
          </w:tcPr>
          <w:p>
            <w:pPr>
              <w:spacing w:after="0" w:line="240" w:lineRule="auto"/>
              <w:jc w:val="center"/>
              <w:rPr>
                <w:rFonts w:ascii="Times New Roman" w:eastAsia="Times New Roman" w:hAnsi="Times New Roman" w:cs="Times New Roman"/>
                <w:b/>
                <w:bCs/>
                <w:noProof/>
                <w:color w:val="000000"/>
              </w:rPr>
            </w:pPr>
            <w:bookmarkStart w:id="1" w:name="_GoBack"/>
            <w:bookmarkEnd w:id="1"/>
            <w:r>
              <w:rPr>
                <w:rFonts w:ascii="Times New Roman" w:hAnsi="Times New Roman"/>
                <w:b/>
                <w:bCs/>
                <w:noProof/>
              </w:rPr>
              <w:lastRenderedPageBreak/>
              <w:t>Ref</w:t>
            </w:r>
          </w:p>
        </w:tc>
        <w:tc>
          <w:tcPr>
            <w:tcW w:w="1439"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Titel van de actie</w:t>
            </w:r>
          </w:p>
        </w:tc>
        <w:tc>
          <w:tcPr>
            <w:tcW w:w="3553"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Beleids-/wetgevingsreferentie</w:t>
            </w:r>
          </w:p>
        </w:tc>
        <w:tc>
          <w:tcPr>
            <w:tcW w:w="3479"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Doelstelling</w:t>
            </w:r>
          </w:p>
        </w:tc>
        <w:tc>
          <w:tcPr>
            <w:tcW w:w="4403" w:type="dxa"/>
            <w:tcBorders>
              <w:top w:val="single" w:sz="4" w:space="0" w:color="auto"/>
              <w:left w:val="nil"/>
              <w:bottom w:val="single" w:sz="4" w:space="0" w:color="auto"/>
              <w:right w:val="single" w:sz="4" w:space="0" w:color="auto"/>
            </w:tcBorders>
            <w:shd w:val="clear" w:color="000000" w:fill="A6A6A6"/>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Beoogd resultaat van de actie</w:t>
            </w:r>
          </w:p>
        </w:tc>
      </w:tr>
      <w:tr>
        <w:trPr>
          <w:trHeight w:val="315"/>
        </w:trPr>
        <w:tc>
          <w:tcPr>
            <w:tcW w:w="134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rPr>
            </w:pPr>
            <w:r>
              <w:rPr>
                <w:rFonts w:ascii="Times New Roman" w:hAnsi="Times New Roman"/>
                <w:b/>
                <w:bCs/>
                <w:noProof/>
              </w:rPr>
              <w:t>Normalisatieverzoeken betreffende de ontwikkeling/herziening van geharmoniseerde Europese normen ter ondersteuning van Uniewetgeving</w:t>
            </w:r>
          </w:p>
        </w:tc>
      </w:tr>
      <w:tr>
        <w:trPr>
          <w:cantSplit/>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Eco-ontwerp</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Herziening van Verordening (EU) 640/2009 betreffende eisen inzake het ecologisch ontwerp van elektromotoren.</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Beoordeling van de energieverliezen die upstream en downstream van een snelheidsvariator worden gegenereerd, naast de aandrijfverliezen die reeds door norm IEC 61800-9-2 worden bestreken.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Beoordeling van de effecten van snelheidsvariatoren in een systeembenadering, ter bevordering van het gebruik van snelheidsvariatoren die de energieverliezen minimaliseren.</w:t>
            </w:r>
          </w:p>
        </w:tc>
      </w:tr>
      <w:tr>
        <w:trPr>
          <w:cantSplit/>
          <w:trHeight w:val="39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2</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Eco-ontwerp</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Verordening inzake het ecologisch ontwerp en de energie-etikettering van waterverwarmingstoestellen (herziening van Gedelegeerde Verordening (EU) nr. 812/2013 ter aanvulling van Richtlijn 2010/30/EU wat de energie-etikettering van waterverwarmingstoestellen, warmwatertanks en pakketten van waterverwarmingstoestellen en zonne-energie-installaties betreft, en van Verordening nr. 814/2013 tot uitvoering van Richtlijn 2009/125/EG wat eisen inzake ecologisch ontwerp voor waterverwarmingstoestellen en warmwatertanks betreft).</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Beoordeling van de energie-efficiëntie, emissies en mogelijke andere milieueffecten van waterverwarmingstoestellen.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Verbetering van de milieuprestaties van waterverwarmingstoestellen en totstandbrenging van een gelijk speelveld voor fabrikanten die aan de verordening moeten voldoen.</w:t>
            </w:r>
          </w:p>
        </w:tc>
      </w:tr>
      <w:tr>
        <w:trPr>
          <w:cantSplit/>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3</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Eco-ontwerp</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Vereisten inzake het ecologisch ontwerp van huishoudelijke afwasmachines, huishoudelijke wasmachines en huishoudelijke was-droogcombinaties; energie-etikettering van huishoudelijke afwasmachines, huishoudelijke wasmachines en huishoudelijke was-droogcombinaties; vaststelling van vier verordeningen van de Commissie in 2019.</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Herziening van de geharmoniseerde testnormen voor het meten van de prestaties van huishoudelijke afwasmachines, huishoudelijke wasmachines en huishoudelijke was-droogcombinaties, na de herziening van de toepasselijke verordeningen inzake ecologisch ontwerp en energie-etikettering.</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Vergemakkelijking van het op de markt brengen van huishoudelijke apparaten die aan de herziene verordeningen voldoen, en zo energie, water en andere hulpbronnen besparen, tegemoetkomen aan de behoeften van consumenten en het concurrentievermogen van de industrie versterken.</w:t>
            </w:r>
          </w:p>
        </w:tc>
      </w:tr>
      <w:tr>
        <w:trPr>
          <w:cantSplit/>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4</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Registratie en beoordeling van en autorisatie en beperkingen ten aanzien van chemische stoffen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Verordening (EG) nr. 1907/2006 </w:t>
            </w:r>
          </w:p>
          <w:p>
            <w:pPr>
              <w:spacing w:after="0" w:line="240" w:lineRule="auto"/>
              <w:rPr>
                <w:rFonts w:ascii="Times New Roman" w:eastAsia="Times New Roman" w:hAnsi="Times New Roman" w:cs="Times New Roman"/>
                <w:noProof/>
                <w:color w:val="000000"/>
              </w:rPr>
            </w:pPr>
            <w:r>
              <w:rPr>
                <w:rFonts w:ascii="Times New Roman" w:hAnsi="Times New Roman"/>
                <w:noProof/>
              </w:rPr>
              <w:t>inzake de registratie en beoordeling van en de autorisatie en</w:t>
            </w:r>
          </w:p>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beperkingen ten aanzien van chemische stoffen (Reach), bijlage XVII – beperking 50. </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Tenuitvoerlegging van beperking 50, punten 5 en 6 (polycyclische aromatische koolwaterstoffen (pak’s)), waarbij in het kader van een herziening de invoering van migratiegerelateerde grenswaarden voor rubber en plastic materiaal kan worden overwogen.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Zekerheid dat consumentenproducten van rubber/plastic vrijelijk kunnen worden geproduceerd/verhandeld in de eengemaakte markt.</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5</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Meststoffen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Verordening (EU) 2019/1009 van het Europees Parlement en de Raad van 5 juni 2019 tot vaststelling van voorschriften inzake het op de markt aanbieden van EU-bemestingsproducten en tot wijziging van de Verordeningen (EG) nr. 1069/2009 en (EG) nr. 1107/2009 en tot intrekking van Verordening (EG) nr. 2003/2003.</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Harmonisatie van analytische testmethoden voor het verifiëren van de conformiteit van uit secundaire grondstoffen vervaardigde bemestingsproducten met de nieuwe meststoffenverordening.</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Gemeenschappelijke inspecties en testpraktijken mogelijk maken voor het vaststellen van de conformiteit met de wettelijke vereisten, waardoor de handel in de eengemaakte markt zal worden vergemakkelijkt. </w:t>
            </w:r>
          </w:p>
        </w:tc>
      </w:tr>
      <w:tr>
        <w:trPr>
          <w:cantSplit/>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6</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Ontploffingsgevaar</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Richtlijn 2014/34/EU van het Europees Parlement en de Raad betreffende de harmonisatie van de wetgevingen van de lidstaten inzake apparaten en beveiligingssystemen bedoeld voor gebruik op plaatsen waar ontploffingsgevaar kan heersen (ATEX).</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Ontwikkeling van technische specificaties, overeenkomstig de essentiële eisen van de richtlijn, de technologische actualisering van apparaten en beveiligingssystemen bedoeld voor gebruik op plaatsen waar ontploffingsgevaar kan heersen.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Ontwerp en bouw van hooggeavanceerde apparatuur voor toepassing in sectorale technologieën, en gebruikers in staat te stellen te profiteren van het verhoogde beveiligingsniveau. </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7</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Veiligheid van pyrotechnische artikelen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Richtlijn 2013/29/EU van het Europees Parlement en de Raad van 12 juni 2013 betreffende de harmonisatie van de wetgevingen van de lidstaten inzake het op de markt aanbieden van pyrotechnische artikelen (herschikking).</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Normalisatiewerk ter vergroting van de veiligheid van pyrotechnische artikelen: actualisering van de huidige normen inzake pyrotechnische artikelen om deze in overeenstemming te brengen met de huidige Richtlijn 2013/29/EU en met de nieuwste technologische ontwikkelingen.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Deze actie zal de veiligheid van pyrotechnische artikelen en de kwaliteit van de conformiteitsbeoordelingen van die artikelen verbeteren door de bestaande normen op dit gebied in overeenstemming te brengen met de huidige wettelijke en veiligheidseisen en met de nieuwste technologieën.</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8</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Radionuclidekalibratie-instrumenten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Verordening (EU) 2017/745 betreffende medische hulpmiddelen;  Richtlijn 2013/59/Euratom inzake de basisnormen voor de bescherming tegen de gevaren verbonden aan de blootstelling aan ioniserende straling.</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Ontwerp, vervaardiging, installatie, gebruik en controle van de prestaties van radionuclidekalibratie-instrumenten die worden gebruikt om de activiteit van radiofarmaca voorafgaand aan de toediening aan de patiënt te meten.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Verbetering van het dosisoptimaliseringsproces door middel van de verificatie van aan patiënten toegediende doses.</w:t>
            </w:r>
          </w:p>
        </w:tc>
      </w:tr>
      <w:tr>
        <w:trPr>
          <w:cantSplit/>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9</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Bouwproducten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De bouwproductenverordening (Verordening (EU) nr. 305/2011).</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Ontwikkeling van methoden en criteria voor de beoordeling van de prestaties van bouwproducten. </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Een gemeenschappelijke technische taal, die nodig is voor de goede werking van het harmonisatiesysteem dat is gecreëerd in het kader van (of door middel van) de bouwproductenverordening.</w:t>
            </w:r>
          </w:p>
        </w:tc>
      </w:tr>
      <w:tr>
        <w:trPr>
          <w:cantSplit/>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10</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Spoorwegen</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Richtlijn (EU) 2016/797 betreffende de interoperabiliteit van het spoorwegsysteem in de Europese Unie (herschikking).</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Ondersteuning van de technische specificaties voor de interoperabiliteit en de architectuur van het spoorwegsysteem, met inbegrip van digitalisering ten behoeve van efficiënte treinbewegingen, baten voor de gebruikers, automatisering en cyberbeveiliging.</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Voorbereiding van de verdere integratie en harmonisatie van de bestaande spoorwegsystemen in één Europese spoorwegruimte als de ruggengraat van het toekomstige multimodale en digitale Europese vervoersnetwerk.</w:t>
            </w:r>
          </w:p>
        </w:tc>
      </w:tr>
      <w:tr>
        <w:trPr>
          <w:cantSplit/>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11</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Accreditatie en conformiteitsbeoordeling</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Verordening (EG) nr. 765/2008 tot vaststelling van de eisen inzake accreditatie en markttoezicht betreffende het verhandelen van producten en Verordening (EG) nr. 1221/2009.</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Harmonisatie van criteria voor intercollegiale toetsing door nationale accreditatie-instanties. Harmonisatie van accreditatiecriteria voor conformiteitsbeoordelingsinstanties door de nationale accreditatie-instanties in de lidstaten.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Zekerheid dat de accreditatie en conformiteitsbeoordeling in alle lidstaten op basis van even strenge criteria geschiedt, met een hoog competentieniveau van accreditatie- en conformiteitsbeoordelingsinstanties en een gelijk speelveld voor marktdeelnemers (met name het mkb/kmo’s).</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12</w:t>
            </w:r>
          </w:p>
        </w:tc>
        <w:tc>
          <w:tcPr>
            <w:tcW w:w="143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Toegankelijkheid voor personen met een handicap</w:t>
            </w:r>
          </w:p>
        </w:tc>
        <w:tc>
          <w:tcPr>
            <w:tcW w:w="355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Richtlijn (EU) 2019/882 van het Europees Parlement en de Raad van 17 april 2019 betreffende de toegankelijkheidsvoorschriften voor producten en diensten.</w:t>
            </w:r>
          </w:p>
        </w:tc>
        <w:tc>
          <w:tcPr>
            <w:tcW w:w="34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Harmonisatie van de benaderingen die fabrikanten en dienstverleners wereldwijd gebruiken om te voldoen aan toegankelijkheidseisen, wanneer zij producten of diensten met specifieke toegankelijkheidsvoorzieningen produceren/leveren.</w:t>
            </w:r>
          </w:p>
        </w:tc>
        <w:tc>
          <w:tcPr>
            <w:tcW w:w="440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noProof/>
                <w:color w:val="000000"/>
              </w:rPr>
            </w:pPr>
            <w:r>
              <w:rPr>
                <w:rFonts w:ascii="Times New Roman" w:hAnsi="Times New Roman"/>
                <w:noProof/>
              </w:rPr>
              <w:t>Zekerheid dat personen met een handicap toegang hebben tot producten en diensten in de interne markt.</w:t>
            </w:r>
          </w:p>
        </w:tc>
      </w:tr>
      <w:tr>
        <w:trPr>
          <w:cantSplit/>
          <w:trHeight w:val="2100"/>
        </w:trPr>
        <w:tc>
          <w:tcPr>
            <w:tcW w:w="546"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13</w:t>
            </w:r>
          </w:p>
        </w:tc>
        <w:tc>
          <w:tcPr>
            <w:tcW w:w="143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Hergebruik van vistuig</w:t>
            </w:r>
          </w:p>
        </w:tc>
        <w:tc>
          <w:tcPr>
            <w:tcW w:w="3553"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p>
          <w:p>
            <w:pPr>
              <w:spacing w:after="0" w:line="240" w:lineRule="auto"/>
              <w:rPr>
                <w:rFonts w:ascii="Times New Roman" w:eastAsia="Times New Roman" w:hAnsi="Times New Roman" w:cs="Times New Roman"/>
                <w:noProof/>
                <w:color w:val="000000"/>
              </w:rPr>
            </w:pPr>
            <w:r>
              <w:rPr>
                <w:rFonts w:ascii="Times New Roman" w:hAnsi="Times New Roman"/>
                <w:noProof/>
              </w:rPr>
              <w:t>Richtlijn (EU) 2019/904 betreffende de vermindering van de effecten van bepaalde kunststofproducten op het milieu.</w:t>
            </w:r>
          </w:p>
        </w:tc>
        <w:tc>
          <w:tcPr>
            <w:tcW w:w="34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Ontwikkeling van geharmoniseerde normen voor het circulaire ontwerp van vistuig ter bevordering van het hergebruik en een betere recyclebaarheid van vistuig aan het eind van de levensduur.</w:t>
            </w:r>
          </w:p>
        </w:tc>
        <w:tc>
          <w:tcPr>
            <w:tcW w:w="4403"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noProof/>
                <w:color w:val="000000"/>
              </w:rPr>
            </w:pPr>
            <w:r>
              <w:rPr>
                <w:rFonts w:ascii="Times New Roman" w:hAnsi="Times New Roman"/>
                <w:noProof/>
              </w:rPr>
              <w:t>Bevordering van het hergebruik en een betere recyclebaarheid van vistuig aan het eind van de levensduur.</w:t>
            </w:r>
          </w:p>
        </w:tc>
      </w:tr>
    </w:tbl>
    <w:p>
      <w:pPr>
        <w:rPr>
          <w:rFonts w:ascii="Times New Roman" w:hAnsi="Times New Roman" w:cs="Times New Roman"/>
          <w:noProof/>
        </w:rPr>
      </w:pPr>
    </w:p>
    <w:p>
      <w:pPr>
        <w:spacing w:after="0" w:line="240" w:lineRule="auto"/>
        <w:rPr>
          <w:rFonts w:ascii="Arial" w:eastAsia="Times New Roman" w:hAnsi="Arial" w:cs="Arial"/>
          <w:noProof/>
          <w:sz w:val="20"/>
          <w:szCs w:val="20"/>
        </w:rPr>
      </w:pPr>
    </w:p>
    <w:sectPr>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566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1"/>
    <w:docVar w:name="LW_ANNEX_UNIQUE" w:val="1"/>
    <w:docVar w:name="LW_CORRIGENDUM" w:val="&lt;UNUSED&gt;"/>
    <w:docVar w:name="LW_COVERPAGE_EXISTS" w:val="True"/>
    <w:docVar w:name="LW_COVERPAGE_GUID" w:val="D609E3C6-60B5-4C34-88D8-5D904F497D7E"/>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Het jaarlijkse werkprogramma van de Unie voor Europese normalisatie voor 2020"/>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61">
      <w:bodyDiv w:val="1"/>
      <w:marLeft w:val="0"/>
      <w:marRight w:val="0"/>
      <w:marTop w:val="0"/>
      <w:marBottom w:val="0"/>
      <w:divBdr>
        <w:top w:val="none" w:sz="0" w:space="0" w:color="auto"/>
        <w:left w:val="none" w:sz="0" w:space="0" w:color="auto"/>
        <w:bottom w:val="none" w:sz="0" w:space="0" w:color="auto"/>
        <w:right w:val="none" w:sz="0" w:space="0" w:color="auto"/>
      </w:divBdr>
    </w:div>
    <w:div w:id="59257575">
      <w:bodyDiv w:val="1"/>
      <w:marLeft w:val="0"/>
      <w:marRight w:val="0"/>
      <w:marTop w:val="0"/>
      <w:marBottom w:val="0"/>
      <w:divBdr>
        <w:top w:val="none" w:sz="0" w:space="0" w:color="auto"/>
        <w:left w:val="none" w:sz="0" w:space="0" w:color="auto"/>
        <w:bottom w:val="none" w:sz="0" w:space="0" w:color="auto"/>
        <w:right w:val="none" w:sz="0" w:space="0" w:color="auto"/>
      </w:divBdr>
    </w:div>
    <w:div w:id="90123971">
      <w:bodyDiv w:val="1"/>
      <w:marLeft w:val="0"/>
      <w:marRight w:val="0"/>
      <w:marTop w:val="0"/>
      <w:marBottom w:val="0"/>
      <w:divBdr>
        <w:top w:val="none" w:sz="0" w:space="0" w:color="auto"/>
        <w:left w:val="none" w:sz="0" w:space="0" w:color="auto"/>
        <w:bottom w:val="none" w:sz="0" w:space="0" w:color="auto"/>
        <w:right w:val="none" w:sz="0" w:space="0" w:color="auto"/>
      </w:divBdr>
    </w:div>
    <w:div w:id="444227640">
      <w:bodyDiv w:val="1"/>
      <w:marLeft w:val="0"/>
      <w:marRight w:val="0"/>
      <w:marTop w:val="0"/>
      <w:marBottom w:val="0"/>
      <w:divBdr>
        <w:top w:val="none" w:sz="0" w:space="0" w:color="auto"/>
        <w:left w:val="none" w:sz="0" w:space="0" w:color="auto"/>
        <w:bottom w:val="none" w:sz="0" w:space="0" w:color="auto"/>
        <w:right w:val="none" w:sz="0" w:space="0" w:color="auto"/>
      </w:divBdr>
    </w:div>
    <w:div w:id="517886257">
      <w:bodyDiv w:val="1"/>
      <w:marLeft w:val="0"/>
      <w:marRight w:val="0"/>
      <w:marTop w:val="0"/>
      <w:marBottom w:val="0"/>
      <w:divBdr>
        <w:top w:val="none" w:sz="0" w:space="0" w:color="auto"/>
        <w:left w:val="none" w:sz="0" w:space="0" w:color="auto"/>
        <w:bottom w:val="none" w:sz="0" w:space="0" w:color="auto"/>
        <w:right w:val="none" w:sz="0" w:space="0" w:color="auto"/>
      </w:divBdr>
    </w:div>
    <w:div w:id="698046593">
      <w:bodyDiv w:val="1"/>
      <w:marLeft w:val="0"/>
      <w:marRight w:val="0"/>
      <w:marTop w:val="0"/>
      <w:marBottom w:val="0"/>
      <w:divBdr>
        <w:top w:val="none" w:sz="0" w:space="0" w:color="auto"/>
        <w:left w:val="none" w:sz="0" w:space="0" w:color="auto"/>
        <w:bottom w:val="none" w:sz="0" w:space="0" w:color="auto"/>
        <w:right w:val="none" w:sz="0" w:space="0" w:color="auto"/>
      </w:divBdr>
    </w:div>
    <w:div w:id="713778082">
      <w:bodyDiv w:val="1"/>
      <w:marLeft w:val="0"/>
      <w:marRight w:val="0"/>
      <w:marTop w:val="0"/>
      <w:marBottom w:val="0"/>
      <w:divBdr>
        <w:top w:val="none" w:sz="0" w:space="0" w:color="auto"/>
        <w:left w:val="none" w:sz="0" w:space="0" w:color="auto"/>
        <w:bottom w:val="none" w:sz="0" w:space="0" w:color="auto"/>
        <w:right w:val="none" w:sz="0" w:space="0" w:color="auto"/>
      </w:divBdr>
    </w:div>
    <w:div w:id="725685129">
      <w:bodyDiv w:val="1"/>
      <w:marLeft w:val="0"/>
      <w:marRight w:val="0"/>
      <w:marTop w:val="0"/>
      <w:marBottom w:val="0"/>
      <w:divBdr>
        <w:top w:val="none" w:sz="0" w:space="0" w:color="auto"/>
        <w:left w:val="none" w:sz="0" w:space="0" w:color="auto"/>
        <w:bottom w:val="none" w:sz="0" w:space="0" w:color="auto"/>
        <w:right w:val="none" w:sz="0" w:space="0" w:color="auto"/>
      </w:divBdr>
    </w:div>
    <w:div w:id="1050885442">
      <w:bodyDiv w:val="1"/>
      <w:marLeft w:val="0"/>
      <w:marRight w:val="0"/>
      <w:marTop w:val="0"/>
      <w:marBottom w:val="0"/>
      <w:divBdr>
        <w:top w:val="none" w:sz="0" w:space="0" w:color="auto"/>
        <w:left w:val="none" w:sz="0" w:space="0" w:color="auto"/>
        <w:bottom w:val="none" w:sz="0" w:space="0" w:color="auto"/>
        <w:right w:val="none" w:sz="0" w:space="0" w:color="auto"/>
      </w:divBdr>
    </w:div>
    <w:div w:id="1466463057">
      <w:bodyDiv w:val="1"/>
      <w:marLeft w:val="0"/>
      <w:marRight w:val="0"/>
      <w:marTop w:val="0"/>
      <w:marBottom w:val="0"/>
      <w:divBdr>
        <w:top w:val="none" w:sz="0" w:space="0" w:color="auto"/>
        <w:left w:val="none" w:sz="0" w:space="0" w:color="auto"/>
        <w:bottom w:val="none" w:sz="0" w:space="0" w:color="auto"/>
        <w:right w:val="none" w:sz="0" w:space="0" w:color="auto"/>
      </w:divBdr>
    </w:div>
    <w:div w:id="1527907588">
      <w:bodyDiv w:val="1"/>
      <w:marLeft w:val="0"/>
      <w:marRight w:val="0"/>
      <w:marTop w:val="0"/>
      <w:marBottom w:val="0"/>
      <w:divBdr>
        <w:top w:val="none" w:sz="0" w:space="0" w:color="auto"/>
        <w:left w:val="none" w:sz="0" w:space="0" w:color="auto"/>
        <w:bottom w:val="none" w:sz="0" w:space="0" w:color="auto"/>
        <w:right w:val="none" w:sz="0" w:space="0" w:color="auto"/>
      </w:divBdr>
    </w:div>
    <w:div w:id="1547254381">
      <w:bodyDiv w:val="1"/>
      <w:marLeft w:val="0"/>
      <w:marRight w:val="0"/>
      <w:marTop w:val="0"/>
      <w:marBottom w:val="0"/>
      <w:divBdr>
        <w:top w:val="none" w:sz="0" w:space="0" w:color="auto"/>
        <w:left w:val="none" w:sz="0" w:space="0" w:color="auto"/>
        <w:bottom w:val="none" w:sz="0" w:space="0" w:color="auto"/>
        <w:right w:val="none" w:sz="0" w:space="0" w:color="auto"/>
      </w:divBdr>
    </w:div>
    <w:div w:id="1886793612">
      <w:bodyDiv w:val="1"/>
      <w:marLeft w:val="0"/>
      <w:marRight w:val="0"/>
      <w:marTop w:val="0"/>
      <w:marBottom w:val="0"/>
      <w:divBdr>
        <w:top w:val="none" w:sz="0" w:space="0" w:color="auto"/>
        <w:left w:val="none" w:sz="0" w:space="0" w:color="auto"/>
        <w:bottom w:val="none" w:sz="0" w:space="0" w:color="auto"/>
        <w:right w:val="none" w:sz="0" w:space="0" w:color="auto"/>
      </w:divBdr>
    </w:div>
    <w:div w:id="2081293551">
      <w:bodyDiv w:val="1"/>
      <w:marLeft w:val="0"/>
      <w:marRight w:val="0"/>
      <w:marTop w:val="0"/>
      <w:marBottom w:val="0"/>
      <w:divBdr>
        <w:top w:val="none" w:sz="0" w:space="0" w:color="auto"/>
        <w:left w:val="none" w:sz="0" w:space="0" w:color="auto"/>
        <w:bottom w:val="none" w:sz="0" w:space="0" w:color="auto"/>
        <w:right w:val="none" w:sz="0" w:space="0" w:color="auto"/>
      </w:divBdr>
    </w:div>
    <w:div w:id="20872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8BC422-2D95-4C1F-B6AC-898B9F8B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1050</Words>
  <Characters>7509</Characters>
  <Application>Microsoft Office Word</Application>
  <DocSecurity>0</DocSecurity>
  <Lines>326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DIAMANTOPOULOS Dimitrios (GROW)</dc:creator>
  <cp:lastModifiedBy>WES PDFC Administrator</cp:lastModifiedBy>
  <cp:revision>10</cp:revision>
  <cp:lastPrinted>2019-09-19T09:41:00Z</cp:lastPrinted>
  <dcterms:created xsi:type="dcterms:W3CDTF">2019-10-15T13:22:00Z</dcterms:created>
  <dcterms:modified xsi:type="dcterms:W3CDTF">2019-10-28T08:35:00Z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First annex">
    <vt:lpwstr>1</vt:lpwstr>
  </property>
  <property fmtid="{D5CDD505-2E9C-101B-9397-08002B2CF9AE}" pid="9" name="Last annex">
    <vt:lpwstr>1</vt:lpwstr>
  </property>
  <property fmtid="{D5CDD505-2E9C-101B-9397-08002B2CF9AE}" pid="10" name="Unique annex">
    <vt:lpwstr>1</vt:lpwstr>
  </property>
  <property fmtid="{D5CDD505-2E9C-101B-9397-08002B2CF9AE}" pid="11" name="CPTemplateID">
    <vt:lpwstr>CP-039</vt:lpwstr>
  </property>
</Properties>
</file>