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46" w:rsidRDefault="00966246">
      <w:pPr>
        <w:pStyle w:val="Pagedecouverture"/>
        <w:rPr>
          <w:noProof/>
        </w:rPr>
        <w:sectPr w:rsidR="009662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4CE06F71-E065-44FF-92B5-C905E2B36DB3" style="width:450.7pt;height:319.8pt">
            <v:imagedata r:id="rId14" o:title=""/>
          </v:shape>
        </w:pict>
      </w:r>
    </w:p>
    <w:p w:rsidR="00452489" w:rsidRDefault="00452489">
      <w:pPr>
        <w:pStyle w:val="Pagedecouverture"/>
        <w:rPr>
          <w:noProof/>
        </w:rPr>
      </w:pPr>
    </w:p>
    <w:bookmarkEnd w:id="0"/>
    <w:p w:rsidR="00452489" w:rsidRDefault="00452489">
      <w:pPr>
        <w:rPr>
          <w:noProof/>
        </w:rPr>
        <w:sectPr w:rsidR="00452489">
          <w:footerReference w:type="default" r:id="rId15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452489" w:rsidRDefault="00966246">
      <w:pPr>
        <w:pStyle w:val="ListParagraph"/>
        <w:keepNext/>
        <w:numPr>
          <w:ilvl w:val="0"/>
          <w:numId w:val="12"/>
        </w:numPr>
        <w:spacing w:before="360" w:after="240" w:line="240" w:lineRule="auto"/>
        <w:ind w:left="567" w:hanging="567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ÚVOD</w:t>
      </w:r>
    </w:p>
    <w:p w:rsidR="00452489" w:rsidRDefault="00966246">
      <w:pPr>
        <w:pStyle w:val="Footnote"/>
        <w:rPr>
          <w:spacing w:val="-2"/>
        </w:rPr>
      </w:pPr>
      <w:r>
        <w:rPr>
          <w:spacing w:val="-2"/>
        </w:rPr>
        <w:t xml:space="preserve">Mechanizmus na zaistenie spolupráce a overovania (ďalej len „MSO“) bol zriadený v čase pristúpenia Bulharska k Európskej únii v roku 2007 </w:t>
      </w:r>
      <w:r>
        <w:rPr>
          <w:spacing w:val="-2"/>
        </w:rPr>
        <w:t>ako prechodné opatrenie v snahe pomôcť Bulharsku v jeho neprestávajúcom úsilí o reformu súdnictva a zintenzívnenie boja proti korupcii a organizovanej trestnej činnosti.</w:t>
      </w:r>
      <w:r>
        <w:rPr>
          <w:spacing w:val="-2"/>
          <w:vertAlign w:val="superscript"/>
        </w:rPr>
        <w:footnoteReference w:id="2"/>
      </w:r>
      <w:r>
        <w:rPr>
          <w:spacing w:val="-2"/>
        </w:rPr>
        <w:t xml:space="preserve"> MSO predstavoval spoločný záväzok Bulharska a Únie odstrániť sériu pretrvávajúcich ne</w:t>
      </w:r>
      <w:r>
        <w:rPr>
          <w:spacing w:val="-2"/>
        </w:rPr>
        <w:t>dostatkov, ktoré boli odhalené v čase pristúpenia, pričom tento mechanizmus sa mal uplatňovať až dovtedy, kým Komisia nedospeje k záveru, že bol dostatočne splnený rad osobitných referenčných kritérií.</w:t>
      </w:r>
    </w:p>
    <w:p w:rsidR="00452489" w:rsidRDefault="00966246">
      <w:pPr>
        <w:pStyle w:val="Footnote"/>
        <w:rPr>
          <w:spacing w:val="-2"/>
        </w:rPr>
      </w:pPr>
      <w:r>
        <w:rPr>
          <w:spacing w:val="-2"/>
        </w:rPr>
        <w:t>MSO funguje od 2007 a jeho cieľom je povzbudiť k refor</w:t>
      </w:r>
      <w:r>
        <w:rPr>
          <w:spacing w:val="-2"/>
        </w:rPr>
        <w:t>mnému procesu v týchto oblastiach a sledovať jeho priebeh. V januári 2017 Komisia vykonala komplexné hodnotenie pokroku, ktorý Bulharsko dosiahlo za desať rokov od zriadenia MSO.</w:t>
      </w:r>
      <w:r>
        <w:rPr>
          <w:spacing w:val="-2"/>
          <w:vertAlign w:val="superscript"/>
        </w:rPr>
        <w:footnoteReference w:id="3"/>
      </w:r>
      <w:r>
        <w:rPr>
          <w:spacing w:val="-2"/>
        </w:rPr>
        <w:t xml:space="preserve"> Na základe tohto hodnotenia sa v správe vytýčilo jasné smerovanie k ukončeni</w:t>
      </w:r>
      <w:r>
        <w:rPr>
          <w:spacing w:val="-2"/>
        </w:rPr>
        <w:t>u MSO, a to na základe 17 kľúčových odporúčaní. Vzhľadom na dosiahnutý pokrok sa Komisia domnievala, že opatrenia, ktoré by Bulharsko prijalo v nadväznosti na týchto 17 odporúčaní, by boli dostatočným predpokladom na ukončenie MSO, pokiaľ by medzičasom ned</w:t>
      </w:r>
      <w:r>
        <w:rPr>
          <w:spacing w:val="-2"/>
        </w:rPr>
        <w:t>ošlo k vývoju, ktorý by jednoznačne zvrátil dosahovaný pokrok. Mnohé z týchto odporúčaní sa týkali vytvorenia vnútorných záruk, ktoré by zabezpečili nezvratnosť výsledkov a preukázali, že sa bude pokračovať v prebiehajúcich projektoch a konsolidácii pokrok</w:t>
      </w:r>
      <w:r>
        <w:rPr>
          <w:spacing w:val="-2"/>
        </w:rPr>
        <w:t>u aj bez MSO.</w:t>
      </w:r>
    </w:p>
    <w:p w:rsidR="00452489" w:rsidRDefault="00966246">
      <w:pPr>
        <w:pStyle w:val="Footnote"/>
        <w:rPr>
          <w:spacing w:val="-2"/>
        </w:rPr>
      </w:pPr>
      <w:r>
        <w:rPr>
          <w:spacing w:val="-2"/>
        </w:rPr>
        <w:lastRenderedPageBreak/>
        <w:t>Odvtedy vykonala Komisia dve hodnotenia pokroku pri vykonávaní konečných kľúčových odporúčaní. V správe z novembra 2017</w:t>
      </w:r>
      <w:r>
        <w:rPr>
          <w:spacing w:val="-2"/>
          <w:vertAlign w:val="superscript"/>
        </w:rPr>
        <w:footnoteReference w:id="4"/>
      </w:r>
      <w:r>
        <w:rPr>
          <w:rStyle w:val="FootnoteReference"/>
          <w:spacing w:val="-2"/>
        </w:rPr>
        <w:t xml:space="preserve"> </w:t>
      </w:r>
      <w:r>
        <w:rPr>
          <w:spacing w:val="-2"/>
        </w:rPr>
        <w:t>Komisia usúdila, že bol dosiahnutý výrazný pokrok. Hoci Komisia ešte nemohla v tom čase konštatovať, že boli uspokojivo s</w:t>
      </w:r>
      <w:r>
        <w:rPr>
          <w:spacing w:val="-2"/>
        </w:rPr>
        <w:t xml:space="preserve">plnené všetky referenčné kritériá, jasne dala najavo, že pri zachovaní politického kurzu a odhodlania napredovať v reformách by malo byť Bulharsko v blízkej budúcnosti schopné splniť zostávajúce odporúčania MSO. Rada tieto výrazné pozitívne kroky uvítala, </w:t>
      </w:r>
      <w:r>
        <w:rPr>
          <w:spacing w:val="-2"/>
        </w:rPr>
        <w:t>pričom však poznamenala, že je potrebné urobiť ešte veľa práce.</w:t>
      </w:r>
      <w:r>
        <w:rPr>
          <w:rStyle w:val="FootnoteReference"/>
          <w:spacing w:val="-2"/>
        </w:rPr>
        <w:footnoteReference w:id="5"/>
      </w:r>
      <w:r>
        <w:rPr>
          <w:spacing w:val="-2"/>
        </w:rPr>
        <w:t>.</w:t>
      </w:r>
    </w:p>
    <w:p w:rsidR="00452489" w:rsidRDefault="00966246">
      <w:pPr>
        <w:pStyle w:val="Footnote"/>
        <w:rPr>
          <w:spacing w:val="-2"/>
        </w:rPr>
      </w:pPr>
      <w:r>
        <w:rPr>
          <w:spacing w:val="-2"/>
        </w:rPr>
        <w:t>V novembri 2018</w:t>
      </w:r>
      <w:r>
        <w:rPr>
          <w:spacing w:val="-2"/>
          <w:vertAlign w:val="superscript"/>
        </w:rPr>
        <w:footnoteReference w:id="6"/>
      </w:r>
      <w:r>
        <w:rPr>
          <w:spacing w:val="-2"/>
        </w:rPr>
        <w:t xml:space="preserve"> Komisia uvítala, že sa pokročilo smerom k rýchlemu ukončeniu MSP a dospela k záveru, že prvé, druhé a šieste referenčné kritérium možno považovať za predbežne uzavreté. Poki</w:t>
      </w:r>
      <w:r>
        <w:rPr>
          <w:spacing w:val="-2"/>
        </w:rPr>
        <w:t>aľ ide zostávajúce tri referenčné kritériá, ktoré sa týkali pokračujúcej reformy súdnictva a boja proti korupcii, vyžadovalo sa ďalšie úsilie, aby sa zabezpečilo úplné vykonanie odporúčaní z januára 2017. Rada vzala závery Komisie na vedomie a povzbudila B</w:t>
      </w:r>
      <w:r>
        <w:rPr>
          <w:spacing w:val="-2"/>
        </w:rPr>
        <w:t>ulharsko k tomu, aby nadviazalo na tento pozitívny trend a aby rozhodným a nezvratným spôsobom upevnilo dosiahnutý pokrok</w:t>
      </w:r>
      <w:r>
        <w:rPr>
          <w:rStyle w:val="FootnoteReference"/>
          <w:spacing w:val="-2"/>
        </w:rPr>
        <w:footnoteReference w:id="7"/>
      </w:r>
      <w:r>
        <w:rPr>
          <w:spacing w:val="-2"/>
        </w:rPr>
        <w:t>.</w:t>
      </w:r>
    </w:p>
    <w:p w:rsidR="00452489" w:rsidRDefault="00966246">
      <w:pPr>
        <w:spacing w:before="120" w:after="120" w:line="240" w:lineRule="auto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 xml:space="preserve">V tejto správe Komisia hodnotí pokrok, ktorý Bulharsko dosiahlo v rámci MSO od novembra 2018. Podobne ako v predchádzajúcich rokoch </w:t>
      </w:r>
      <w:r>
        <w:rPr>
          <w:rFonts w:ascii="Times New Roman" w:hAnsi="Times New Roman"/>
          <w:noProof/>
          <w:spacing w:val="-2"/>
          <w:sz w:val="24"/>
          <w:szCs w:val="24"/>
        </w:rPr>
        <w:t>je toto hodnotenie výsledkom dôkladnej analýzy Komisie založenej na úzkej spolupráci s bulharskými orgánmi, ako aj na informáciách od občianskej spoločnosti a iných zainteresovaných strán a pozorovateľov. Zároveň sa v ňom prihliada na vývoj, ktorý od zriad</w:t>
      </w:r>
      <w:r>
        <w:rPr>
          <w:rFonts w:ascii="Times New Roman" w:hAnsi="Times New Roman"/>
          <w:noProof/>
          <w:spacing w:val="-2"/>
          <w:sz w:val="24"/>
          <w:szCs w:val="24"/>
        </w:rPr>
        <w:t>enia MSO nastal v politikách a judikatúre EÚ v tých oblastiach, ktoré sú relevantné z hľadiska MSO.</w:t>
      </w:r>
    </w:p>
    <w:p w:rsidR="00452489" w:rsidRDefault="00966246">
      <w:pPr>
        <w:keepNext/>
        <w:spacing w:before="360" w:after="240" w:line="240" w:lineRule="auto"/>
        <w:ind w:left="567" w:hanging="567"/>
        <w:jc w:val="both"/>
        <w:rPr>
          <w:rFonts w:ascii="Times New Roman" w:hAnsi="Times New Roman"/>
          <w:b/>
          <w:noProof/>
          <w:spacing w:val="-2"/>
          <w:sz w:val="24"/>
          <w:szCs w:val="24"/>
        </w:rPr>
      </w:pPr>
      <w:r>
        <w:rPr>
          <w:rFonts w:ascii="Times New Roman" w:hAnsi="Times New Roman"/>
          <w:b/>
          <w:noProof/>
          <w:spacing w:val="-2"/>
          <w:sz w:val="24"/>
          <w:szCs w:val="24"/>
        </w:rPr>
        <w:t xml:space="preserve">2. </w:t>
      </w:r>
      <w:r>
        <w:rPr>
          <w:rFonts w:ascii="Times New Roman" w:hAnsi="Times New Roman"/>
          <w:b/>
          <w:noProof/>
          <w:spacing w:val="-2"/>
          <w:sz w:val="24"/>
          <w:szCs w:val="24"/>
        </w:rPr>
        <w:tab/>
        <w:t>VŠEOBECNÁ SITUÁCIA</w:t>
      </w:r>
    </w:p>
    <w:p w:rsidR="00452489" w:rsidRDefault="00966246">
      <w:pPr>
        <w:spacing w:before="120" w:after="120" w:line="240" w:lineRule="auto"/>
        <w:jc w:val="both"/>
        <w:rPr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 xml:space="preserve">Z predchádzajúcich správ vyplýva, že kontextuálne faktory, ktoré síce nespadajú do oblasti pôsobnosti MSO, ale ktoré sú zo širšieho </w:t>
      </w:r>
      <w:r>
        <w:rPr>
          <w:rFonts w:ascii="Times New Roman" w:hAnsi="Times New Roman"/>
          <w:noProof/>
          <w:spacing w:val="-2"/>
          <w:sz w:val="24"/>
          <w:szCs w:val="24"/>
        </w:rPr>
        <w:t>hľadiska relevantné pre právny štát, môžu mať niekedy negatívny vplyv na pokrok reforiem. Medzi tieto faktory patrí celková politická nestabilita, nepredvídateľnosť legislatívneho procesu a mediálne prostredie, ktoré vzbudzuje vážne obavy. Obdobie od uvere</w:t>
      </w:r>
      <w:r>
        <w:rPr>
          <w:rFonts w:ascii="Times New Roman" w:hAnsi="Times New Roman"/>
          <w:noProof/>
          <w:spacing w:val="-2"/>
          <w:sz w:val="24"/>
          <w:szCs w:val="24"/>
        </w:rPr>
        <w:t>jnenia správy z novembra 2018 bolo v Bulharsku charakterizované relatívnou politickou stabilitou, i keď mimoriadnu polemiku vyvolali obvinenia vysokopostavených úradníkov a politikov z údajného nadobudnutia nehnuteľností za nižšiu cenu, ako bola ich trhová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hodnota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8"/>
      </w:r>
      <w:r>
        <w:rPr>
          <w:noProof/>
          <w:spacing w:val="-2"/>
          <w:sz w:val="24"/>
          <w:szCs w:val="24"/>
        </w:rPr>
        <w:t>.</w:t>
      </w:r>
    </w:p>
    <w:p w:rsidR="00452489" w:rsidRDefault="00966246">
      <w:pPr>
        <w:spacing w:before="120" w:after="120" w:line="240" w:lineRule="auto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 xml:space="preserve">V správe z novembra 2017 sa poukázalo aj na otázky týkajúce sa legislatívneho procesu, pričom sa ako príklad uviedlo prijatie zmien zákona o súdnom systéme z leta 2017, ktoré medzi zainteresovanými stranami vyvolalo obavy a viedlo k podaniam na </w:t>
      </w:r>
      <w:r>
        <w:rPr>
          <w:rFonts w:ascii="Times New Roman" w:hAnsi="Times New Roman"/>
          <w:noProof/>
          <w:spacing w:val="-2"/>
          <w:sz w:val="24"/>
          <w:szCs w:val="24"/>
        </w:rPr>
        <w:t>bulharský ústavný súd.</w:t>
      </w:r>
      <w:r>
        <w:rPr>
          <w:rStyle w:val="FootnoteReference"/>
          <w:noProof/>
          <w:spacing w:val="-2"/>
          <w:sz w:val="24"/>
          <w:szCs w:val="24"/>
        </w:rPr>
        <w:footnoteReference w:id="9"/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V tejto súvislosti sa zdôraznila potreba zachovať obozretnosť, pokiaľ ide o vplyv na nezávislosť súdnictva.</w:t>
      </w:r>
    </w:p>
    <w:p w:rsidR="00452489" w:rsidRDefault="00966246">
      <w:pPr>
        <w:spacing w:before="120" w:after="120" w:line="240" w:lineRule="auto"/>
        <w:jc w:val="both"/>
        <w:rPr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>Základným predpokladom demokratickej debaty je nezávislosť a pluralita médií, ktoré by mali byť schopné fungovať bez neprime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raného tlaku v podobe hospodárskych alebo politických </w:t>
      </w:r>
      <w:r>
        <w:rPr>
          <w:rFonts w:ascii="Times New Roman" w:hAnsi="Times New Roman"/>
          <w:noProof/>
          <w:spacing w:val="-2"/>
          <w:sz w:val="24"/>
          <w:szCs w:val="24"/>
        </w:rPr>
        <w:lastRenderedPageBreak/>
        <w:t>záujmov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10"/>
      </w:r>
      <w:r>
        <w:rPr>
          <w:rFonts w:ascii="Times New Roman" w:hAnsi="Times New Roman"/>
          <w:noProof/>
          <w:spacing w:val="-2"/>
          <w:sz w:val="24"/>
          <w:szCs w:val="24"/>
        </w:rPr>
        <w:t>. Hoci referenčné kritériá MSO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11"/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sa na mediálne prostredie nevzťahujú, jeho nedostatky aj naďalej vplývajú na systém súdnictva. Za obhajovanie zásady nezávislosti súdnictva nesie významnú zodpove</w:t>
      </w:r>
      <w:r>
        <w:rPr>
          <w:rFonts w:ascii="Times New Roman" w:hAnsi="Times New Roman"/>
          <w:noProof/>
          <w:spacing w:val="-2"/>
          <w:sz w:val="24"/>
          <w:szCs w:val="24"/>
        </w:rPr>
        <w:t>dnosť Najvyššia súdna rada, a to pri plnom rešpektovaní slobody prejavu a nenahraditeľnej úlohy, ktorú média zohrávajú pri vyvodzovaní zodpovednosti voči orgánom a informovaní verejnosti. Dôraznejšia politika, ktorá bola prijatá minulý rok, by mala prinies</w:t>
      </w:r>
      <w:r>
        <w:rPr>
          <w:rFonts w:ascii="Times New Roman" w:hAnsi="Times New Roman"/>
          <w:noProof/>
          <w:spacing w:val="-2"/>
          <w:sz w:val="24"/>
          <w:szCs w:val="24"/>
        </w:rPr>
        <w:t>ť viac opatrení na riešenie problému zavádzajúcich informácií v médiách alebo výrokov politikov, ktoré majú vplyv na reputáciu a dôveryhodnosť systému súdnictva ako celku. Ide o prípady cielenej kritiky sudcov kvôli obsahu ich rozhodnutí, ktoré by mohli sk</w:t>
      </w:r>
      <w:r>
        <w:rPr>
          <w:rFonts w:ascii="Times New Roman" w:hAnsi="Times New Roman"/>
          <w:noProof/>
          <w:spacing w:val="-2"/>
          <w:sz w:val="24"/>
          <w:szCs w:val="24"/>
        </w:rPr>
        <w:t>ompromitovať nezávislosť a nestrannosť súdneho konania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12"/>
      </w:r>
      <w:r>
        <w:rPr>
          <w:noProof/>
          <w:spacing w:val="-2"/>
          <w:sz w:val="24"/>
          <w:szCs w:val="24"/>
        </w:rPr>
        <w:t>.</w:t>
      </w:r>
    </w:p>
    <w:p w:rsidR="00452489" w:rsidRDefault="00966246">
      <w:pPr>
        <w:spacing w:before="120" w:after="120" w:line="240" w:lineRule="auto"/>
        <w:jc w:val="both"/>
        <w:rPr>
          <w:rFonts w:ascii="Times New Roman" w:hAnsi="Times New Roman"/>
          <w:i/>
          <w:noProof/>
          <w:spacing w:val="-2"/>
          <w:sz w:val="24"/>
          <w:szCs w:val="24"/>
        </w:rPr>
      </w:pPr>
      <w:r>
        <w:rPr>
          <w:rFonts w:ascii="Times New Roman" w:hAnsi="Times New Roman"/>
          <w:i/>
          <w:noProof/>
          <w:spacing w:val="-2"/>
          <w:sz w:val="24"/>
          <w:szCs w:val="24"/>
        </w:rPr>
        <w:t>Mechanizmy na podporu udržateľnosti právneho štátu</w:t>
      </w:r>
    </w:p>
    <w:p w:rsidR="00452489" w:rsidRDefault="00966246">
      <w:pPr>
        <w:spacing w:before="120" w:after="120" w:line="240" w:lineRule="auto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>Ďalším dôležitým aspektom východiskového prostredia je rozvoj širšej infraštruktúry právneho štátu tak na úrovni EÚ, ako aj na vnútroštátnej úrovni.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Jej rozvoj prináša nové nástroje, ktoré budú impulzom na upevnenie právneho štátu – vrátane otázok, ktoré pokrýva MSO. Na úrovni EÚ sa vnútroštátne súdne systémy už niekoľko rokov posudzujú v rámci porovnávacieho prehľadu EÚ v oblasti justície</w:t>
      </w:r>
      <w:r>
        <w:rPr>
          <w:rFonts w:ascii="Times New Roman" w:hAnsi="Times New Roman"/>
          <w:noProof/>
          <w:spacing w:val="-2"/>
          <w:sz w:val="24"/>
          <w:szCs w:val="24"/>
          <w:vertAlign w:val="superscript"/>
        </w:rPr>
        <w:footnoteReference w:id="13"/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a spolu s </w:t>
      </w:r>
      <w:r>
        <w:rPr>
          <w:rFonts w:ascii="Times New Roman" w:hAnsi="Times New Roman"/>
          <w:noProof/>
          <w:spacing w:val="-2"/>
          <w:sz w:val="24"/>
          <w:szCs w:val="24"/>
        </w:rPr>
        <w:t>protikorupčnými rámcami sa preskúmavajú aj v rámci európskeho semestra pre koordináciu hospodárskych politík a štrukturálnych reforiem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14"/>
      </w:r>
      <w:r>
        <w:rPr>
          <w:noProof/>
          <w:spacing w:val="-2"/>
          <w:sz w:val="24"/>
          <w:szCs w:val="24"/>
        </w:rPr>
        <w:t>.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Ďalší rozvoj sa bude opierať o oznámenie Komisie z júla 2019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15"/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, v ktorom sú stanovené konkrétne opatrenia na posilnenie </w:t>
      </w:r>
      <w:r>
        <w:rPr>
          <w:rFonts w:ascii="Times New Roman" w:hAnsi="Times New Roman"/>
          <w:noProof/>
          <w:spacing w:val="-2"/>
          <w:sz w:val="24"/>
          <w:szCs w:val="24"/>
        </w:rPr>
        <w:t>schopnosti Únie podporovať a presadzovať zásady právneho štátu, a to prostredníctvom presadzovania spoločnej kultúry právneho štátu, vytvorenia cyklu preskúmania právneho štátu, ktorého cieľom bude monitorovať vývoj v členských štátoch, ako aj prostredníct</w:t>
      </w:r>
      <w:r>
        <w:rPr>
          <w:rFonts w:ascii="Times New Roman" w:hAnsi="Times New Roman"/>
          <w:noProof/>
          <w:spacing w:val="-2"/>
          <w:sz w:val="24"/>
          <w:szCs w:val="24"/>
        </w:rPr>
        <w:t>vom účinnej reakcie. Zárukou kontinuity v tomto ohľade sú politické usmernenia pre budúcu Komisiu, v ktorých bol predstavený zámer zaviesť komplexný mechanizmus právneho štátu s celoúnijnou pôsobnosťou, ktorého súčasťou bude aj predkladanie objektívnych sp</w:t>
      </w:r>
      <w:r>
        <w:rPr>
          <w:rFonts w:ascii="Times New Roman" w:hAnsi="Times New Roman"/>
          <w:noProof/>
          <w:spacing w:val="-2"/>
          <w:sz w:val="24"/>
          <w:szCs w:val="24"/>
        </w:rPr>
        <w:t>ráv o všetkých členských štátoch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16"/>
      </w:r>
      <w:r>
        <w:rPr>
          <w:rFonts w:ascii="Times New Roman" w:hAnsi="Times New Roman"/>
          <w:noProof/>
          <w:spacing w:val="-2"/>
          <w:sz w:val="24"/>
          <w:szCs w:val="24"/>
        </w:rPr>
        <w:t>. Nad rámec referenčných kritérií MSO sa účinná právna ochrana nezávislými súdmi vyžaduje na základe článku 19 ods. 1 ZEÚ ako konkrétne vyjadrenie hodnoty právneho štátu, čo potvrdzuje aj nedávna judikatúra Súdneho dvora. E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xistencia týchto horizontálnych procesov monitorovania právneho štátu vrátane protikorupčných rámcov vo všetkých členských štátoch, a perspektíva ich ďalšieho vývoja, </w:t>
      </w:r>
      <w:r>
        <w:rPr>
          <w:rFonts w:ascii="Times New Roman" w:hAnsi="Times New Roman"/>
          <w:noProof/>
          <w:spacing w:val="-2"/>
          <w:sz w:val="24"/>
          <w:szCs w:val="24"/>
        </w:rPr>
        <w:lastRenderedPageBreak/>
        <w:t>podčiarkujú osobitný charakter MSO ako monitorovacieho procesu, ktorý je obmedzený tak z </w:t>
      </w:r>
      <w:r>
        <w:rPr>
          <w:rFonts w:ascii="Times New Roman" w:hAnsi="Times New Roman"/>
          <w:noProof/>
          <w:spacing w:val="-2"/>
          <w:sz w:val="24"/>
          <w:szCs w:val="24"/>
        </w:rPr>
        <w:t>hľadiska dotknutých členských štátov, ako aj z hľadiska otázok, ktoré pokrýva.</w:t>
      </w:r>
    </w:p>
    <w:p w:rsidR="00452489" w:rsidRDefault="00966246">
      <w:pPr>
        <w:spacing w:before="120" w:after="120" w:line="240" w:lineRule="auto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>Rozvoj reformných mechanizmov na vnútroštátnej úrovni bol takisto ústredným prvkom odporúčaní z januára 2017. Tie poukázali na dôležitosť rozvoja mechanizmov, ktoré by zabezpeči</w:t>
      </w:r>
      <w:r>
        <w:rPr>
          <w:rFonts w:ascii="Times New Roman" w:hAnsi="Times New Roman"/>
          <w:noProof/>
          <w:spacing w:val="-2"/>
          <w:sz w:val="24"/>
          <w:szCs w:val="24"/>
        </w:rPr>
        <w:t>li internalizáciu monitorovania na vnútroštátnej úrovni, a teda jeho začlenenie do domácich procesov, do ktorých sú zapojené nielen orgány, ale aj občianska spoločnosť. V súlade s týmto prístupom sa v správe z novembra 2018 zdôraznilo, že Bulharsko musí aj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naďalej dosahovať konkrétne výsledky tak v rámci MSO, ako aj v budúcnosti, a že ďalšie monitorovanie bulharskými orgánmi je dôležitou súčasťou tohto úsilia, a to aj po ukončení MSO. V správe sa predovšetkým zdôraznilo, že transparentné predkladanie správ </w:t>
      </w:r>
      <w:r>
        <w:rPr>
          <w:rFonts w:ascii="Times New Roman" w:hAnsi="Times New Roman"/>
          <w:noProof/>
          <w:spacing w:val="-2"/>
          <w:sz w:val="24"/>
          <w:szCs w:val="24"/>
        </w:rPr>
        <w:t>a verejná kontrola zohrávajú dôležitú úlohu pri domácom monitorovaní, ktoré by malo byť zárukou pokračovania pokroku a reforiem.</w:t>
      </w:r>
    </w:p>
    <w:p w:rsidR="00452489" w:rsidRDefault="00966246">
      <w:pPr>
        <w:spacing w:before="120" w:after="120" w:line="240" w:lineRule="auto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>Bulharsko už do praxe zaviedlo dôležité prvky takéhoto domáceho monitorovania, ako aj procesu konzultácií so zainteresovanými s</w:t>
      </w:r>
      <w:r>
        <w:rPr>
          <w:rFonts w:ascii="Times New Roman" w:hAnsi="Times New Roman"/>
          <w:noProof/>
          <w:spacing w:val="-2"/>
          <w:sz w:val="24"/>
          <w:szCs w:val="24"/>
        </w:rPr>
        <w:t>tranami, vrátane osobitných poradných rád pre oblasť reformy súdnictva a boja proti korupcii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17"/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. Okrem toho bulharská vláda nedávno rozhodla, že zriadi dodatočný, komplexnejší mechanizmus domáceho následného monitorovania v rámci Rady pre spoluprácu </w:t>
      </w:r>
      <w:r>
        <w:rPr>
          <w:rFonts w:ascii="Times New Roman" w:hAnsi="Times New Roman"/>
          <w:noProof/>
          <w:spacing w:val="-2"/>
          <w:sz w:val="24"/>
          <w:szCs w:val="24"/>
        </w:rPr>
        <w:t>a koordináciu („rada pre následné monitorovanie“)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18"/>
      </w:r>
      <w:r>
        <w:rPr>
          <w:rFonts w:ascii="Times New Roman" w:hAnsi="Times New Roman"/>
          <w:noProof/>
          <w:spacing w:val="-2"/>
          <w:sz w:val="24"/>
          <w:szCs w:val="24"/>
        </w:rPr>
        <w:t>. Nová rada pre následné monitorovanie začne vykonávať svoju činnosť po ukončení MSO, pričom bude zasadať minimálne raz za tri mesiace.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19"/>
      </w:r>
      <w:r>
        <w:rPr>
          <w:noProof/>
          <w:spacing w:val="-2"/>
          <w:sz w:val="24"/>
          <w:szCs w:val="24"/>
        </w:rPr>
        <w:t>.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Rada by mala dvoch predsedov, a to podpredsedu vlády zodpovedného za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reformu súdnictva a zástupcu Najvyššej súdnej rady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20"/>
      </w:r>
      <w:r>
        <w:rPr>
          <w:rFonts w:ascii="Times New Roman" w:hAnsi="Times New Roman"/>
          <w:noProof/>
          <w:spacing w:val="-2"/>
          <w:sz w:val="24"/>
          <w:szCs w:val="24"/>
        </w:rPr>
        <w:t>. Bude zodpovedať za dohľad nad prebiehajúcim procesom reforiem, pričom po každom zasadnutí bude vydávať verejnú správu a vláde a Najvyššej súdnej rade bude predkladať výročnú správu. Rada bude získavať i</w:t>
      </w:r>
      <w:r>
        <w:rPr>
          <w:rFonts w:ascii="Times New Roman" w:hAnsi="Times New Roman"/>
          <w:noProof/>
          <w:spacing w:val="-2"/>
          <w:sz w:val="24"/>
          <w:szCs w:val="24"/>
        </w:rPr>
        <w:t>nformácie od širokého spektra príslušných inštitúcií a jej súčasťou bude aj občianska rada zložená zo zástupcov občianskej spoločnosti a profesijných združení v oblasti súdnictva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21"/>
      </w:r>
      <w:r>
        <w:rPr>
          <w:rFonts w:ascii="Times New Roman" w:hAnsi="Times New Roman"/>
          <w:noProof/>
          <w:spacing w:val="-2"/>
          <w:sz w:val="24"/>
          <w:szCs w:val="24"/>
        </w:rPr>
        <w:t>.</w:t>
      </w:r>
    </w:p>
    <w:p w:rsidR="00452489" w:rsidRDefault="00966246">
      <w:pPr>
        <w:spacing w:before="120" w:after="120" w:line="240" w:lineRule="auto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>Táto rada pre následné monitorovanie by mala monitorovať a koordinovať poli</w:t>
      </w:r>
      <w:r>
        <w:rPr>
          <w:rFonts w:ascii="Times New Roman" w:hAnsi="Times New Roman"/>
          <w:noProof/>
          <w:spacing w:val="-2"/>
          <w:sz w:val="24"/>
          <w:szCs w:val="24"/>
        </w:rPr>
        <w:t>tiky v oblasti reformy súdnictva a boja proti korupcii a organizovanej trestnej činnosti. Ako taká by mala orgánom a zainteresovaným stranám poskytnúť dôležitý zastrešujúci rámec pre transparentné hodnotenie pokroku a zameranie sa na zostávajúce výzvy. Zár</w:t>
      </w:r>
      <w:r>
        <w:rPr>
          <w:rFonts w:ascii="Times New Roman" w:hAnsi="Times New Roman"/>
          <w:noProof/>
          <w:spacing w:val="-2"/>
          <w:sz w:val="24"/>
          <w:szCs w:val="24"/>
        </w:rPr>
        <w:t>oveň by mohla prispieť k tomu, aby bola voči príslušným orgánom vyvodzovaná zodpovednosť tam, kde je to potrebné a vhodné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22"/>
      </w:r>
      <w:r>
        <w:rPr>
          <w:rFonts w:ascii="Times New Roman" w:hAnsi="Times New Roman"/>
          <w:noProof/>
          <w:spacing w:val="-2"/>
          <w:sz w:val="24"/>
          <w:szCs w:val="24"/>
        </w:rPr>
        <w:t>. Bulharské orgány sa na úrovni predsedu vlády zaviazali k tomu, že udelia rade osobitnú úlohu, aby mohla byť účinným nástrojom na mon</w:t>
      </w:r>
      <w:r>
        <w:rPr>
          <w:rFonts w:ascii="Times New Roman" w:hAnsi="Times New Roman"/>
          <w:noProof/>
          <w:spacing w:val="-2"/>
          <w:sz w:val="24"/>
          <w:szCs w:val="24"/>
        </w:rPr>
        <w:t>itorovanie vykonávania reforiem a dosahovanie výsledkov v boji proti korupcii a organizovanej trestnej činnosti, ako aj pri koordinácií budúcich politík.</w:t>
      </w:r>
    </w:p>
    <w:p w:rsidR="00452489" w:rsidRDefault="00966246">
      <w:pPr>
        <w:spacing w:before="120" w:after="120" w:line="240" w:lineRule="auto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>Komisia víta, že bulharské orgány sa zaviazali udržať tempo reforiem pri zabezpečení plnej transparent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nosti a zapojenia občianskej spoločnosti aj po ukončení MSO. Rada pre následné </w:t>
      </w:r>
      <w:r>
        <w:rPr>
          <w:rFonts w:ascii="Times New Roman" w:hAnsi="Times New Roman"/>
          <w:noProof/>
          <w:spacing w:val="-2"/>
          <w:sz w:val="24"/>
          <w:szCs w:val="24"/>
        </w:rPr>
        <w:lastRenderedPageBreak/>
        <w:t>monitorovanie by mala byť dôležitým partnerom, ktorý bude schopný prispieť do rozvíjajúceho sa dialógu o právnom štáte na úrovni EÚ a budúcom komplexnom mechanizme právneho štát</w:t>
      </w:r>
      <w:r>
        <w:rPr>
          <w:rFonts w:ascii="Times New Roman" w:hAnsi="Times New Roman"/>
          <w:noProof/>
          <w:spacing w:val="-2"/>
          <w:sz w:val="24"/>
          <w:szCs w:val="24"/>
        </w:rPr>
        <w:t>u.</w:t>
      </w:r>
    </w:p>
    <w:p w:rsidR="00452489" w:rsidRDefault="00966246">
      <w:pPr>
        <w:keepNext/>
        <w:spacing w:before="360" w:after="240" w:line="240" w:lineRule="auto"/>
        <w:ind w:left="567" w:hanging="567"/>
        <w:jc w:val="both"/>
        <w:rPr>
          <w:rFonts w:ascii="Times New Roman" w:hAnsi="Times New Roman"/>
          <w:b/>
          <w:noProof/>
          <w:spacing w:val="-2"/>
          <w:sz w:val="24"/>
          <w:szCs w:val="24"/>
        </w:rPr>
      </w:pPr>
      <w:r>
        <w:rPr>
          <w:rFonts w:ascii="Times New Roman" w:hAnsi="Times New Roman"/>
          <w:b/>
          <w:noProof/>
          <w:spacing w:val="-2"/>
          <w:sz w:val="24"/>
          <w:szCs w:val="24"/>
        </w:rPr>
        <w:t>3.</w:t>
      </w:r>
      <w:r>
        <w:rPr>
          <w:rFonts w:ascii="Times New Roman" w:hAnsi="Times New Roman"/>
          <w:b/>
          <w:noProof/>
          <w:spacing w:val="-2"/>
          <w:sz w:val="24"/>
          <w:szCs w:val="24"/>
        </w:rPr>
        <w:tab/>
        <w:t>HODNOTENIE POKROKU PRI PLNENÍ REFERENČNÝCH KRITÉRIÍ MSO NA ZÁKLADE ODPORÚČANÍ UVEDENÝCH V SPRÁVE O MSO Z JANUÁRA 2017</w:t>
      </w:r>
    </w:p>
    <w:p w:rsidR="00452489" w:rsidRDefault="00966246">
      <w:pPr>
        <w:keepNext/>
        <w:spacing w:before="120" w:after="120" w:line="240" w:lineRule="auto"/>
        <w:jc w:val="both"/>
        <w:rPr>
          <w:rFonts w:ascii="Times New Roman" w:hAnsi="Times New Roman"/>
          <w:b/>
          <w:noProof/>
          <w:spacing w:val="-2"/>
          <w:sz w:val="24"/>
          <w:szCs w:val="24"/>
        </w:rPr>
      </w:pPr>
      <w:r>
        <w:rPr>
          <w:rFonts w:ascii="Times New Roman" w:hAnsi="Times New Roman"/>
          <w:b/>
          <w:noProof/>
          <w:spacing w:val="-2"/>
          <w:sz w:val="24"/>
          <w:szCs w:val="24"/>
        </w:rPr>
        <w:t xml:space="preserve">3.1 </w:t>
      </w:r>
      <w:r>
        <w:rPr>
          <w:rFonts w:ascii="Times New Roman" w:hAnsi="Times New Roman"/>
          <w:b/>
          <w:noProof/>
          <w:spacing w:val="-2"/>
          <w:sz w:val="24"/>
          <w:szCs w:val="24"/>
        </w:rPr>
        <w:tab/>
        <w:t>Referenčné kritériá, ktoré boli v správe z novembra 2018 predbežne uzavreté (prvé, druhé a šieste)</w:t>
      </w:r>
    </w:p>
    <w:p w:rsidR="00452489" w:rsidRDefault="009662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b/>
          <w:noProof/>
          <w:spacing w:val="-2"/>
          <w:sz w:val="24"/>
          <w:szCs w:val="24"/>
        </w:rPr>
      </w:pPr>
      <w:r>
        <w:rPr>
          <w:rFonts w:ascii="Times New Roman" w:hAnsi="Times New Roman"/>
          <w:b/>
          <w:noProof/>
          <w:spacing w:val="-2"/>
          <w:sz w:val="24"/>
          <w:szCs w:val="24"/>
        </w:rPr>
        <w:t>Prvé referenčné kritérium: N</w:t>
      </w:r>
      <w:r>
        <w:rPr>
          <w:rFonts w:ascii="Times New Roman" w:hAnsi="Times New Roman"/>
          <w:b/>
          <w:noProof/>
          <w:spacing w:val="-2"/>
          <w:sz w:val="24"/>
          <w:szCs w:val="24"/>
        </w:rPr>
        <w:t>ezávislosť súdov</w:t>
      </w:r>
    </w:p>
    <w:p w:rsidR="00452489" w:rsidRDefault="009662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i/>
          <w:noProof/>
          <w:spacing w:val="-2"/>
          <w:sz w:val="24"/>
          <w:szCs w:val="24"/>
        </w:rPr>
      </w:pPr>
      <w:r>
        <w:rPr>
          <w:rFonts w:ascii="Times New Roman" w:hAnsi="Times New Roman"/>
          <w:b/>
          <w:i/>
          <w:noProof/>
          <w:spacing w:val="-2"/>
          <w:sz w:val="24"/>
          <w:szCs w:val="24"/>
        </w:rPr>
        <w:t xml:space="preserve">Odporúčanie č. 1: 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>Zabezpečiť transparentné voľby do budúcej Najvyššej súdnej rady a zároveň zaistiť verejné vypočutie v Národnom zhromaždení pred voľbou členov volených parlamentom, ako aj poskytnúť občianskej spoločnosti možnosť predklada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>ť pripomienky týkajúce sa kandidátov.</w:t>
      </w:r>
    </w:p>
    <w:p w:rsidR="00452489" w:rsidRDefault="009662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i/>
          <w:noProof/>
          <w:spacing w:val="-2"/>
          <w:sz w:val="24"/>
          <w:szCs w:val="24"/>
        </w:rPr>
      </w:pPr>
      <w:r>
        <w:rPr>
          <w:rFonts w:ascii="Times New Roman" w:hAnsi="Times New Roman"/>
          <w:b/>
          <w:i/>
          <w:noProof/>
          <w:spacing w:val="-2"/>
          <w:sz w:val="24"/>
          <w:szCs w:val="24"/>
        </w:rPr>
        <w:t>Odporúčanie č. 2: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 xml:space="preserve"> Preukázať konzistentné výsledky súvisiace s menovaniami do vysokých súdnych funkcií, ktoré sú založené na zásluhách a transparentnosti, a to vrátane nadchádzajúceho menovania nového predsedu Najvyššie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>ho správneho súdu.</w:t>
      </w:r>
    </w:p>
    <w:p w:rsidR="00452489" w:rsidRDefault="009662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i/>
          <w:noProof/>
          <w:spacing w:val="-2"/>
          <w:sz w:val="24"/>
          <w:szCs w:val="24"/>
        </w:rPr>
      </w:pPr>
      <w:r>
        <w:rPr>
          <w:rFonts w:ascii="Times New Roman" w:hAnsi="Times New Roman"/>
          <w:b/>
          <w:i/>
          <w:noProof/>
          <w:spacing w:val="-2"/>
          <w:sz w:val="24"/>
          <w:szCs w:val="24"/>
        </w:rPr>
        <w:t>Odporúčanie č. 3: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 xml:space="preserve"> Zlepšiť praktické fungovanie súdnej inšpekcie a následné opatrenia Najvyššej súdnej rady v nadväznosti na zistenia inšpekcie, najmä pokiaľ ide o otázky bezúhonnosti, zvážiť žiadosť o vonkajšiu pomoc, ako je napríklad sl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>užba Komisie na podporu štrukturálnych reforiem a/alebo Rada Európy.</w:t>
      </w:r>
    </w:p>
    <w:p w:rsidR="00452489" w:rsidRDefault="009662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 Italic" w:hAnsi="Times New Roman Italic"/>
          <w:b/>
          <w:noProof/>
          <w:spacing w:val="-2"/>
          <w:sz w:val="24"/>
          <w:szCs w:val="24"/>
        </w:rPr>
      </w:pPr>
      <w:r>
        <w:rPr>
          <w:rFonts w:ascii="Times New Roman" w:hAnsi="Times New Roman"/>
          <w:b/>
          <w:noProof/>
          <w:spacing w:val="-2"/>
          <w:sz w:val="24"/>
          <w:szCs w:val="24"/>
        </w:rPr>
        <w:t>Druhé referenčné kritérium: Právny rámec</w:t>
      </w:r>
    </w:p>
    <w:p w:rsidR="00452489" w:rsidRDefault="009662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 Italic" w:hAnsi="Times New Roman Italic"/>
          <w:i/>
          <w:noProof/>
          <w:spacing w:val="-2"/>
          <w:sz w:val="24"/>
          <w:szCs w:val="24"/>
        </w:rPr>
      </w:pPr>
      <w:r>
        <w:rPr>
          <w:rFonts w:ascii="Times New Roman Italic" w:hAnsi="Times New Roman Italic"/>
          <w:b/>
          <w:i/>
          <w:noProof/>
          <w:spacing w:val="-2"/>
          <w:sz w:val="24"/>
          <w:szCs w:val="24"/>
        </w:rPr>
        <w:t>Odporúčanie č. 4:</w:t>
      </w:r>
      <w:r>
        <w:rPr>
          <w:rFonts w:ascii="Times New Roman Italic" w:hAnsi="Times New Roman Italic"/>
          <w:i/>
          <w:noProof/>
          <w:spacing w:val="-2"/>
          <w:sz w:val="24"/>
          <w:szCs w:val="24"/>
        </w:rPr>
        <w:t xml:space="preserve"> Prijať zmeny trestného poriadku a trestného zákona s cieľom zlepšiť právny rámec na stíhanie korupcie na vysokých miestach a závažnej organizovanej trestnej činnosti.</w:t>
      </w:r>
    </w:p>
    <w:p w:rsidR="00452489" w:rsidRDefault="009662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b/>
          <w:noProof/>
          <w:spacing w:val="-2"/>
          <w:sz w:val="24"/>
          <w:szCs w:val="24"/>
        </w:rPr>
      </w:pPr>
      <w:r>
        <w:rPr>
          <w:rFonts w:ascii="Times New Roman" w:hAnsi="Times New Roman"/>
          <w:b/>
          <w:noProof/>
          <w:spacing w:val="-2"/>
          <w:sz w:val="24"/>
          <w:szCs w:val="24"/>
        </w:rPr>
        <w:t>Šieste referenčné kritérium: Organizovaná trestná činnosť</w:t>
      </w:r>
    </w:p>
    <w:p w:rsidR="00452489" w:rsidRDefault="009662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i/>
          <w:noProof/>
          <w:spacing w:val="-2"/>
          <w:sz w:val="24"/>
          <w:szCs w:val="24"/>
        </w:rPr>
      </w:pPr>
      <w:r>
        <w:rPr>
          <w:rFonts w:ascii="Times New Roman" w:hAnsi="Times New Roman"/>
          <w:b/>
          <w:i/>
          <w:noProof/>
          <w:spacing w:val="-2"/>
          <w:sz w:val="24"/>
          <w:szCs w:val="24"/>
        </w:rPr>
        <w:t>Odporúčanie č. 16: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 xml:space="preserve"> Vytvoriť mechanizmus pre verejné predkladanie správ o pokroku dosiahnutom v prípadoch organizovanej trestnej činnosti na vysokej úrovni vo verejnom sektore. Predkladanie správ zo strany generálnej prokuratúry o vyšetrovaní a obžalobe, a to pri rešpektovan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>í zásady prezumpcie neviny. Predkladanie správ zo strany Najvyššieho kasačného súdu a ministerstva spravodlivosti o odsúdeniach, ako aj o vykonávaní rozsudkov.</w:t>
      </w:r>
    </w:p>
    <w:p w:rsidR="00452489" w:rsidRDefault="009662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b/>
          <w:noProof/>
          <w:spacing w:val="-2"/>
          <w:sz w:val="24"/>
          <w:szCs w:val="24"/>
        </w:rPr>
      </w:pPr>
      <w:r>
        <w:rPr>
          <w:rFonts w:ascii="Times New Roman" w:hAnsi="Times New Roman"/>
          <w:b/>
          <w:i/>
          <w:noProof/>
          <w:spacing w:val="-2"/>
          <w:sz w:val="24"/>
          <w:szCs w:val="24"/>
        </w:rPr>
        <w:t xml:space="preserve">Odporúčanie č. 17: 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 xml:space="preserve">Prijať potrebné zmeny zákona o konfiškácii majetku pochádzajúceho z trestnej 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>činnosti a zabezpečiť, aby komisia pre konfiškáciu nelegálneho majetku naďalej fungovala nezávisle a efektívne.</w:t>
      </w:r>
    </w:p>
    <w:p w:rsidR="00452489" w:rsidRDefault="00966246">
      <w:pPr>
        <w:spacing w:before="240" w:after="120" w:line="240" w:lineRule="auto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>Tento oddiel sa zameriava na tri referenčné kritériá, ktoré boli v novembri 2018 predbežne uzavreté. Týkajú sa reformy ústavného a legislatívneh</w:t>
      </w:r>
      <w:r>
        <w:rPr>
          <w:rFonts w:ascii="Times New Roman" w:hAnsi="Times New Roman"/>
          <w:noProof/>
          <w:spacing w:val="-2"/>
          <w:sz w:val="24"/>
          <w:szCs w:val="24"/>
        </w:rPr>
        <w:t>o rámca a boja proti organizovanej trestnej činnosti a ich cieľom je odstrániť nedostatky, ktoré boli pre Bulharsko príznačné v čase jeho pristúpenia k Európskej únii. Ich predbežné uzavretie znamenalo, že Komisia považovala vykonané štrukturálne a legisla</w:t>
      </w:r>
      <w:r>
        <w:rPr>
          <w:rFonts w:ascii="Times New Roman" w:hAnsi="Times New Roman"/>
          <w:noProof/>
          <w:spacing w:val="-2"/>
          <w:sz w:val="24"/>
          <w:szCs w:val="24"/>
        </w:rPr>
        <w:t>tívne zmeny za dostatočné nato, aby boli uspokojivo splnené požiadavky MSO, hoci monitorovanie ich vykonávania pokračovalo.</w:t>
      </w:r>
    </w:p>
    <w:p w:rsidR="00452489" w:rsidRDefault="00966246">
      <w:pPr>
        <w:spacing w:before="240" w:after="120" w:line="240" w:lineRule="auto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>V predchádzajúcich správach sa uvádzal pokrok, ktorý Bulharsko od pristúpenia dosiahlo pri zmene svojho ústavného a legislatívneho r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ámca, a to v snahe posilniť záruky nezávislosti súdnictva, ako aj transparentnosť a účinnosť súdnych konaní. K nedávnym zlepšeniam patria zmeny ústavy z roku 2015, ktoré so sebou priniesli reformu Najvyššej súdnej rady a posilnenie súdnej inšpekcie. Tieto 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zmeny sú v praxi zavedené už niekoľko rokov a ich výsledkom sú </w:t>
      </w:r>
      <w:r>
        <w:rPr>
          <w:rFonts w:ascii="Times New Roman" w:hAnsi="Times New Roman"/>
          <w:noProof/>
          <w:spacing w:val="-2"/>
          <w:sz w:val="24"/>
          <w:szCs w:val="24"/>
        </w:rPr>
        <w:lastRenderedPageBreak/>
        <w:t>transparentnejšie a zodpovednejšie procesy v oblasti menovania sudcov a v oblasti bezúhonnosti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23"/>
      </w:r>
      <w:r>
        <w:rPr>
          <w:rFonts w:ascii="Times New Roman" w:hAnsi="Times New Roman"/>
          <w:noProof/>
          <w:spacing w:val="-2"/>
          <w:sz w:val="24"/>
          <w:szCs w:val="24"/>
        </w:rPr>
        <w:t>.</w:t>
      </w:r>
      <w:r>
        <w:rPr>
          <w:noProof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noProof/>
          <w:spacing w:val="-2"/>
          <w:sz w:val="24"/>
          <w:szCs w:val="24"/>
        </w:rPr>
        <w:t>Z tohto dôvodu sa v správe z novembra 2018 dospelo k záveru, že tie dva referenčné kritériá, kto</w:t>
      </w:r>
      <w:r>
        <w:rPr>
          <w:rFonts w:ascii="Times New Roman" w:hAnsi="Times New Roman"/>
          <w:noProof/>
          <w:spacing w:val="-2"/>
          <w:sz w:val="24"/>
          <w:szCs w:val="24"/>
        </w:rPr>
        <w:t>ré sa týkajú ústavného a právneho rámca, sa môžu predbežne uzavrieť. Menovanie sudcov a fungovanie súdnej inšpekcie boli označené za oblasti, v ktorých bude monitorovanie prebiehať i naďalej, a určité aspekty právneho prostredia tiež zostali otvorené na ďa</w:t>
      </w:r>
      <w:r>
        <w:rPr>
          <w:rFonts w:ascii="Times New Roman" w:hAnsi="Times New Roman"/>
          <w:noProof/>
          <w:spacing w:val="-2"/>
          <w:sz w:val="24"/>
          <w:szCs w:val="24"/>
        </w:rPr>
        <w:t>lšie posúdenie v rámci iných referenčných kritérií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24"/>
      </w:r>
      <w:r>
        <w:rPr>
          <w:rFonts w:ascii="Times New Roman" w:hAnsi="Times New Roman"/>
          <w:noProof/>
          <w:spacing w:val="-2"/>
          <w:sz w:val="24"/>
          <w:szCs w:val="24"/>
        </w:rPr>
        <w:t>.</w:t>
      </w:r>
    </w:p>
    <w:p w:rsidR="00452489" w:rsidRDefault="00966246">
      <w:pPr>
        <w:spacing w:before="240" w:after="120" w:line="240" w:lineRule="auto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>Od novembra 2018 pokračovala Najvyššia súdna rada v plnení svojich povinností týkajúcich sa menovania sudcov. V niektorých prípadoch došlo k omeškaniu, pretože Najvyššia súdna rada nebola schopná nájsť k</w:t>
      </w:r>
      <w:r>
        <w:rPr>
          <w:rFonts w:ascii="Times New Roman" w:hAnsi="Times New Roman"/>
          <w:noProof/>
          <w:spacing w:val="-2"/>
          <w:sz w:val="24"/>
          <w:szCs w:val="24"/>
        </w:rPr>
        <w:t>onsenzus, ako tomu bolo napríklad aj pri menovaní do kľúčových funkcií v rámci prokuratúry. Je naďalej mimoriadne dôležité, aby k takýmto menovaniam dochádzalo transparentným spôsobom a na základe zásluhovosti a aby sa kvalifikovaní potenciálni kandidáti m</w:t>
      </w:r>
      <w:r>
        <w:rPr>
          <w:rFonts w:ascii="Times New Roman" w:hAnsi="Times New Roman"/>
          <w:noProof/>
          <w:spacing w:val="-2"/>
          <w:sz w:val="24"/>
          <w:szCs w:val="24"/>
        </w:rPr>
        <w:t>ohli o funkciu uchádzať s istotou, že všetci budú posudzovaní výlučne na základe zásluh.</w:t>
      </w:r>
    </w:p>
    <w:p w:rsidR="00452489" w:rsidRDefault="00966246">
      <w:pPr>
        <w:spacing w:before="240" w:after="120" w:line="240" w:lineRule="auto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>Dôležitým nadchádzajúcim menovaním je menovanie nového generálneho prokurátora, keďže funkčné obdobie súčasného generálneho prokurátora sa končí v januári 2020. Najvyš</w:t>
      </w:r>
      <w:r>
        <w:rPr>
          <w:rFonts w:ascii="Times New Roman" w:hAnsi="Times New Roman"/>
          <w:noProof/>
          <w:spacing w:val="-2"/>
          <w:sz w:val="24"/>
          <w:szCs w:val="24"/>
        </w:rPr>
        <w:t>šia súdna rada začala výberový proces v júni a očakáva sa, že 24. októbra 2019 predloží nomináciu nástupcu, ktorý bude musieť byť následne potvrdený prezidentom republiky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25"/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. V júli 2019 bol jediný kandidát jednomyseľne podporený členmi komory prokurátorov </w:t>
      </w:r>
      <w:r>
        <w:rPr>
          <w:rFonts w:ascii="Times New Roman" w:hAnsi="Times New Roman"/>
          <w:noProof/>
          <w:spacing w:val="-2"/>
          <w:sz w:val="24"/>
          <w:szCs w:val="24"/>
        </w:rPr>
        <w:t>Najvyššej súdnej rady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26"/>
      </w:r>
      <w:r>
        <w:rPr>
          <w:noProof/>
          <w:spacing w:val="-2"/>
          <w:sz w:val="24"/>
          <w:szCs w:val="24"/>
        </w:rPr>
        <w:t>.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Kandidát písomne predložil svoje priority na sedemročné funkčné obdobie. Súčasťou tohto procesu je aj vypočutie kandidáta pred jeho nomináciou, v rámci ktorého môžu zástupcovia občianskej spoločnosti a iné zainteresované strany klás</w:t>
      </w:r>
      <w:r>
        <w:rPr>
          <w:rFonts w:ascii="Times New Roman" w:hAnsi="Times New Roman"/>
          <w:noProof/>
          <w:spacing w:val="-2"/>
          <w:sz w:val="24"/>
          <w:szCs w:val="24"/>
        </w:rPr>
        <w:t>ť otázky a vyjadriť svoje obavy. V posledných týždňoch prebiehala v médiách rozsiahla diskusia s niektorými zo zainteresovaných strán, ktoré v súvislosti s procesom menovania, ako aj samotným kandidátom vyjadrili isté znepokojenie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27"/>
      </w:r>
      <w:r>
        <w:rPr>
          <w:rFonts w:ascii="Times New Roman" w:hAnsi="Times New Roman"/>
          <w:noProof/>
          <w:spacing w:val="-2"/>
          <w:sz w:val="24"/>
          <w:szCs w:val="24"/>
        </w:rPr>
        <w:t>. Bude povinnosťou Najvyš</w:t>
      </w:r>
      <w:r>
        <w:rPr>
          <w:rFonts w:ascii="Times New Roman" w:hAnsi="Times New Roman"/>
          <w:noProof/>
          <w:spacing w:val="-2"/>
          <w:sz w:val="24"/>
          <w:szCs w:val="24"/>
        </w:rPr>
        <w:t>šej súdnej rady, aby zabezpečila transparentnosť tohto procesu a preukázala, že na vznesené obavy reagovala a zohľadnila ich vo svojom rozhodnutí.</w:t>
      </w:r>
    </w:p>
    <w:p w:rsidR="00452489" w:rsidRDefault="00966246">
      <w:pPr>
        <w:spacing w:before="240" w:after="120" w:line="240" w:lineRule="auto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>Okrem reformy Najvyššej súdnej rady bolo ďalším z hlavných prvkov ústavných zmien z roku 2015 aj posilnenie ú</w:t>
      </w:r>
      <w:r>
        <w:rPr>
          <w:rFonts w:ascii="Times New Roman" w:hAnsi="Times New Roman"/>
          <w:noProof/>
          <w:spacing w:val="-2"/>
          <w:sz w:val="24"/>
          <w:szCs w:val="24"/>
        </w:rPr>
        <w:t>lohy súdnej inšpekcie v oblasti posudzovania bezúhonnosti sudcov. V nadväznosti na odporúčanie uvedené v správe z januára 2017 požiadali bulharské orgány o pomoc službu Komisie na podporu štrukturálnych reforiem. Projekt sa oficiálne začal v júli 2019 za ú</w:t>
      </w:r>
      <w:r>
        <w:rPr>
          <w:rFonts w:ascii="Times New Roman" w:hAnsi="Times New Roman"/>
          <w:noProof/>
          <w:spacing w:val="-2"/>
          <w:sz w:val="24"/>
          <w:szCs w:val="24"/>
        </w:rPr>
        <w:t>časti Rady Európy a medzinárodných expertov. Zámerom tohto projektu je posúdiť pracovné metódy súdnej inšpekcie a pomôcť jej poučiť sa z najlepších postupov v iných členských štátoch. Jeho ukončenie sa očakáva na jar 2020.</w:t>
      </w:r>
    </w:p>
    <w:p w:rsidR="00452489" w:rsidRDefault="00966246">
      <w:pPr>
        <w:spacing w:before="240" w:after="120" w:line="240" w:lineRule="auto"/>
        <w:jc w:val="both"/>
        <w:rPr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 xml:space="preserve">Širší legislatívny rámec prešiel </w:t>
      </w:r>
      <w:r>
        <w:rPr>
          <w:rFonts w:ascii="Times New Roman" w:hAnsi="Times New Roman"/>
          <w:noProof/>
          <w:spacing w:val="-2"/>
          <w:sz w:val="24"/>
          <w:szCs w:val="24"/>
        </w:rPr>
        <w:t>v priebehu rokov viacerými reformami. V posledných správach o MSO sa poukazuje najmä na pozitívny účinok zmien zákona o súdnom systéme z roku 2016 a trestného poriadku z roku 2017. V správe z novembra 2018 sa uvádza, že niektoré kľúčové aspekty legislatívn</w:t>
      </w:r>
      <w:r>
        <w:rPr>
          <w:rFonts w:ascii="Times New Roman" w:hAnsi="Times New Roman"/>
          <w:noProof/>
          <w:spacing w:val="-2"/>
          <w:sz w:val="24"/>
          <w:szCs w:val="24"/>
        </w:rPr>
        <w:t>eho rámca sa ešte stále posudzujú. Ide najmä o otázky účinného trestného vyšetrovania, a to vrátane vyšetrovania generálneho prokurátora počas výkonu jeho funkcie. Tieto otázky úzko súvisia s opatreniami, ktorými sa nadviazalo na odporúčania týkajúce sa tr</w:t>
      </w:r>
      <w:r>
        <w:rPr>
          <w:rFonts w:ascii="Times New Roman" w:hAnsi="Times New Roman"/>
          <w:noProof/>
          <w:spacing w:val="-2"/>
          <w:sz w:val="24"/>
          <w:szCs w:val="24"/>
        </w:rPr>
        <w:t>etieho a štvrtého referenčného kritéria (pozri ďalej v texte)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28"/>
      </w:r>
      <w:r>
        <w:rPr>
          <w:noProof/>
          <w:spacing w:val="-2"/>
          <w:sz w:val="24"/>
          <w:szCs w:val="24"/>
        </w:rPr>
        <w:t>.</w:t>
      </w:r>
    </w:p>
    <w:p w:rsidR="00452489" w:rsidRDefault="00966246">
      <w:pPr>
        <w:spacing w:before="240" w:after="120" w:line="240" w:lineRule="auto"/>
        <w:jc w:val="both"/>
        <w:rPr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>Nezávisle od uvedeného Ústavný súd vo februári 2019 rozhodol, že ustanovenia, ktoré boli v roku 2017 vložené do článku 230 zákona o súdnom systéme zabezpečujúce automatické pozastavenie výkonu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funkcie sudcu v prípade, že sa proti nemu začne trestné vyšetrovanie, sú nezlučiteľné s bulharskou ústavou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29"/>
      </w:r>
      <w:r>
        <w:rPr>
          <w:rFonts w:ascii="Times New Roman" w:hAnsi="Times New Roman"/>
          <w:noProof/>
          <w:spacing w:val="-2"/>
          <w:sz w:val="24"/>
          <w:szCs w:val="24"/>
        </w:rPr>
        <w:t>. Vláda 20. septembra 2019 predložila pozmeňujúce návrhy, ktorých cieľom bolo tieto ustanovenia zrušiť a uviesť tak zákon do súladu s ústavou, pričo</w:t>
      </w:r>
      <w:r>
        <w:rPr>
          <w:rFonts w:ascii="Times New Roman" w:hAnsi="Times New Roman"/>
          <w:noProof/>
          <w:spacing w:val="-2"/>
          <w:sz w:val="24"/>
          <w:szCs w:val="24"/>
        </w:rPr>
        <w:t>m sa zaviazala k ich rýchlemu prijatiu v Národnom zhromaždení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30"/>
      </w:r>
      <w:r>
        <w:rPr>
          <w:noProof/>
          <w:spacing w:val="-2"/>
          <w:sz w:val="24"/>
          <w:szCs w:val="24"/>
        </w:rPr>
        <w:t>.</w:t>
      </w:r>
    </w:p>
    <w:p w:rsidR="00452489" w:rsidRDefault="00966246">
      <w:pPr>
        <w:spacing w:before="240" w:after="120" w:line="240" w:lineRule="auto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>V správe z roku 2018 bolo predbežne uzavreté aj šieste referenčné kritérium, ktoré sa týkalo boja proti organizovanej trestnej činnosti, čo bolo reakciou na pozitívny vývoj inštitucionálneho p</w:t>
      </w:r>
      <w:r>
        <w:rPr>
          <w:rFonts w:ascii="Times New Roman" w:hAnsi="Times New Roman"/>
          <w:noProof/>
          <w:spacing w:val="-2"/>
          <w:sz w:val="24"/>
          <w:szCs w:val="24"/>
        </w:rPr>
        <w:t>rostredia a výsledky, ktoré boli napriek náročným podmienkam v priebehu rokov dosiahnuté. Vývoj od novembra 2018 nevyvolal žiadne nové zásadné otázky.</w:t>
      </w:r>
    </w:p>
    <w:p w:rsidR="00452489" w:rsidRDefault="00966246">
      <w:pPr>
        <w:spacing w:before="240" w:after="120" w:line="240" w:lineRule="auto"/>
        <w:jc w:val="both"/>
        <w:rPr>
          <w:rFonts w:ascii="Times New Roman" w:hAnsi="Times New Roman"/>
          <w:i/>
          <w:noProof/>
          <w:spacing w:val="-2"/>
          <w:sz w:val="24"/>
          <w:szCs w:val="24"/>
        </w:rPr>
      </w:pPr>
      <w:r>
        <w:rPr>
          <w:rFonts w:ascii="Times New Roman" w:hAnsi="Times New Roman"/>
          <w:i/>
          <w:noProof/>
          <w:spacing w:val="-2"/>
          <w:sz w:val="24"/>
          <w:szCs w:val="24"/>
        </w:rPr>
        <w:t>Analýza pokroku za posledný rok potvrdila závery z novembra 2018, ktoré viedli k predbežnému uzavretiu tý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>chto referenčných kritérií. Hoci pretrvávajú niektoré podstatné problémy, ktorým budú musieť bulharské orgány ďalej venovať svoju pozornosť, možno konštatovať, že na odporúčania z januára 2017 sa reagovalo uspokojivo.</w:t>
      </w:r>
    </w:p>
    <w:p w:rsidR="00452489" w:rsidRDefault="00966246">
      <w:pPr>
        <w:keepNext/>
        <w:spacing w:before="240" w:after="120" w:line="240" w:lineRule="auto"/>
        <w:jc w:val="both"/>
        <w:rPr>
          <w:rFonts w:ascii="Times New Roman" w:hAnsi="Times New Roman"/>
          <w:b/>
          <w:noProof/>
          <w:spacing w:val="-2"/>
          <w:sz w:val="24"/>
          <w:szCs w:val="24"/>
        </w:rPr>
      </w:pPr>
      <w:r>
        <w:rPr>
          <w:rFonts w:ascii="Times New Roman" w:hAnsi="Times New Roman"/>
          <w:b/>
          <w:noProof/>
          <w:spacing w:val="-2"/>
          <w:sz w:val="24"/>
          <w:szCs w:val="24"/>
        </w:rPr>
        <w:t xml:space="preserve">3.2 </w:t>
      </w:r>
      <w:r>
        <w:rPr>
          <w:rFonts w:ascii="Times New Roman" w:hAnsi="Times New Roman"/>
          <w:b/>
          <w:noProof/>
          <w:spacing w:val="-2"/>
          <w:sz w:val="24"/>
          <w:szCs w:val="24"/>
        </w:rPr>
        <w:tab/>
        <w:t>Tretie referenčné kritérium: pokr</w:t>
      </w:r>
      <w:r>
        <w:rPr>
          <w:rFonts w:ascii="Times New Roman" w:hAnsi="Times New Roman"/>
          <w:b/>
          <w:noProof/>
          <w:spacing w:val="-2"/>
          <w:sz w:val="24"/>
          <w:szCs w:val="24"/>
        </w:rPr>
        <w:t>ačovanie reformy súdnictva</w:t>
      </w:r>
    </w:p>
    <w:p w:rsidR="00452489" w:rsidRDefault="009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i/>
          <w:noProof/>
          <w:spacing w:val="-2"/>
          <w:sz w:val="24"/>
          <w:szCs w:val="24"/>
        </w:rPr>
      </w:pPr>
      <w:r>
        <w:rPr>
          <w:rFonts w:ascii="Times New Roman" w:hAnsi="Times New Roman"/>
          <w:b/>
          <w:i/>
          <w:noProof/>
          <w:spacing w:val="-2"/>
          <w:sz w:val="24"/>
          <w:szCs w:val="24"/>
        </w:rPr>
        <w:t>Odporúčanie č. 5: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 xml:space="preserve"> Na účely verejnej konzultácie uverejniť správu, v ktorej sa podrobne opisuje pokrok dosiahnutý vo vykonávaní národnej stratégie reformy súdnictva a určujú sa zostávajúce opatrenia, ktoré sa majú prijať. Vytvoriť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 xml:space="preserve"> mechanizmus pre nepretržité verejné predkladanie správ o pokroku počas zostávajúceho obdobia vykonávania stratégie.</w:t>
      </w:r>
    </w:p>
    <w:p w:rsidR="00452489" w:rsidRDefault="009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i/>
          <w:noProof/>
          <w:spacing w:val="-2"/>
          <w:sz w:val="24"/>
          <w:szCs w:val="24"/>
        </w:rPr>
      </w:pPr>
      <w:r>
        <w:rPr>
          <w:rFonts w:ascii="Times New Roman" w:hAnsi="Times New Roman"/>
          <w:b/>
          <w:i/>
          <w:noProof/>
          <w:spacing w:val="-2"/>
          <w:sz w:val="24"/>
          <w:szCs w:val="24"/>
        </w:rPr>
        <w:t>Odporúčanie č. 6: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 xml:space="preserve"> Na základe nových noriem pracovného zaťaženia riešiť situáciu pracovného zaťaženia na najvyťaženejších súdoch a schváliť 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>plán reformy súdnej mapy súbežne s rozvojom elektronickej justície.</w:t>
      </w:r>
    </w:p>
    <w:p w:rsidR="00452489" w:rsidRDefault="009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i/>
          <w:noProof/>
          <w:spacing w:val="-2"/>
          <w:sz w:val="24"/>
          <w:szCs w:val="24"/>
        </w:rPr>
      </w:pPr>
      <w:r>
        <w:rPr>
          <w:rFonts w:ascii="Times New Roman" w:hAnsi="Times New Roman"/>
          <w:b/>
          <w:i/>
          <w:noProof/>
          <w:spacing w:val="-2"/>
          <w:sz w:val="24"/>
          <w:szCs w:val="24"/>
        </w:rPr>
        <w:t>Odporúčanie č. 7: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 xml:space="preserve"> Vypracovať plán vykonávania odporúčaní uvedených v správe služby Komisie na podporu štrukturálnych reforiem, ktoré sa týkajú reformy prokuratúry a jej vzťahov s ostatnými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 xml:space="preserve"> inštitúciami, vrátane mechanizmu predkladania správ o pokroku širšej verejnosti.</w:t>
      </w:r>
    </w:p>
    <w:p w:rsidR="00452489" w:rsidRDefault="009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i/>
          <w:noProof/>
          <w:spacing w:val="-2"/>
          <w:sz w:val="24"/>
          <w:szCs w:val="24"/>
        </w:rPr>
      </w:pPr>
      <w:r>
        <w:rPr>
          <w:rFonts w:ascii="Times New Roman" w:hAnsi="Times New Roman"/>
          <w:b/>
          <w:i/>
          <w:noProof/>
          <w:spacing w:val="-2"/>
          <w:sz w:val="24"/>
          <w:szCs w:val="24"/>
        </w:rPr>
        <w:t>Odporúčanie č. 8: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 xml:space="preserve"> Vypracovať plán vykonávania odporúčaní štúdie o rozsudkoch Európskeho súdu pre ľudské práva, a to vrátane mechanizmu na predkladanie správ o pokroku širšej 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>verejnosti.</w:t>
      </w:r>
    </w:p>
    <w:p w:rsidR="00452489" w:rsidRDefault="00966246">
      <w:pPr>
        <w:spacing w:before="240" w:after="120" w:line="240" w:lineRule="auto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 xml:space="preserve">V správe z novembra 2018 sa poukázalo na to, že pri štyroch odporúčaniach, ktoré sa týkajú pokračovania reformy súdnictva, bol dosiahnutý výrazný pokrok. Podstatný vývoj v tejto oblasti však ešte nebol ukončený, resp. bolo potrebné pokračovať </w:t>
      </w:r>
      <w:r>
        <w:rPr>
          <w:rFonts w:ascii="Times New Roman" w:hAnsi="Times New Roman"/>
          <w:noProof/>
          <w:spacing w:val="-2"/>
          <w:sz w:val="24"/>
          <w:szCs w:val="24"/>
        </w:rPr>
        <w:t>v jeho monitorovaní, aby bolo možné takýto pokrok potvrdiť.</w:t>
      </w:r>
    </w:p>
    <w:p w:rsidR="00452489" w:rsidRDefault="00966246">
      <w:pPr>
        <w:spacing w:before="240" w:after="120" w:line="240" w:lineRule="auto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 xml:space="preserve">V roku 2017 zaviedla vláda pravidelný cyklus monitorovania a predkladania správ o pokroku pri vykonávaní stratégie reformy súdnictva. Dôležitú úlohu v tomto ohľade zohráva poradná rada pre </w:t>
      </w:r>
      <w:r>
        <w:rPr>
          <w:rFonts w:ascii="Times New Roman" w:hAnsi="Times New Roman"/>
          <w:noProof/>
          <w:spacing w:val="-2"/>
          <w:sz w:val="24"/>
          <w:szCs w:val="24"/>
        </w:rPr>
        <w:t>pokračovanie reformy súdnictva, ktorá bola zriadená v roku 2016 pod záštitou ministerstva spravodlivosti. Tieto procesy vytvárajú rámec pre spoluprácu so zainteresovanými stranami pri prerokovávaných legislatívnych súboroch a mohli by sa využiť aj pri príp</w:t>
      </w:r>
      <w:r>
        <w:rPr>
          <w:rFonts w:ascii="Times New Roman" w:hAnsi="Times New Roman"/>
          <w:noProof/>
          <w:spacing w:val="-2"/>
          <w:sz w:val="24"/>
          <w:szCs w:val="24"/>
        </w:rPr>
        <w:t>rave budúcich aktualizácii stratégie reformy súdnictva. Pri monitorovaní pokroku po ukončení MSO by mala kľúčovú úlohu zohrávať aj budúca rada pre následné monitorovanie.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31"/>
      </w:r>
    </w:p>
    <w:p w:rsidR="00452489" w:rsidRDefault="00966246">
      <w:pPr>
        <w:spacing w:before="240" w:after="120" w:line="240" w:lineRule="auto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>Jenou z dôležitých výziev, ktorá si v nasledujúcich rokoch bude vyžadovať nepretrži</w:t>
      </w:r>
      <w:r>
        <w:rPr>
          <w:rFonts w:ascii="Times New Roman" w:hAnsi="Times New Roman"/>
          <w:noProof/>
          <w:spacing w:val="-2"/>
          <w:sz w:val="24"/>
          <w:szCs w:val="24"/>
        </w:rPr>
        <w:t>té úsilie, je snaha o zlepšenie účinnosti a dostupnosti súdnictva prostredníctvom zavedenia elektronickej justície a vyváženého riadenia pracovného zaťaženia na súdoch. Hoci realizácia komplexnej reformy sa v priebehu rokov viackrát oneskorila, Najvyššia s</w:t>
      </w:r>
      <w:r>
        <w:rPr>
          <w:rFonts w:ascii="Times New Roman" w:hAnsi="Times New Roman"/>
          <w:noProof/>
          <w:spacing w:val="-2"/>
          <w:sz w:val="24"/>
          <w:szCs w:val="24"/>
        </w:rPr>
        <w:t>údna rada podnikla od roku 2017 dôležité kroky, aby prostredníctvom celého radu opatrení dokázala reagovať na tieto výzvy. V tejto oblasti sa vynakladá ďalšie úsilie.</w:t>
      </w:r>
    </w:p>
    <w:p w:rsidR="00452489" w:rsidRDefault="00966246">
      <w:pPr>
        <w:spacing w:before="240" w:after="120" w:line="240" w:lineRule="auto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>Ďalšou dôležitou úlohou, ktorá si vyžaduje neustálu pozornosť, je fungovanie celkového sy</w:t>
      </w:r>
      <w:r>
        <w:rPr>
          <w:rFonts w:ascii="Times New Roman" w:hAnsi="Times New Roman"/>
          <w:noProof/>
          <w:spacing w:val="-2"/>
          <w:sz w:val="24"/>
          <w:szCs w:val="24"/>
        </w:rPr>
        <w:t>stému vyšetrovania a trestného stíhania prípadov korupcie na vysokých miestach. V priebehu rokov sa tu dosiahol významný pokrok. Na úsilie vynakladané v tejto oblasti mala v poslednom čase vplyv nezávislá analýza fungovania prokuratúry vykonaná v roku 2016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32"/>
      </w:r>
      <w:r>
        <w:rPr>
          <w:rFonts w:ascii="Times New Roman" w:hAnsi="Times New Roman"/>
          <w:noProof/>
          <w:spacing w:val="-2"/>
          <w:sz w:val="24"/>
          <w:szCs w:val="24"/>
        </w:rPr>
        <w:t>, ako aj analýza judikatúry Európskeho súdu pre ľudské práv, ktorej ťažiskom boli otázky, ktoré tento súd označil v roku 2016 za systematický problém neúčinného vyšetrovania trestných činov v Bulharsku. To vyústilo do série dôležitých krokov, ktoré boli s</w:t>
      </w:r>
      <w:r>
        <w:rPr>
          <w:rFonts w:ascii="Times New Roman" w:hAnsi="Times New Roman"/>
          <w:noProof/>
          <w:spacing w:val="-2"/>
          <w:sz w:val="24"/>
          <w:szCs w:val="24"/>
        </w:rPr>
        <w:t>tanovené v predchádzajúcich správach o MSO. Medzi kľúčové body, ktoré sú stále predmetom posudzovania, patrí postup začatia vyšetrovania trestných činov vrátane úlohy predbežného vyšetrovania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33"/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a prípadná potreba súdneho preskúmania rozhodnutia prokurátora </w:t>
      </w:r>
      <w:r>
        <w:rPr>
          <w:rFonts w:ascii="Times New Roman" w:hAnsi="Times New Roman"/>
          <w:noProof/>
          <w:spacing w:val="-2"/>
          <w:sz w:val="24"/>
          <w:szCs w:val="24"/>
        </w:rPr>
        <w:t>nezačať vyšetrovanie.</w:t>
      </w:r>
    </w:p>
    <w:p w:rsidR="00452489" w:rsidRDefault="00966246">
      <w:pPr>
        <w:spacing w:before="240" w:after="120" w:line="240" w:lineRule="auto"/>
        <w:jc w:val="both"/>
        <w:rPr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>Mimoriadne citlivou otázkou je zavedenie postupov na zabezpečenie nezávislosti všetkých fáz vyšetrovania v prípadoch údajného spáchania trestného činu generálnym prokurátorom počas výkonu funkcie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34"/>
      </w:r>
      <w:r>
        <w:rPr>
          <w:noProof/>
          <w:spacing w:val="-2"/>
          <w:sz w:val="24"/>
          <w:szCs w:val="24"/>
        </w:rPr>
        <w:t>.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V júni predložil minister spravodliv</w:t>
      </w:r>
      <w:r>
        <w:rPr>
          <w:rFonts w:ascii="Times New Roman" w:hAnsi="Times New Roman"/>
          <w:noProof/>
          <w:spacing w:val="-2"/>
          <w:sz w:val="24"/>
          <w:szCs w:val="24"/>
        </w:rPr>
        <w:t>osti pozmeňujúce návrhy k trestnému poriadku a zákonu o súdnom systéme, ktoré sa stali východiskom pre verejnú diskusiu so zainteresovanými stranami o možnom vládnom návrhu, ktorým sa zavádza mechanizmus na začatie trestného konania proti úradujúcemu gener</w:t>
      </w:r>
      <w:r>
        <w:rPr>
          <w:rFonts w:ascii="Times New Roman" w:hAnsi="Times New Roman"/>
          <w:noProof/>
          <w:spacing w:val="-2"/>
          <w:sz w:val="24"/>
          <w:szCs w:val="24"/>
        </w:rPr>
        <w:t>álnemu prokurátorovi, ako aj proti predsedom Najvyššieho kasačného súdu a Najvyššieho správneho súdu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35"/>
      </w:r>
    </w:p>
    <w:p w:rsidR="00452489" w:rsidRDefault="00966246">
      <w:pPr>
        <w:spacing w:before="240" w:after="120" w:line="240" w:lineRule="auto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>Tieto pozmeňujúce návrhy pritiahli veľkú pozornosť verejnosti vrátane občianskej spoločnosti a zainteresovaných strán z oblasti súdnictva, čo vyvolalo via</w:t>
      </w:r>
      <w:r>
        <w:rPr>
          <w:rFonts w:ascii="Times New Roman" w:hAnsi="Times New Roman"/>
          <w:noProof/>
          <w:spacing w:val="-2"/>
          <w:sz w:val="24"/>
          <w:szCs w:val="24"/>
        </w:rPr>
        <w:t>ceré obavy ale zároveň poukázalo na to, že o takýchto citlivých záležitostiach je dôležité viesť otvorené a transparentné konzultácie. Z diskusie vyplynuli pochybnosti o tom, či je v navrhovaných zmenách dostatočne jasne zadefinované, akým spôsobom by bola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zaručená nezávislosť vyšetrovania úradujúceho generálneho prokurátora.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36"/>
      </w:r>
      <w:r>
        <w:rPr>
          <w:noProof/>
          <w:spacing w:val="-2"/>
          <w:sz w:val="24"/>
          <w:szCs w:val="24"/>
        </w:rPr>
        <w:t>.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Navyše plánované zahrnutie predsedov Najvyššieho kasačného súdu a Najvyššieho správneho súdu do rozsahu pôsobnosti navrhovaného mechanizmu vyvolalo ďalšie obavy, že by mohlo dôjsť k </w:t>
      </w:r>
      <w:r>
        <w:rPr>
          <w:rFonts w:ascii="Times New Roman" w:hAnsi="Times New Roman"/>
          <w:noProof/>
          <w:spacing w:val="-2"/>
          <w:sz w:val="24"/>
          <w:szCs w:val="24"/>
        </w:rPr>
        <w:t>ohrozeniu nezávislosti súdnictva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37"/>
      </w:r>
      <w:r>
        <w:rPr>
          <w:rFonts w:ascii="Times New Roman" w:hAnsi="Times New Roman"/>
          <w:noProof/>
          <w:spacing w:val="-2"/>
          <w:sz w:val="24"/>
          <w:szCs w:val="24"/>
        </w:rPr>
        <w:t>, a to najmä vzhľadom na skutočnosť, že na prokurátorov a sudcov sa kladú odlišné požiadavky, pokiaľ ide o ich nezávislosť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38"/>
      </w:r>
      <w:r>
        <w:rPr>
          <w:rFonts w:ascii="Times New Roman" w:hAnsi="Times New Roman"/>
          <w:noProof/>
          <w:spacing w:val="-2"/>
          <w:sz w:val="24"/>
          <w:szCs w:val="24"/>
        </w:rPr>
        <w:t>.</w:t>
      </w:r>
    </w:p>
    <w:p w:rsidR="00452489" w:rsidRDefault="00966246">
      <w:pPr>
        <w:spacing w:before="240" w:after="120" w:line="240" w:lineRule="auto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>To, že bulharské orgány iniciovali verejnú diskusiu o tejto citlivej téme na základe konkrétnych n</w:t>
      </w:r>
      <w:r>
        <w:rPr>
          <w:rFonts w:ascii="Times New Roman" w:hAnsi="Times New Roman"/>
          <w:noProof/>
          <w:spacing w:val="-2"/>
          <w:sz w:val="24"/>
          <w:szCs w:val="24"/>
        </w:rPr>
        <w:t>ávrhov, možno síce označiť za pozitívny krok, avšak pre zachovanie dôvery verejnosti bude rozhodujúce, aby sa na vyjadrené obavy primerane reagovalo. Komisia sa domnieva, že v takýchto prípadoch je veľkým prínosom využitie odborných znalostí Rady Európy a </w:t>
      </w:r>
      <w:r>
        <w:rPr>
          <w:rFonts w:ascii="Times New Roman" w:hAnsi="Times New Roman"/>
          <w:noProof/>
          <w:spacing w:val="-2"/>
          <w:sz w:val="24"/>
          <w:szCs w:val="24"/>
        </w:rPr>
        <w:t>iných nezávislých subjektov. V snahe zabezpečiť, aby zmena vo svojom konečnom, prijatom znení obsahovala primerané záruky nezávislosti súdnictva, požiadali bulharské orgány o stanovisko Európsku komisiu pre demokraciu prostredníctvom práva (Benátska komisi</w:t>
      </w:r>
      <w:r>
        <w:rPr>
          <w:rFonts w:ascii="Times New Roman" w:hAnsi="Times New Roman"/>
          <w:noProof/>
          <w:spacing w:val="-2"/>
          <w:sz w:val="24"/>
          <w:szCs w:val="24"/>
        </w:rPr>
        <w:t>a)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39"/>
      </w:r>
      <w:r>
        <w:rPr>
          <w:rFonts w:ascii="Times New Roman" w:hAnsi="Times New Roman"/>
          <w:noProof/>
          <w:spacing w:val="-2"/>
          <w:sz w:val="24"/>
          <w:szCs w:val="24"/>
        </w:rPr>
        <w:t>. Žiadosť zaslal Benátskej komisii minister spravodlivosti 24. septembra 2019 a Bulharsko sa pri kontaktoch s Európskou komisiu na úrovni predsedu vlády zaviazalo k tomu, že splní odporúčania Benátskej komisie, pričom dodrží zásady bulharského ústavného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poriadku. Komisia víta pripravenosť bulharských orgánov využiť externú expertízu, ktorá by im pomohla nájsť primerané a vyvážené riešenie, ktoré zaistí, že v budúcom konaní bude zaručená nezávislosť súdnictva.</w:t>
      </w:r>
    </w:p>
    <w:p w:rsidR="00452489" w:rsidRDefault="00966246">
      <w:pPr>
        <w:spacing w:before="240" w:after="120" w:line="240" w:lineRule="auto"/>
        <w:jc w:val="both"/>
        <w:rPr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>Hoci sa predložené návrhy týkajú najmä otázky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účinného vyšetrovania vysokopostavených sudcov, širší systematický problém účinnosti vyšetrovania si tiež vyžaduje dôkladné posúdenie zo strany bulharských orgánov, a to pri náležitom zohľadnení potreby rozsiahlych konzultácií so zainteresovanými stranami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a expertmi. Bulharská vláda sa zaviazala, že bude naďalej spolupracovať s Radou Európy, aby našla na tieto otázky funkčné riešenia, ktoré musia byť v súlade s judikatúrou Európskeho súdu pre ľudské práva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40"/>
      </w:r>
      <w:r>
        <w:rPr>
          <w:noProof/>
          <w:spacing w:val="-2"/>
          <w:sz w:val="24"/>
          <w:szCs w:val="24"/>
        </w:rPr>
        <w:t>.</w:t>
      </w:r>
    </w:p>
    <w:p w:rsidR="00452489" w:rsidRDefault="00966246">
      <w:pPr>
        <w:spacing w:before="240" w:after="120" w:line="240" w:lineRule="auto"/>
        <w:jc w:val="both"/>
        <w:rPr>
          <w:rFonts w:ascii="Times New Roman" w:hAnsi="Times New Roman"/>
          <w:i/>
          <w:noProof/>
          <w:spacing w:val="-2"/>
          <w:sz w:val="24"/>
          <w:szCs w:val="24"/>
        </w:rPr>
      </w:pPr>
      <w:r>
        <w:rPr>
          <w:rFonts w:ascii="Times New Roman" w:hAnsi="Times New Roman"/>
          <w:i/>
          <w:noProof/>
          <w:spacing w:val="-2"/>
          <w:sz w:val="24"/>
          <w:szCs w:val="24"/>
        </w:rPr>
        <w:t>Na základe analýzy tretieho referenčného kritéria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 xml:space="preserve"> možno konštatovať, že Bulharsko prijalo dôležité kroky na vykonanie odporúčaní č. 5, 6, 7 a 8 a že tieto odporúčania boli uspokojivo splnené. Bulharská vláda zároveň zaviedla súbor následných opatrení a Komisia víta záväzky, ktoré bulharská vláda v tejto 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>súvislosti prijala. V tejto súvislosti je potrebné vyčleniť dostatočný čas na to, aby sa o týchto následných opatreniach mohli viesť rozsiahle konzultácie so zainteresovanými stranami a expertmi vrátane príslušných orgánov Rady Európy. Tieto otázky by mali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 xml:space="preserve"> byť tiež predmetom posúdenia zo strany rady pre následné monitorovanie a východiskom pre budúci dialóg s Komisiou v rámci komplexného mechanizmu právneho štátu.</w:t>
      </w:r>
    </w:p>
    <w:p w:rsidR="00452489" w:rsidRDefault="00966246">
      <w:pPr>
        <w:keepNext/>
        <w:spacing w:before="240" w:after="120" w:line="240" w:lineRule="auto"/>
        <w:jc w:val="both"/>
        <w:rPr>
          <w:rFonts w:ascii="Times New Roman" w:hAnsi="Times New Roman"/>
          <w:b/>
          <w:noProof/>
          <w:spacing w:val="-2"/>
          <w:sz w:val="24"/>
          <w:szCs w:val="24"/>
        </w:rPr>
      </w:pPr>
      <w:r>
        <w:rPr>
          <w:rFonts w:ascii="Times New Roman" w:hAnsi="Times New Roman"/>
          <w:b/>
          <w:noProof/>
          <w:spacing w:val="-2"/>
          <w:sz w:val="24"/>
          <w:szCs w:val="24"/>
        </w:rPr>
        <w:t xml:space="preserve">3.3 </w:t>
      </w:r>
      <w:r>
        <w:rPr>
          <w:rFonts w:ascii="Times New Roman" w:hAnsi="Times New Roman"/>
          <w:b/>
          <w:noProof/>
          <w:spacing w:val="-2"/>
          <w:sz w:val="24"/>
          <w:szCs w:val="24"/>
        </w:rPr>
        <w:tab/>
        <w:t>Štvrté referenčné kritérium: Korupcia na vysokých miestach</w:t>
      </w:r>
    </w:p>
    <w:p w:rsidR="00452489" w:rsidRDefault="009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i/>
          <w:noProof/>
          <w:spacing w:val="-2"/>
          <w:sz w:val="24"/>
          <w:szCs w:val="24"/>
        </w:rPr>
      </w:pPr>
      <w:r>
        <w:rPr>
          <w:rFonts w:ascii="Times New Roman" w:hAnsi="Times New Roman"/>
          <w:b/>
          <w:i/>
          <w:noProof/>
          <w:spacing w:val="-2"/>
          <w:sz w:val="24"/>
          <w:szCs w:val="24"/>
        </w:rPr>
        <w:t>Odporúčanie č. 9: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 xml:space="preserve"> Prijať nový právny rámec v oblasti boja proti korupcii v súlade so zámermi uvedenými v stratégii boja proti korupcii a zabezpečiť jeho vykonávanie. Zriadiť účinný protikorupčný orgán.</w:t>
      </w:r>
    </w:p>
    <w:p w:rsidR="00452489" w:rsidRDefault="009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i/>
          <w:noProof/>
          <w:spacing w:val="-2"/>
          <w:sz w:val="24"/>
          <w:szCs w:val="24"/>
        </w:rPr>
      </w:pPr>
      <w:r>
        <w:rPr>
          <w:rFonts w:ascii="Times New Roman" w:hAnsi="Times New Roman"/>
          <w:b/>
          <w:i/>
          <w:noProof/>
          <w:spacing w:val="-2"/>
          <w:sz w:val="24"/>
          <w:szCs w:val="24"/>
        </w:rPr>
        <w:t>Odporúčanie č. 10: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 xml:space="preserve"> Prijať a vykonávať reformu zákona o verejnej správe 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>na účely posilnenia vnútorných inšpektorátov vo verejnej správe.</w:t>
      </w:r>
    </w:p>
    <w:p w:rsidR="00452489" w:rsidRDefault="009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i/>
          <w:noProof/>
          <w:spacing w:val="-2"/>
          <w:sz w:val="24"/>
          <w:szCs w:val="24"/>
        </w:rPr>
      </w:pPr>
      <w:r>
        <w:rPr>
          <w:rFonts w:ascii="Times New Roman" w:hAnsi="Times New Roman"/>
          <w:b/>
          <w:i/>
          <w:noProof/>
          <w:spacing w:val="-2"/>
          <w:sz w:val="24"/>
          <w:szCs w:val="24"/>
        </w:rPr>
        <w:t xml:space="preserve">Odporúčanie č. 11: 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 xml:space="preserve">Vychádzať z analýzy minulých prípadov a v rámci všetkých príslušných inštitúcií vypracovať plán riešenia nedostatkov v oblasti vyšetrovania a stíhania prípadov korupcie na 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>vysokých miestach vrátane mechanizmu predkladania správ o pokroku širšej verejnosti.</w:t>
      </w:r>
    </w:p>
    <w:p w:rsidR="00452489" w:rsidRDefault="009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i/>
          <w:noProof/>
          <w:spacing w:val="-2"/>
          <w:sz w:val="24"/>
          <w:szCs w:val="24"/>
        </w:rPr>
      </w:pPr>
      <w:r>
        <w:rPr>
          <w:rFonts w:ascii="Times New Roman" w:hAnsi="Times New Roman"/>
          <w:b/>
          <w:i/>
          <w:noProof/>
          <w:spacing w:val="-2"/>
          <w:sz w:val="24"/>
          <w:szCs w:val="24"/>
        </w:rPr>
        <w:t>Odporúčanie č. 12: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 xml:space="preserve"> Vytvoriť mechanizmus pre verejné predkladanie správ o pokroku dosiahnutom v prípadoch korupcie na vysokej úrovni vo verejnom sektore. Predkladanie správ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 xml:space="preserve"> zo strany generálnej prokuratúry o vyšetrovaní a obžalobe, a to pri rešpektovaní zásady prezumpcie neviny. Predkladanie správ zo strany Najvyššieho kasačného súdu a ministerstva spravodlivosti o odsúdeniach, ako aj o vykonávaní rozsudkov.</w:t>
      </w:r>
    </w:p>
    <w:p w:rsidR="00452489" w:rsidRDefault="00966246">
      <w:pPr>
        <w:spacing w:before="240" w:after="120" w:line="240" w:lineRule="auto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>V správe z novem</w:t>
      </w:r>
      <w:r>
        <w:rPr>
          <w:rFonts w:ascii="Times New Roman" w:hAnsi="Times New Roman"/>
          <w:noProof/>
          <w:spacing w:val="-2"/>
          <w:sz w:val="24"/>
          <w:szCs w:val="24"/>
        </w:rPr>
        <w:t>bra 2018 sa poukázalo na to, že pri štyroch odporúčaniach, ktoré sa týkajú boja proti korupcii na vysokých miestach, dosiahlo Bulharsko výrazný pokrok. Zároveň sa v nej uviedlo, že pokiaľ ide o právoplatné odsúdenia v prípadoch korupcie na vysokých miestac</w:t>
      </w:r>
      <w:r>
        <w:rPr>
          <w:rFonts w:ascii="Times New Roman" w:hAnsi="Times New Roman"/>
          <w:noProof/>
          <w:spacing w:val="-2"/>
          <w:sz w:val="24"/>
          <w:szCs w:val="24"/>
        </w:rPr>
        <w:t>h, je ešte potrebné dosiahnuť solídne výsledky a že v záujme upevnenia dosiahnutého pokroku je potrebné pokračovať v monitorovaní nového protikorupčného inštitucionálneho rámca.</w:t>
      </w:r>
    </w:p>
    <w:p w:rsidR="00452489" w:rsidRDefault="00966246">
      <w:pPr>
        <w:spacing w:before="240" w:after="120" w:line="240" w:lineRule="auto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>Vplyv komplexných reforiem všeobecného protikorupčného inštitucionálneho rámca</w:t>
      </w:r>
      <w:r>
        <w:rPr>
          <w:rFonts w:ascii="Times New Roman" w:hAnsi="Times New Roman"/>
          <w:noProof/>
          <w:spacing w:val="-2"/>
          <w:sz w:val="24"/>
          <w:szCs w:val="24"/>
        </w:rPr>
        <w:t>, ktoré sa uskutočnili za posledné dva roky, sa začína prejavovať. Týka sa to predovšetkým protikorupčného zákona z januára 2018, ktorým sa zriaďuje nová agentúra na boj proti korupcii, zmien zákona o verejnej správe z roku 2017, ktoré objasňujú právny rám</w:t>
      </w:r>
      <w:r>
        <w:rPr>
          <w:rFonts w:ascii="Times New Roman" w:hAnsi="Times New Roman"/>
          <w:noProof/>
          <w:spacing w:val="-2"/>
          <w:sz w:val="24"/>
          <w:szCs w:val="24"/>
        </w:rPr>
        <w:t>ec upravujúci činnosť vnútorných inšpektorátov, a zmien trestného poriadku z roku 2017, ktorými sa špecializovanej prokuratúre a súdu pre organizovanú trestnú činnosť udeľujú v súvislosti s korupciou na vysokých miestach dodatočné právomoci.</w:t>
      </w:r>
    </w:p>
    <w:p w:rsidR="00452489" w:rsidRDefault="00966246">
      <w:pPr>
        <w:spacing w:before="240" w:after="120" w:line="240" w:lineRule="auto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>Podľa vyjadren</w:t>
      </w:r>
      <w:r>
        <w:rPr>
          <w:rFonts w:ascii="Times New Roman" w:hAnsi="Times New Roman"/>
          <w:noProof/>
          <w:spacing w:val="-2"/>
          <w:sz w:val="24"/>
          <w:szCs w:val="24"/>
        </w:rPr>
        <w:t>ia bulharských orgánov prispeli tieto reformy k zlepšeniu celkových podmienok z hľadiska predchádzania korupcii, jej odhaľovania, vyšetrovania a trestného stíhania. Napríklad nová agentúra na boj proti korupcii preskúmala vyhlásenia o záujmoch tisícov úrad</w:t>
      </w:r>
      <w:r>
        <w:rPr>
          <w:rFonts w:ascii="Times New Roman" w:hAnsi="Times New Roman"/>
          <w:noProof/>
          <w:spacing w:val="-2"/>
          <w:sz w:val="24"/>
          <w:szCs w:val="24"/>
        </w:rPr>
        <w:t>níkov a určila pritom, v ktorých prípadoch je potrebné prijať následné opatrenia.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41"/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Bude si to prirodzene vyžadovať istý čas, kým sa reformy prejavia v jednotlivých fázach vyšetrovania, trestného stíhania a prípadného odsúdenia, na tento aspekt sa však bude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musieť v budúcnosti klásť hlavný dôraz, aby sa zabezpečilo dosahovanie solídnych konkrétnych výsledkov.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42"/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Nedávne medializované obvinenia vysokopostavených úradníkov a politikov ešte viac poukázali na problémy, ktorým Bulharsko v tejto oblasti čelí.</w:t>
      </w:r>
    </w:p>
    <w:p w:rsidR="00452489" w:rsidRDefault="00966246">
      <w:pPr>
        <w:spacing w:before="240" w:after="120" w:line="240" w:lineRule="auto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>Osobit</w:t>
      </w:r>
      <w:r>
        <w:rPr>
          <w:rFonts w:ascii="Times New Roman" w:hAnsi="Times New Roman"/>
          <w:noProof/>
          <w:spacing w:val="-2"/>
          <w:sz w:val="24"/>
          <w:szCs w:val="24"/>
        </w:rPr>
        <w:t>ný problém, ktorému čelia inštitúcie ako je nová agentúra na boj proti korupcii a prokuratúra, spočíva v Bulharsku v tom, že tieto protikorupčné inštitúcie si musia získať dôveru verejnosti a postupne si vybudovať reputáciu inštitúcií, ktoré pracujú nezávi</w:t>
      </w:r>
      <w:r>
        <w:rPr>
          <w:rFonts w:ascii="Times New Roman" w:hAnsi="Times New Roman"/>
          <w:noProof/>
          <w:spacing w:val="-2"/>
          <w:sz w:val="24"/>
          <w:szCs w:val="24"/>
        </w:rPr>
        <w:t>sle a profesionálne. Občania by mali mať v prvom rade plnú dôveru v to, že takéto inštitúcie konajú nestranne, pri plnom rešpektovaní procesných a základných práv vrátane zásady prezumpcie neviny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43"/>
      </w:r>
      <w:r>
        <w:rPr>
          <w:rFonts w:ascii="Times New Roman" w:hAnsi="Times New Roman"/>
          <w:noProof/>
          <w:spacing w:val="-2"/>
          <w:sz w:val="24"/>
          <w:szCs w:val="24"/>
        </w:rPr>
        <w:t>. Jedným z kľúčových prvkov budovania dôvery je aj proces me</w:t>
      </w:r>
      <w:r>
        <w:rPr>
          <w:rFonts w:ascii="Times New Roman" w:hAnsi="Times New Roman"/>
          <w:noProof/>
          <w:spacing w:val="-2"/>
          <w:sz w:val="24"/>
          <w:szCs w:val="24"/>
        </w:rPr>
        <w:t>novania do vedúcich funkcií týchto inštitúcií.</w:t>
      </w:r>
    </w:p>
    <w:p w:rsidR="00452489" w:rsidRDefault="00966246">
      <w:pPr>
        <w:spacing w:before="240" w:after="120" w:line="240" w:lineRule="auto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>Agentúra na boj proti korupcii v súčasnosti naďalej funguje bez trvalého riaditeľa. Ako sa zdôraznilo v správe z novembra 2018, proces voľby vedenia agentúry na boj proti korupcii bol sporný, pretože na zvolen</w:t>
      </w:r>
      <w:r>
        <w:rPr>
          <w:rFonts w:ascii="Times New Roman" w:hAnsi="Times New Roman"/>
          <w:noProof/>
          <w:spacing w:val="-2"/>
          <w:sz w:val="24"/>
          <w:szCs w:val="24"/>
        </w:rPr>
        <w:t>ie stačila jednoduchá väčšina v Národnom zhromaždení, čo vyvolalo obavy z možného spolitizovania vedenia agentúry. Pripravované vymenovane nového riaditeľa agentúry na boj proti korupcii bude dôležitou skúškou, v ktorej musí Národné zhromaždenie preukázať,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že je schopné tento proces zorganizovať otvoreným spôsobom a na základe zásluhovosti, aby sa tak rozptýlili obavy a obnovila dôvera v túto kľúčovú inštitúciu.</w:t>
      </w:r>
    </w:p>
    <w:p w:rsidR="00452489" w:rsidRDefault="00966246">
      <w:pPr>
        <w:spacing w:before="240" w:after="120" w:line="240" w:lineRule="auto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 xml:space="preserve">K ďalším dvom kľúčovým oblastiam, ktoré prispejú k budovaniu dôvery, patrí využitie relevantnej 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externej expertízy na posilnenie protikorupčného rámca, ako aj angažovanosť a dialóg so zainteresovanými stranami pri vykonávaní stratégie boja proti korupcii. Obe z nich budú mať zásadný vplyv na udržanie presvedčivej dynamiky pokroku. Bulharská vláda sa </w:t>
      </w:r>
      <w:r>
        <w:rPr>
          <w:rFonts w:ascii="Times New Roman" w:hAnsi="Times New Roman"/>
          <w:noProof/>
          <w:spacing w:val="-2"/>
          <w:sz w:val="24"/>
          <w:szCs w:val="24"/>
        </w:rPr>
        <w:t>pri kontaktoch s Komisiou zaviazala k tomu, že bude v tejto oblasti vynakladať ďalšie úsilie, pričom sa bude opierať aj o spoluprácu so Skupinou štátov Rady Európy proti korupcii (GRECO)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44"/>
      </w:r>
      <w:r>
        <w:rPr>
          <w:rFonts w:ascii="Times New Roman" w:hAnsi="Times New Roman"/>
          <w:noProof/>
          <w:spacing w:val="-2"/>
          <w:sz w:val="24"/>
          <w:szCs w:val="24"/>
        </w:rPr>
        <w:t>.</w:t>
      </w:r>
      <w:r>
        <w:rPr>
          <w:noProof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noProof/>
          <w:spacing w:val="-2"/>
          <w:sz w:val="24"/>
          <w:szCs w:val="24"/>
        </w:rPr>
        <w:t>Rada pre následné monitorovanie by mala tiež významným spôsobom pri</w:t>
      </w:r>
      <w:r>
        <w:rPr>
          <w:rFonts w:ascii="Times New Roman" w:hAnsi="Times New Roman"/>
          <w:noProof/>
          <w:spacing w:val="-2"/>
          <w:sz w:val="24"/>
          <w:szCs w:val="24"/>
        </w:rPr>
        <w:t>spievať k tomu, aby verejnosť naďalej venovala pozornosť týmto dôležitým výzvam aj po ukončení MSO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45"/>
      </w:r>
      <w:r>
        <w:rPr>
          <w:rFonts w:ascii="Times New Roman" w:hAnsi="Times New Roman"/>
          <w:noProof/>
          <w:spacing w:val="-2"/>
          <w:sz w:val="24"/>
          <w:szCs w:val="24"/>
        </w:rPr>
        <w:t>.</w:t>
      </w:r>
    </w:p>
    <w:p w:rsidR="00452489" w:rsidRDefault="00966246">
      <w:pPr>
        <w:spacing w:before="240" w:after="120" w:line="240" w:lineRule="auto"/>
        <w:jc w:val="both"/>
        <w:rPr>
          <w:rFonts w:ascii="Times New Roman" w:hAnsi="Times New Roman"/>
          <w:i/>
          <w:noProof/>
          <w:spacing w:val="-2"/>
          <w:sz w:val="24"/>
          <w:szCs w:val="24"/>
        </w:rPr>
      </w:pPr>
      <w:r>
        <w:rPr>
          <w:rFonts w:ascii="Times New Roman" w:hAnsi="Times New Roman"/>
          <w:i/>
          <w:noProof/>
          <w:spacing w:val="-2"/>
          <w:sz w:val="24"/>
          <w:szCs w:val="24"/>
        </w:rPr>
        <w:t>Na základe analýzy štvrtého referenčného kritéria možno konštatovať, že sa začalo s konsolidáciou právneho a inštitucionálneho rámca v súlade s odporúčania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 xml:space="preserve">mi č. 9, 10, 11 a 12 a že tieto odporúčania boli uspokojivo splnené. Bulharsko bude potrebovať istý čas na to, aby mohlo v tejto oblasti dosiahnuť solídne výsledky, a to najmä pod novým vedením agentúry na boj proti korupcii. Komisia víta, že sa bulharská 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>vláda zaviazala pokračovať v tomto úsilí aj na základe využitia medzinárodných skúseností a zabezpečiť pritom transparentnosť a zodpovednosť. Tieto otázky by mali byť tiež predmetom posúdenia zo strany rady pre následné monitorovanie a východiskom pre budú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>ci dialóg s Komisiou v rámci komplexného mechanizmu právneho štátu.</w:t>
      </w:r>
    </w:p>
    <w:p w:rsidR="00452489" w:rsidRDefault="00966246">
      <w:pPr>
        <w:spacing w:before="240" w:after="120" w:line="240" w:lineRule="auto"/>
        <w:jc w:val="both"/>
        <w:rPr>
          <w:rFonts w:ascii="Times New Roman" w:hAnsi="Times New Roman"/>
          <w:b/>
          <w:noProof/>
          <w:spacing w:val="-2"/>
          <w:sz w:val="24"/>
          <w:szCs w:val="24"/>
        </w:rPr>
      </w:pPr>
      <w:r>
        <w:rPr>
          <w:rFonts w:ascii="Times New Roman" w:hAnsi="Times New Roman"/>
          <w:b/>
          <w:noProof/>
          <w:spacing w:val="-2"/>
          <w:sz w:val="24"/>
          <w:szCs w:val="24"/>
        </w:rPr>
        <w:t xml:space="preserve">3.4 </w:t>
      </w:r>
      <w:r>
        <w:rPr>
          <w:rFonts w:ascii="Times New Roman" w:hAnsi="Times New Roman"/>
          <w:b/>
          <w:noProof/>
          <w:spacing w:val="-2"/>
          <w:sz w:val="24"/>
          <w:szCs w:val="24"/>
        </w:rPr>
        <w:tab/>
        <w:t>Piate referenčné kritérium: Korupcia vo všeobecnosti vrátane miestnej úrovne a hraníc</w:t>
      </w:r>
    </w:p>
    <w:p w:rsidR="00452489" w:rsidRDefault="009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i/>
          <w:noProof/>
          <w:spacing w:val="-2"/>
          <w:sz w:val="24"/>
          <w:szCs w:val="24"/>
        </w:rPr>
      </w:pPr>
      <w:r>
        <w:rPr>
          <w:rFonts w:ascii="Times New Roman" w:hAnsi="Times New Roman"/>
          <w:b/>
          <w:i/>
          <w:noProof/>
          <w:spacing w:val="-2"/>
          <w:sz w:val="24"/>
          <w:szCs w:val="24"/>
        </w:rPr>
        <w:t>Odporúčanie č. 13: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 xml:space="preserve"> Vykonať externé preskúmanie kontrol ex ante postupov verejného obstarávania a ich následných opatrení vrátane kontrol ex post, ako aj zistených prípadov konfliktov záujmov alebo korupcie a nápravných opatrení prijatých na riešenie zistených nedostatkov.</w:t>
      </w:r>
    </w:p>
    <w:p w:rsidR="00452489" w:rsidRDefault="009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i/>
          <w:noProof/>
          <w:spacing w:val="-2"/>
          <w:sz w:val="24"/>
          <w:szCs w:val="24"/>
        </w:rPr>
      </w:pPr>
      <w:r>
        <w:rPr>
          <w:rFonts w:ascii="Times New Roman" w:hAnsi="Times New Roman"/>
          <w:b/>
          <w:i/>
          <w:noProof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i/>
          <w:noProof/>
          <w:spacing w:val="-2"/>
          <w:sz w:val="24"/>
          <w:szCs w:val="24"/>
        </w:rPr>
        <w:t>dporúčanie č. 14: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 xml:space="preserve"> Zaviesť opatrenia založené na posúdení rizika s cieľom riešiť malú korupciu vo vysoko rizikových sektoroch verejnej správy a inšpirovať sa pri tom opatreniami prijatými v tejto oblasti na ministerstve vnútra. Pokračovať v úsilí na ministe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>rstve vnútra.</w:t>
      </w:r>
    </w:p>
    <w:p w:rsidR="00452489" w:rsidRDefault="009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i/>
          <w:noProof/>
          <w:spacing w:val="-2"/>
          <w:sz w:val="24"/>
          <w:szCs w:val="24"/>
        </w:rPr>
      </w:pPr>
      <w:r>
        <w:rPr>
          <w:rFonts w:ascii="Times New Roman" w:hAnsi="Times New Roman"/>
          <w:b/>
          <w:i/>
          <w:noProof/>
          <w:spacing w:val="-2"/>
          <w:sz w:val="24"/>
          <w:szCs w:val="24"/>
        </w:rPr>
        <w:t>Odporúčanie č. 15: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 xml:space="preserve"> Vytvoriť mechanizmus pre verejné predkladanie správ o vykonávaní národnej stratégie boja proti korupcii, ktorý by pokryl zostávajúce obdobie vykonávania stratégie.</w:t>
      </w:r>
    </w:p>
    <w:p w:rsidR="00452489" w:rsidRDefault="00966246">
      <w:pPr>
        <w:spacing w:before="240" w:after="120" w:line="240" w:lineRule="auto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 xml:space="preserve">V správe z novembra 2018 sa uznal výrazný pokrok, ktorý </w:t>
      </w:r>
      <w:r>
        <w:rPr>
          <w:rFonts w:ascii="Times New Roman" w:hAnsi="Times New Roman"/>
          <w:noProof/>
          <w:spacing w:val="-2"/>
          <w:sz w:val="24"/>
          <w:szCs w:val="24"/>
        </w:rPr>
        <w:t>Bulharsko dosiahlo pri plnení troch odporúčaní v rámci piateho referenčného kritériá, no zároveň sa v nej poukázalo aj na to, že bulharské orgány budú musieť v dlhodobom horizonte prijať ďalšie následné opatrenia, aby bolo možné v tejto oblasti preukázať k</w:t>
      </w:r>
      <w:r>
        <w:rPr>
          <w:rFonts w:ascii="Times New Roman" w:hAnsi="Times New Roman"/>
          <w:noProof/>
          <w:spacing w:val="-2"/>
          <w:sz w:val="24"/>
          <w:szCs w:val="24"/>
        </w:rPr>
        <w:t>onkrétne výsledky. Bulharsko za posledný rok potvrdilo dosiahnutý pokrok a pokračovalo vo svojom úsilí.</w:t>
      </w:r>
    </w:p>
    <w:p w:rsidR="00452489" w:rsidRDefault="00966246">
      <w:pPr>
        <w:spacing w:before="240" w:after="120" w:line="240" w:lineRule="auto"/>
        <w:jc w:val="both"/>
        <w:rPr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>Verejné obstarávanie je vysokorizikovou oblasťou z hľadiska konfliktu záujmov a korupcie. Bulharsko s pomocou Medzinárodnej banky pre obnovu a rozvoj (S</w:t>
      </w:r>
      <w:r>
        <w:rPr>
          <w:rFonts w:ascii="Times New Roman" w:hAnsi="Times New Roman"/>
          <w:noProof/>
          <w:spacing w:val="-2"/>
          <w:sz w:val="24"/>
          <w:szCs w:val="24"/>
        </w:rPr>
        <w:t>vetová banka) vykonalo komplexnú revíziu svojho systému verejného obstarávania. Tento projekt bol ukončený začiatkom jari 2019 a jeho výsledkom bola séria odporúčaní, ktoré sa okrem iného týkali aj oblasti predchádzania korupcii, konfliktu záujmov a podvod</w:t>
      </w:r>
      <w:r>
        <w:rPr>
          <w:rFonts w:ascii="Times New Roman" w:hAnsi="Times New Roman"/>
          <w:noProof/>
          <w:spacing w:val="-2"/>
          <w:sz w:val="24"/>
          <w:szCs w:val="24"/>
        </w:rPr>
        <w:t>om. Podľa vyjadrenia príslušných orgánov boli v nadväznosti na tieto odporúčania už prijaté niektoré prvotné opatrenia, pričom celková revízia bude východiskom pre vypracovanie budúcej komplexnej stratégie verejného obstarávania. Širšiu oblasť verejného ob</w:t>
      </w:r>
      <w:r>
        <w:rPr>
          <w:rFonts w:ascii="Times New Roman" w:hAnsi="Times New Roman"/>
          <w:noProof/>
          <w:spacing w:val="-2"/>
          <w:sz w:val="24"/>
          <w:szCs w:val="24"/>
        </w:rPr>
        <w:t>starávania upravujú právne predpisy EÚ a bude dôležité úspešne dokončiť prebiehajúce činnosti a využiť pritom ďalšie odborné znalosti, ak sa bude v konkrétnych oblastiach vyžadovať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46"/>
      </w:r>
      <w:r>
        <w:rPr>
          <w:noProof/>
          <w:spacing w:val="-2"/>
          <w:sz w:val="24"/>
          <w:szCs w:val="24"/>
        </w:rPr>
        <w:t>.</w:t>
      </w:r>
    </w:p>
    <w:p w:rsidR="00452489" w:rsidRDefault="00966246">
      <w:pPr>
        <w:spacing w:before="240" w:after="120" w:line="240" w:lineRule="auto"/>
        <w:jc w:val="both"/>
        <w:rPr>
          <w:rFonts w:ascii="Times New Roman" w:hAnsi="Times New Roman"/>
          <w:i/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>Bulharsko zároveň pokračovalo vo vykonávaní osobitných sektorových akčnýc</w:t>
      </w:r>
      <w:r>
        <w:rPr>
          <w:rFonts w:ascii="Times New Roman" w:hAnsi="Times New Roman"/>
          <w:noProof/>
          <w:spacing w:val="-2"/>
          <w:sz w:val="24"/>
          <w:szCs w:val="24"/>
        </w:rPr>
        <w:t>h plánov, ktorých cieľom je predchádzať korupcii v štátnej správe. Nová séria sektorových plánov bola prijatá začiatkom roka 2019 v rámci ročného cyklu, ktorého monitorovanie zabezpečuje národná rada pre politiku v oblasti boja proti korupcii. Tejto rade p</w:t>
      </w:r>
      <w:r>
        <w:rPr>
          <w:rFonts w:ascii="Times New Roman" w:hAnsi="Times New Roman"/>
          <w:noProof/>
          <w:spacing w:val="-2"/>
          <w:sz w:val="24"/>
          <w:szCs w:val="24"/>
        </w:rPr>
        <w:t>redsedá národný protikorupčný koordinátor, ktorý je zároveň vysokopostaveným členom vlády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47"/>
      </w:r>
      <w:r>
        <w:rPr>
          <w:noProof/>
          <w:spacing w:val="-2"/>
          <w:sz w:val="24"/>
          <w:szCs w:val="24"/>
        </w:rPr>
        <w:t>.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Táto činnosť musí stáť v centre pozornosti všetkých vládnych ministerstiev a úradov. K zviditeľneniu tohto úsilia a jeho podpore by mohla výrazným spôsobom prispieť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rada pre následné monitorovanie. Táto nová rada bude v súčinnosti s národnou radou pre politiku v oblasti boja proti korupcii pracovať na aktualizácii súčasnej stratégie boja proti korupcii z roku 2015, v ktorej zohľadní súčasný vývoj a výzvy. V tejto súv</w:t>
      </w:r>
      <w:r>
        <w:rPr>
          <w:rFonts w:ascii="Times New Roman" w:hAnsi="Times New Roman"/>
          <w:noProof/>
          <w:spacing w:val="-2"/>
          <w:sz w:val="24"/>
          <w:szCs w:val="24"/>
        </w:rPr>
        <w:t>islosti bude dôležité, aby boli do procesu hodnotenia súčasnej stratégie, ako aj do stanovovania nových priorít pre budúcnosť v značnej miere zapojené aj zainteresované strany a občianska spoločnosť.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48"/>
      </w:r>
      <w:r>
        <w:rPr>
          <w:rFonts w:ascii="Times New Roman" w:hAnsi="Times New Roman"/>
          <w:noProof/>
          <w:spacing w:val="-2"/>
          <w:sz w:val="24"/>
          <w:szCs w:val="24"/>
        </w:rPr>
        <w:t>.</w:t>
      </w:r>
    </w:p>
    <w:p w:rsidR="00452489" w:rsidRDefault="00966246">
      <w:pPr>
        <w:spacing w:before="240" w:after="120" w:line="240" w:lineRule="auto"/>
        <w:jc w:val="both"/>
        <w:rPr>
          <w:rFonts w:ascii="Times New Roman" w:hAnsi="Times New Roman"/>
          <w:i/>
          <w:noProof/>
          <w:spacing w:val="-2"/>
          <w:sz w:val="24"/>
          <w:szCs w:val="24"/>
        </w:rPr>
      </w:pPr>
      <w:r>
        <w:rPr>
          <w:rFonts w:ascii="Times New Roman" w:hAnsi="Times New Roman"/>
          <w:i/>
          <w:noProof/>
          <w:spacing w:val="-2"/>
          <w:sz w:val="24"/>
          <w:szCs w:val="24"/>
        </w:rPr>
        <w:t>Na základe analýzy piateho referenčného kritéria sa po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>tvrdil pokrok, ktorý sa v správe z novembra 2018 uvádza v súvislosti s odporúčaniami č. 13, 14 a 15 a možno konštatovať, že tieto odporúčania boli uspokojivo splnené. Mnohým z týchto otázok je naďalej potrebné venovať pozornosť, pričom analýza výziev a zav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>edenie koherentného procesu, ktorý umožňuje na tieto výzvy priebežne reagovať, sú dobrým základom do budúcnosti. Oblasti ako je verejné obstarávanie sa sledujú aj v rámci bežného procesu presadzovania práva EÚ. Tieto otázky budú tiež predmetom posúdenia ra</w:t>
      </w:r>
      <w:r>
        <w:rPr>
          <w:rFonts w:ascii="Times New Roman" w:hAnsi="Times New Roman"/>
          <w:i/>
          <w:noProof/>
          <w:spacing w:val="-2"/>
          <w:sz w:val="24"/>
          <w:szCs w:val="24"/>
        </w:rPr>
        <w:t>dy pre následné monitorovanie a východiskom pre budúci dialóg s Komisiou v rámci komplexného mechanizmu právneho štátu.</w:t>
      </w:r>
    </w:p>
    <w:p w:rsidR="00452489" w:rsidRDefault="00452489">
      <w:pPr>
        <w:keepNext/>
        <w:spacing w:before="120" w:after="120" w:line="240" w:lineRule="auto"/>
        <w:jc w:val="both"/>
        <w:rPr>
          <w:rFonts w:ascii="Times New Roman" w:hAnsi="Times New Roman"/>
          <w:b/>
          <w:noProof/>
          <w:spacing w:val="-2"/>
          <w:sz w:val="24"/>
          <w:szCs w:val="24"/>
        </w:rPr>
      </w:pPr>
    </w:p>
    <w:p w:rsidR="00452489" w:rsidRDefault="00966246">
      <w:pPr>
        <w:keepNext/>
        <w:spacing w:before="120" w:after="120" w:line="240" w:lineRule="auto"/>
        <w:jc w:val="both"/>
        <w:rPr>
          <w:rFonts w:ascii="Times New Roman" w:hAnsi="Times New Roman"/>
          <w:b/>
          <w:noProof/>
          <w:spacing w:val="-2"/>
          <w:sz w:val="24"/>
          <w:szCs w:val="24"/>
        </w:rPr>
      </w:pPr>
      <w:r>
        <w:rPr>
          <w:rFonts w:ascii="Times New Roman" w:hAnsi="Times New Roman"/>
          <w:b/>
          <w:noProof/>
          <w:spacing w:val="-2"/>
          <w:sz w:val="24"/>
          <w:szCs w:val="24"/>
        </w:rPr>
        <w:t xml:space="preserve">4. </w:t>
      </w:r>
      <w:r>
        <w:rPr>
          <w:rFonts w:ascii="Times New Roman" w:hAnsi="Times New Roman"/>
          <w:b/>
          <w:noProof/>
          <w:spacing w:val="-2"/>
          <w:sz w:val="24"/>
          <w:szCs w:val="24"/>
        </w:rPr>
        <w:tab/>
        <w:t>ZÁVER</w:t>
      </w:r>
    </w:p>
    <w:p w:rsidR="00452489" w:rsidRDefault="00966246">
      <w:pPr>
        <w:spacing w:line="240" w:lineRule="auto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>V rozhodnutí, ktorým sa zriaďuje MSO, poukázala Komisia na značné úsilie, ktoré Bulharsko vynaložilo v snahe ukončiť prípravy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na svoje členstvo, no zároveň identifikovala pretrvávajúce problematické oblasti, v ktorých bolo potrebné urobiť ďalší pokrok, aby sa zabezpečilo, že súdny systém a orgány presadzovania práva budú schopné implementovať a uplatňovať opatrenia, ktoré boli p</w:t>
      </w:r>
      <w:r>
        <w:rPr>
          <w:rFonts w:ascii="Times New Roman" w:hAnsi="Times New Roman"/>
          <w:noProof/>
          <w:spacing w:val="-2"/>
          <w:sz w:val="24"/>
          <w:szCs w:val="24"/>
        </w:rPr>
        <w:t>rijaté na účely vytvorenia vnútorného trh a priestoru slobody, bezpečnosti a spravodlivosti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49"/>
      </w:r>
      <w:r>
        <w:rPr>
          <w:noProof/>
          <w:spacing w:val="-2"/>
          <w:sz w:val="24"/>
          <w:szCs w:val="24"/>
        </w:rPr>
        <w:t>.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K týmto problematickým oblastiam patrila aj otázka zodpovednosti a efektívnosti týchto orgánov.</w:t>
      </w:r>
    </w:p>
    <w:p w:rsidR="00452489" w:rsidRDefault="00966246">
      <w:pPr>
        <w:spacing w:line="240" w:lineRule="auto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 xml:space="preserve">To spustilo proces MSO, ktorý v roku 2017 vyústil do sedemnástich </w:t>
      </w:r>
      <w:r>
        <w:rPr>
          <w:rFonts w:ascii="Times New Roman" w:hAnsi="Times New Roman"/>
          <w:noProof/>
          <w:spacing w:val="-2"/>
          <w:sz w:val="24"/>
          <w:szCs w:val="24"/>
        </w:rPr>
        <w:t>kľúčových odporúčaní Komisie. Na vykonávaní týchto odporúčaní Bulharsko konzistentne pracovalo, na čo sa poukazuje aj v správach z novembra 2017 a novembra 2018. Bulharsko v tomto úsilí pokračovalo aj v minulom roku, pričom dosiahlo ďalší pokrok, a to aj p</w:t>
      </w:r>
      <w:r>
        <w:rPr>
          <w:rFonts w:ascii="Times New Roman" w:hAnsi="Times New Roman"/>
          <w:noProof/>
          <w:spacing w:val="-2"/>
          <w:sz w:val="24"/>
          <w:szCs w:val="24"/>
        </w:rPr>
        <w:t>ri odporúčaniach týkajúcich sa tretieho, štvrtého a piateho referenčného kritéria, ktoré po minuloročnom hodnotení zostali otvorené.</w:t>
      </w:r>
    </w:p>
    <w:p w:rsidR="00452489" w:rsidRDefault="00966246">
      <w:pPr>
        <w:spacing w:line="240" w:lineRule="auto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>V priebehu minulého roka došlo ku konsolidácii právneho a inštitucionálneho rámca, ktorý bol zavedený v predchádzajúcich ro</w:t>
      </w:r>
      <w:r>
        <w:rPr>
          <w:rFonts w:ascii="Times New Roman" w:hAnsi="Times New Roman"/>
          <w:noProof/>
          <w:spacing w:val="-2"/>
          <w:sz w:val="24"/>
          <w:szCs w:val="24"/>
        </w:rPr>
        <w:t>koch. Dlhodobé dosahovanie konkrétnych výsledkov si však bude vyžadovať pevné odhodlanie a následné kroky. V tejto súvislosti majú veľký význam opatrenia, ktoré Bulharsko prijalo na zabezpečenie systematického monitorovania tohto procesu.</w:t>
      </w:r>
    </w:p>
    <w:p w:rsidR="00452489" w:rsidRDefault="00966246">
      <w:pPr>
        <w:spacing w:line="240" w:lineRule="auto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>Okrem záväzku vyk</w:t>
      </w:r>
      <w:r>
        <w:rPr>
          <w:rFonts w:ascii="Times New Roman" w:hAnsi="Times New Roman"/>
          <w:noProof/>
          <w:spacing w:val="-2"/>
          <w:sz w:val="24"/>
          <w:szCs w:val="24"/>
        </w:rPr>
        <w:t>onať reformy v oblasti boja proti korupcii berie Komisia na vedomie aj záväzok bulharskej vlády zaviesť postupy na zabezpečenie zodpovednosti generálneho prokurátora vrátane zaručenia nezávislosti súdnictva v súlade s odporúčaniami Benátskej komisie. Bulha</w:t>
      </w:r>
      <w:r>
        <w:rPr>
          <w:rFonts w:ascii="Times New Roman" w:hAnsi="Times New Roman"/>
          <w:noProof/>
          <w:spacing w:val="-2"/>
          <w:sz w:val="24"/>
          <w:szCs w:val="24"/>
        </w:rPr>
        <w:t>rská vláda požiadala o stanovisko Benátsku komisiu, pričom sa zaviazala, že odporúčania tejto komisie splní tak, aby dodržala zásady bulharského ústavného poriadku.</w:t>
      </w:r>
    </w:p>
    <w:p w:rsidR="00452489" w:rsidRDefault="00966246">
      <w:pPr>
        <w:spacing w:line="240" w:lineRule="auto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 xml:space="preserve">Komisia zároveň berie na vedomie, že bulharské orgány sa zaviazali prijať právne predpisy, </w:t>
      </w:r>
      <w:r>
        <w:rPr>
          <w:rFonts w:ascii="Times New Roman" w:hAnsi="Times New Roman"/>
          <w:noProof/>
          <w:spacing w:val="-2"/>
          <w:sz w:val="24"/>
          <w:szCs w:val="24"/>
        </w:rPr>
        <w:t>ktorými zrušia tie ustanovenia zákona o súdnom systéme, na základe ktorých sa vyžaduje automatické pozastavenie výkonu funkcie sudcu v prípade, že sa proti nemu začne vyšetrovanie súvislosti so spáchaním trestného činu, ako aj deklarovanie členstva v profe</w:t>
      </w:r>
      <w:r>
        <w:rPr>
          <w:rFonts w:ascii="Times New Roman" w:hAnsi="Times New Roman"/>
          <w:noProof/>
          <w:spacing w:val="-2"/>
          <w:sz w:val="24"/>
          <w:szCs w:val="24"/>
        </w:rPr>
        <w:t>sijnom združení. Bulharská vláda už predložila tento legislatívny návrh do Národného zhromaždenia.</w:t>
      </w:r>
    </w:p>
    <w:p w:rsidR="00452489" w:rsidRDefault="00966246">
      <w:pPr>
        <w:spacing w:line="240" w:lineRule="auto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>Napokon berie Komisia na vedomie záväzok bulharskej vlády pokračovať v spolupráci s orgánmi Rady Európy, ktorý prijala v snahe reagovať na pretrvávajúce nedo</w:t>
      </w:r>
      <w:r>
        <w:rPr>
          <w:rFonts w:ascii="Times New Roman" w:hAnsi="Times New Roman"/>
          <w:noProof/>
          <w:spacing w:val="-2"/>
          <w:sz w:val="24"/>
          <w:szCs w:val="24"/>
        </w:rPr>
        <w:t>statky v oblasti bulharského protikorupčného rámca a účinnosti trestného vyšetrovania.</w:t>
      </w:r>
    </w:p>
    <w:p w:rsidR="00452489" w:rsidRDefault="00966246">
      <w:pPr>
        <w:spacing w:line="240" w:lineRule="auto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>Komisia sa domnieva, že Bulharsko dosiahlo v rámci MSO dostatočný pokrok na to, aby splnilo svoje záväzky, ktoré prijalo v čase pristúpenia k EÚ. Bulharsko bude musieť n</w:t>
      </w:r>
      <w:r>
        <w:rPr>
          <w:rFonts w:ascii="Times New Roman" w:hAnsi="Times New Roman"/>
          <w:noProof/>
          <w:spacing w:val="-2"/>
          <w:sz w:val="24"/>
          <w:szCs w:val="24"/>
        </w:rPr>
        <w:t>aďalej konzistentne pracovať na tom, aby sa záväzky uvedené v tejto správe premietli do konkrétnych právnych predpisov a aby sa zabezpečilo ich nepretržité vykonávanie. Monitorovanie nepretržitého vykonávania reforiem, ktoré zaviedlo Bulharsko, bude musieť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zabezpečovať rada pre následné monitorovanie a jeho výsledky budú východiskom pre budúci dialóg s Komisiou v rámci komplexného mechanizmu právneho štátu. Pred prijatím konečného rozhodnutia Komisia náležite zohľadní pripomienky Rady a Európskeho parlament</w:t>
      </w:r>
      <w:r>
        <w:rPr>
          <w:rFonts w:ascii="Times New Roman" w:hAnsi="Times New Roman"/>
          <w:noProof/>
          <w:spacing w:val="-2"/>
          <w:sz w:val="24"/>
          <w:szCs w:val="24"/>
        </w:rPr>
        <w:t>u</w:t>
      </w:r>
      <w:r>
        <w:rPr>
          <w:rStyle w:val="FootnoteReference"/>
          <w:rFonts w:ascii="Times New Roman" w:hAnsi="Times New Roman"/>
          <w:noProof/>
          <w:spacing w:val="-2"/>
          <w:sz w:val="24"/>
          <w:szCs w:val="24"/>
        </w:rPr>
        <w:footnoteReference w:id="50"/>
      </w:r>
      <w:r>
        <w:rPr>
          <w:rFonts w:ascii="Times New Roman" w:hAnsi="Times New Roman"/>
          <w:noProof/>
          <w:spacing w:val="-2"/>
          <w:sz w:val="24"/>
          <w:szCs w:val="24"/>
        </w:rPr>
        <w:t>.</w:t>
      </w:r>
    </w:p>
    <w:p w:rsidR="00452489" w:rsidRDefault="00452489">
      <w:pPr>
        <w:spacing w:line="240" w:lineRule="auto"/>
        <w:jc w:val="both"/>
        <w:rPr>
          <w:rFonts w:ascii="Times New Roman" w:hAnsi="Times New Roman"/>
          <w:noProof/>
          <w:spacing w:val="-2"/>
          <w:sz w:val="24"/>
          <w:szCs w:val="24"/>
        </w:rPr>
      </w:pPr>
    </w:p>
    <w:p w:rsidR="00452489" w:rsidRDefault="00452489">
      <w:pPr>
        <w:spacing w:line="240" w:lineRule="auto"/>
        <w:jc w:val="both"/>
        <w:rPr>
          <w:rFonts w:ascii="Times New Roman" w:hAnsi="Times New Roman"/>
          <w:noProof/>
          <w:spacing w:val="-2"/>
          <w:sz w:val="24"/>
          <w:szCs w:val="24"/>
        </w:rPr>
      </w:pPr>
    </w:p>
    <w:sectPr w:rsidR="0045248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17" w:right="1417" w:bottom="1417" w:left="1417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489" w:rsidRDefault="00966246">
      <w:pPr>
        <w:spacing w:after="0" w:line="240" w:lineRule="auto"/>
      </w:pPr>
      <w:r>
        <w:separator/>
      </w:r>
    </w:p>
  </w:endnote>
  <w:endnote w:type="continuationSeparator" w:id="0">
    <w:p w:rsidR="00452489" w:rsidRDefault="00966246">
      <w:pPr>
        <w:spacing w:after="0" w:line="240" w:lineRule="auto"/>
      </w:pPr>
      <w:r>
        <w:continuationSeparator/>
      </w:r>
    </w:p>
  </w:endnote>
  <w:endnote w:type="continuationNotice" w:id="1">
    <w:p w:rsidR="00452489" w:rsidRDefault="004524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89" w:rsidRDefault="00452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89" w:rsidRDefault="00966246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89" w:rsidRDefault="00452489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088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6246" w:rsidRDefault="009662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89" w:rsidRDefault="0045248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89" w:rsidRDefault="0096624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89" w:rsidRDefault="00452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489" w:rsidRDefault="00966246">
      <w:pPr>
        <w:spacing w:after="0" w:line="240" w:lineRule="auto"/>
      </w:pPr>
      <w:r>
        <w:separator/>
      </w:r>
    </w:p>
  </w:footnote>
  <w:footnote w:type="continuationSeparator" w:id="0">
    <w:p w:rsidR="00452489" w:rsidRDefault="00966246">
      <w:pPr>
        <w:spacing w:after="0" w:line="240" w:lineRule="auto"/>
      </w:pPr>
      <w:r>
        <w:continuationSeparator/>
      </w:r>
    </w:p>
  </w:footnote>
  <w:footnote w:type="continuationNotice" w:id="1">
    <w:p w:rsidR="00452489" w:rsidRDefault="00452489">
      <w:pPr>
        <w:spacing w:after="0" w:line="240" w:lineRule="auto"/>
      </w:pPr>
    </w:p>
  </w:footnote>
  <w:footnote w:id="2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ab/>
        <w:t xml:space="preserve">Rozhodnutie Komisie 2006/929/ES z 13. decembra 2006, ktorým sa zriaďuje mechanizmus na zaistenie spolupráce a overovania pokroku v Bulharsku na účely osobitných referenčných kritérií v oblastiach reformy </w:t>
      </w:r>
      <w:r>
        <w:rPr>
          <w:rFonts w:ascii="Times New Roman" w:hAnsi="Times New Roman"/>
        </w:rPr>
        <w:t>súdnictva a boja proti korupcii a organizovanému zločinu [C(2006) 6570]; pozri tiež závery Rady ministrov zo 17. októbra 2006 (dokument Rady 13339/06</w:t>
      </w:r>
      <w:bookmarkStart w:id="1" w:name="_GoBack"/>
      <w:bookmarkEnd w:id="1"/>
      <w:r>
        <w:rPr>
          <w:rFonts w:ascii="Times New Roman" w:hAnsi="Times New Roman"/>
        </w:rPr>
        <w:t>).</w:t>
      </w:r>
    </w:p>
  </w:footnote>
  <w:footnote w:id="3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Správa o pokroku Bulharska v rámci mechanizmu spolupráce a overovania</w:t>
      </w:r>
      <w:r>
        <w:rPr>
          <w:rFonts w:ascii="Times New Roman" w:hAnsi="Times New Roman"/>
        </w:rPr>
        <w:t xml:space="preserve">, [COM(2017) 43]. </w:t>
      </w:r>
    </w:p>
  </w:footnote>
  <w:footnote w:id="4">
    <w:p w:rsidR="00452489" w:rsidRDefault="00966246">
      <w:pPr>
        <w:pStyle w:val="FootnoteText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  <w:i/>
        </w:rPr>
        <w:t>Správa o po</w:t>
      </w:r>
      <w:r>
        <w:rPr>
          <w:rFonts w:ascii="Times New Roman" w:hAnsi="Times New Roman"/>
          <w:i/>
        </w:rPr>
        <w:t>kroku Bulharska v rámci mechanizmu spolupráce a overovania</w:t>
      </w:r>
      <w:r>
        <w:t xml:space="preserve">, </w:t>
      </w:r>
      <w:r>
        <w:rPr>
          <w:rFonts w:ascii="Times New Roman" w:hAnsi="Times New Roman"/>
        </w:rPr>
        <w:t>[COM(2017) 750].</w:t>
      </w:r>
    </w:p>
  </w:footnote>
  <w:footnote w:id="5">
    <w:p w:rsidR="00452489" w:rsidRDefault="00966246">
      <w:pPr>
        <w:pStyle w:val="FootnoteText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ab/>
        <w:t>Závery Rady o mechanizme na zaistenie spolupráce a overovania, 12. december 2017 (15587/17).</w:t>
      </w:r>
    </w:p>
  </w:footnote>
  <w:footnote w:id="6">
    <w:p w:rsidR="00452489" w:rsidRDefault="00966246">
      <w:pPr>
        <w:pStyle w:val="FootnoteText"/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Správa o dosiahnutom pokroku Bulharska v rámci mechanizmu spolupráce a overovania</w:t>
      </w:r>
      <w:r>
        <w:rPr>
          <w:rFonts w:ascii="Times New Roman" w:hAnsi="Times New Roman"/>
          <w:i/>
        </w:rPr>
        <w:t>,</w:t>
      </w:r>
      <w:r>
        <w:t xml:space="preserve"> </w:t>
      </w:r>
      <w:r>
        <w:rPr>
          <w:rFonts w:ascii="Times New Roman" w:hAnsi="Times New Roman"/>
        </w:rPr>
        <w:t>COM(2018) 850 final.</w:t>
      </w:r>
    </w:p>
  </w:footnote>
  <w:footnote w:id="7">
    <w:p w:rsidR="00452489" w:rsidRDefault="00966246">
      <w:pPr>
        <w:pStyle w:val="FootnoteText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tab/>
      </w:r>
      <w:r>
        <w:rPr>
          <w:rFonts w:ascii="Times New Roman" w:hAnsi="Times New Roman"/>
        </w:rPr>
        <w:t>Závery Rady o mechanizme spolupráce a overovania, 11. decembra 2018 (15187/18).</w:t>
      </w:r>
    </w:p>
  </w:footnote>
  <w:footnote w:id="8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ab/>
        <w:t>Tieto odhalenia vyústili do rezignácie viacerých vysokopostavených úradníkov a politikov vrátane bývalého ministra spravodlivosti, riaditeľa agentúry</w:t>
      </w:r>
      <w:r>
        <w:rPr>
          <w:rFonts w:ascii="Times New Roman" w:hAnsi="Times New Roman"/>
        </w:rPr>
        <w:t xml:space="preserve"> na boj proti korupcii a predsedu poslaneckého klubu hlavnej vládnej strany</w:t>
      </w:r>
      <w:r>
        <w:t>.</w:t>
      </w:r>
      <w:r>
        <w:rPr>
          <w:rFonts w:ascii="Times New Roman" w:hAnsi="Times New Roman"/>
        </w:rPr>
        <w:t xml:space="preserve"> </w:t>
      </w:r>
    </w:p>
  </w:footnote>
  <w:footnote w:id="9">
    <w:p w:rsidR="00452489" w:rsidRDefault="00966246">
      <w:pPr>
        <w:pStyle w:val="FootnoteText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Pozri oddiel 3.1 ďalej v texte</w:t>
      </w:r>
      <w:r>
        <w:t>.</w:t>
      </w:r>
    </w:p>
  </w:footnote>
  <w:footnote w:id="10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ab/>
        <w:t>Podľa zistení Reportérov bez hraníc dosiahli vyhrážky novinárom v súčasnosti také rozmery, že novinársku profesiu možno v Bulharsku považova</w:t>
      </w:r>
      <w:r>
        <w:rPr>
          <w:rFonts w:ascii="Times New Roman" w:hAnsi="Times New Roman"/>
        </w:rPr>
        <w:t>ť za rizikovú. V rebríčku slobody tlače, ktorý táto organizácia zostavuje, si Bulharsko v roku 2019 zachovalo svoje 111. miesto spomedzi 180 krajín sveta, čím si upevnilo pozíciu krajiny s najhoršími výsledkami v rámci Európskej únie. Situácia sa pritom od</w:t>
      </w:r>
      <w:r>
        <w:rPr>
          <w:rFonts w:ascii="Times New Roman" w:hAnsi="Times New Roman"/>
        </w:rPr>
        <w:t xml:space="preserve"> roku 2013 výrazne zhoršovala: </w:t>
      </w:r>
      <w:hyperlink r:id="rId1" w:history="1">
        <w:r>
          <w:rPr>
            <w:rStyle w:val="Hyperlink"/>
            <w:rFonts w:ascii="Times New Roman" w:hAnsi="Times New Roman"/>
          </w:rPr>
          <w:t>https://rsf.org/en/bulgaria</w:t>
        </w:r>
      </w:hyperlink>
      <w:r>
        <w:rPr>
          <w:rFonts w:ascii="Times New Roman" w:hAnsi="Times New Roman"/>
        </w:rPr>
        <w:t>. Napríklad v septembri 2019 vyvolalo nečakané prepustenie komentátora spravodajstva v štátnom rozhlase obavy o nezávislosť tejto inštitúcie od vonkajších</w:t>
      </w:r>
      <w:r>
        <w:rPr>
          <w:rFonts w:ascii="Times New Roman" w:hAnsi="Times New Roman"/>
        </w:rPr>
        <w:t xml:space="preserve"> tlakov a vyústilo do pouličných protestov a výziev na parlamentné prešetrenie. Národné zhromaždenie sa 27. septembra rozhodlo zriadiť</w:t>
      </w:r>
      <w:r>
        <w:rPr>
          <w:rFonts w:ascii="Times New Roman" w:hAnsi="Times New Roman"/>
          <w:i/>
        </w:rPr>
        <w:t xml:space="preserve"> ad-hoc</w:t>
      </w:r>
      <w:r>
        <w:rPr>
          <w:rFonts w:ascii="Times New Roman" w:hAnsi="Times New Roman"/>
        </w:rPr>
        <w:t xml:space="preserve"> komisiu na prešetrenie tohto prípadu. </w:t>
      </w:r>
    </w:p>
  </w:footnote>
  <w:footnote w:id="11">
    <w:p w:rsidR="00452489" w:rsidRDefault="00966246">
      <w:pPr>
        <w:pStyle w:val="FootnoteText"/>
        <w:spacing w:after="0" w:line="240" w:lineRule="auto"/>
        <w:ind w:left="284" w:hanging="284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Times New Roman" w:hAnsi="Times New Roman"/>
        </w:rPr>
        <w:t>Takéto otázky budú patriť do rozsahu pôsobnosti budúceho mechanizmu práv</w:t>
      </w:r>
      <w:r>
        <w:rPr>
          <w:rFonts w:ascii="Times New Roman" w:hAnsi="Times New Roman"/>
        </w:rPr>
        <w:t>neho štátu.</w:t>
      </w:r>
    </w:p>
  </w:footnote>
  <w:footnote w:id="12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Rozhodnutie odvolacieho súdu v Sofii o podmienečnom prepustení v mimoriadne medializovanom prípade zo septembra 2019 viedlo k sérii komentárov a krokov proti predsedajúcim sudcom. To vyvolalo vlnu kritiky Združenia sudcov Bulharska v súvislosti s nedostato</w:t>
      </w:r>
      <w:r>
        <w:rPr>
          <w:rFonts w:ascii="Times New Roman" w:hAnsi="Times New Roman"/>
        </w:rPr>
        <w:t xml:space="preserve">čne účinnou reakciu sudcov, ktorí sú členmi Najvyššej súdnej rady. </w:t>
      </w:r>
    </w:p>
  </w:footnote>
  <w:footnote w:id="13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hyperlink r:id="rId2" w:history="1">
        <w:r>
          <w:rPr>
            <w:rStyle w:val="Hyperlink"/>
            <w:rFonts w:ascii="Times New Roman" w:hAnsi="Times New Roman"/>
          </w:rPr>
          <w:t>https://ec.europa.eu/info/policies/justice-and-fundamental-</w:t>
        </w:r>
        <w:r>
          <w:rPr>
            <w:rStyle w:val="Hyperlink"/>
            <w:rFonts w:ascii="Times New Roman" w:hAnsi="Times New Roman"/>
          </w:rPr>
          <w:t>rights/upholding-rule-law/eu-justice-scoreboard_en</w:t>
        </w:r>
      </w:hyperlink>
      <w:r>
        <w:rPr>
          <w:rStyle w:val="Hyperlink"/>
          <w:rFonts w:ascii="Times New Roman" w:hAnsi="Times New Roman"/>
        </w:rPr>
        <w:t>.</w:t>
      </w:r>
    </w:p>
  </w:footnote>
  <w:footnote w:id="14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ab/>
      </w:r>
      <w:hyperlink r:id="rId3" w:history="1">
        <w:r>
          <w:rPr>
            <w:rStyle w:val="Hyperlink"/>
            <w:rFonts w:ascii="Times New Roman" w:hAnsi="Times New Roman"/>
          </w:rPr>
          <w:t>https://ec.europa.eu</w:t>
        </w:r>
        <w:r>
          <w:rPr>
            <w:rStyle w:val="Hyperlink"/>
            <w:rFonts w:ascii="Times New Roman" w:hAnsi="Times New Roman"/>
          </w:rPr>
          <w:t>/info/business-economy-euro/economic-and-fiscal-policy-coordination/eu-economic-governance-monitoring-prevention-correction/european-semester_en</w:t>
        </w:r>
      </w:hyperlink>
      <w:r>
        <w:rPr>
          <w:rFonts w:ascii="Times New Roman" w:hAnsi="Times New Roman"/>
        </w:rPr>
        <w:t>.</w:t>
      </w:r>
    </w:p>
  </w:footnote>
  <w:footnote w:id="15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Posilnenie právneho štátu v Únii - Koncepcia pre prijatie opatrení,</w:t>
      </w:r>
      <w:r>
        <w:t xml:space="preserve"> </w:t>
      </w:r>
      <w:r>
        <w:rPr>
          <w:rFonts w:ascii="Times New Roman" w:hAnsi="Times New Roman"/>
        </w:rPr>
        <w:t xml:space="preserve">COM(2019) 343 final. Pôjde o doplnenie </w:t>
      </w:r>
      <w:r>
        <w:rPr>
          <w:rFonts w:ascii="Times New Roman" w:hAnsi="Times New Roman"/>
        </w:rPr>
        <w:t xml:space="preserve">rámca na podporu právneho štátu z roku 2014. </w:t>
      </w:r>
    </w:p>
  </w:footnote>
  <w:footnote w:id="16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Politické usmernenia pre budúcu Komisiu (2019 – 2024) – „Ambicióznejšia Únia: Môj plán pre Európu, s. 14-15, </w:t>
      </w:r>
      <w:r>
        <w:rPr>
          <w:rFonts w:ascii="Times New Roman" w:hAnsi="Times New Roman"/>
        </w:rPr>
        <w:t xml:space="preserve">pozri </w:t>
      </w:r>
      <w:hyperlink r:id="rId4" w:history="1">
        <w:r>
          <w:rPr>
            <w:rStyle w:val="Hyperlink"/>
            <w:rFonts w:ascii="Times New Roman" w:hAnsi="Times New Roman"/>
          </w:rPr>
          <w:t>https://ec.europa.eu/commission/sites/beta-political/files/political-guidelines-next-commission_sk.pdf</w:t>
        </w:r>
      </w:hyperlink>
      <w:r>
        <w:rPr>
          <w:rFonts w:ascii="Times New Roman" w:hAnsi="Times New Roman"/>
        </w:rPr>
        <w:t xml:space="preserve">. </w:t>
      </w:r>
    </w:p>
  </w:footnote>
  <w:footnote w:id="17">
    <w:p w:rsidR="00452489" w:rsidRDefault="00966246">
      <w:pPr>
        <w:pStyle w:val="FootnoteText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ab/>
        <w:t>Pozri tretie a piate referenčné kritérium ďalej v texte.</w:t>
      </w:r>
    </w:p>
  </w:footnote>
  <w:footnote w:id="18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ab/>
        <w:t xml:space="preserve">Účasť inštitúcií mimo výkonnej moci bude dobrovoľná. </w:t>
      </w:r>
    </w:p>
  </w:footnote>
  <w:footnote w:id="19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ab/>
        <w:t>Nová</w:t>
      </w:r>
      <w:r>
        <w:rPr>
          <w:rFonts w:ascii="Times New Roman" w:hAnsi="Times New Roman"/>
        </w:rPr>
        <w:t xml:space="preserve"> štruktúra bola odsúhlasená vládou 18. septembra, pozri Rada ministrov, </w:t>
      </w:r>
      <w:r>
        <w:rPr>
          <w:rFonts w:ascii="Times New Roman" w:hAnsi="Times New Roman"/>
          <w:i/>
        </w:rPr>
        <w:t>dekrét č. 240 z 24. septembra 2019, ktorým sa zriaďuje národný mechanizmus na monitorovanie boja proti korupcii a organizovanej trestnej činnosti, reformy súdnictva a právneho štátu a </w:t>
      </w:r>
      <w:r>
        <w:rPr>
          <w:rFonts w:ascii="Times New Roman" w:hAnsi="Times New Roman"/>
          <w:i/>
        </w:rPr>
        <w:t>Rada pre koordináciu a spoluprácu</w:t>
      </w:r>
      <w:r>
        <w:rPr>
          <w:rFonts w:ascii="Times New Roman" w:hAnsi="Times New Roman"/>
        </w:rPr>
        <w:t xml:space="preserve">. </w:t>
      </w:r>
    </w:p>
  </w:footnote>
  <w:footnote w:id="20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Minister spravodlivosti bude pôsobiť ako podpredseda a ministerstvo spravodlivosti bude zabezpečovať funkciu sekretariátu. V dekréte sa zároveň uvádza, že sekretariát prevezme na seba koordinačnú úlohu vždy, keď bude </w:t>
      </w:r>
      <w:r>
        <w:rPr>
          <w:rFonts w:ascii="Times New Roman" w:hAnsi="Times New Roman"/>
        </w:rPr>
        <w:t>potrebné zaslať informácie Európskej komisii.</w:t>
      </w:r>
    </w:p>
  </w:footnote>
  <w:footnote w:id="21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ab/>
        <w:t xml:space="preserve">Jej členovia sa budú zúčastňovať na zasadnutiach rady pre následné monitorovanie v úlohe pozorovateľov a rada môže vydávať stanoviská a predkladať návrhy. </w:t>
      </w:r>
    </w:p>
  </w:footnote>
  <w:footnote w:id="22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ab/>
        <w:t>V dekréte sa výslovne uvádza, že rada bude praco</w:t>
      </w:r>
      <w:r>
        <w:rPr>
          <w:rFonts w:ascii="Times New Roman" w:hAnsi="Times New Roman"/>
        </w:rPr>
        <w:t xml:space="preserve">vať v plnom súlade so zásadou deľby moci a nezávislosti súdnictva. </w:t>
      </w:r>
    </w:p>
  </w:footnote>
  <w:footnote w:id="23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ab/>
        <w:t xml:space="preserve">V roku 2017 bola nová súdna rada zvolená na základe nových transparentnejších postupov a súdna inšpekcia začala vykonávať svoje nové právomoci v oblasti posudzovania bezúhonnosti. </w:t>
      </w:r>
    </w:p>
  </w:footnote>
  <w:footnote w:id="24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ab/>
        <w:t>K</w:t>
      </w:r>
      <w:r>
        <w:rPr>
          <w:rFonts w:ascii="Times New Roman" w:hAnsi="Times New Roman"/>
        </w:rPr>
        <w:t xml:space="preserve">onkrétne išlo o tretie referenčné kritérium týkajúce sa pokračujúcej reformy súdnictva a štvrté referenčné kritérium týkajúce sa boja proti korupcii na vysokých miestach, kde majú legislatívne opatrenia naďalej svoj význam vzhľadom na potrebu nadviazať na </w:t>
      </w:r>
      <w:r>
        <w:rPr>
          <w:rFonts w:ascii="Times New Roman" w:hAnsi="Times New Roman"/>
        </w:rPr>
        <w:t xml:space="preserve">kľúčové otázky, na ktoré poukázala Rada Európy, ako aj na nezávislú odbornú analýzu bulharskej prokuratúry. </w:t>
      </w:r>
    </w:p>
  </w:footnote>
  <w:footnote w:id="25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ab/>
        <w:t xml:space="preserve">Prezident môže kandidáta zamietnuť iba raz, nominanta však nemôže zablokovať, ak ho Najvyššia súdna rada navrhne druhýkrát. </w:t>
      </w:r>
    </w:p>
  </w:footnote>
  <w:footnote w:id="26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ab/>
        <w:t>Podľa bulharskéh</w:t>
      </w:r>
      <w:r>
        <w:rPr>
          <w:rFonts w:ascii="Times New Roman" w:hAnsi="Times New Roman"/>
        </w:rPr>
        <w:t xml:space="preserve">o práva mohli byť kandidáti navrhnutí na podnet členov komory prokurátorov súdnej rady alebo na podnet ministra spravodlivosti. Minister spravodlivosti už naznačil, že nemá v úmysle navrhnúť žiadneho kandidáta. </w:t>
      </w:r>
    </w:p>
  </w:footnote>
  <w:footnote w:id="27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ab/>
        <w:t>V tejto súvislosti usporiadali organizáci</w:t>
      </w:r>
      <w:r>
        <w:rPr>
          <w:rFonts w:ascii="Times New Roman" w:hAnsi="Times New Roman"/>
        </w:rPr>
        <w:t xml:space="preserve">e občianskej spoločnosti aj pouličné protesty. </w:t>
      </w:r>
    </w:p>
  </w:footnote>
  <w:footnote w:id="28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ab/>
        <w:t xml:space="preserve">Oddiely 3.2 a 3.3. </w:t>
      </w:r>
    </w:p>
  </w:footnote>
  <w:footnote w:id="29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Vznikli obavy, že ustanovenia zabezpečujúce automatické pozastavenie výkonu funkcie sudcu v dôsledku samotného začatia trestného vyšetrovania by mohli ohroziť nezávislosť súdnictva. Súd rozhodol, že Najvyššia súdna rada musí byť schopná posúdiť, do akej mi</w:t>
      </w:r>
      <w:r>
        <w:rPr>
          <w:rFonts w:ascii="Times New Roman" w:hAnsi="Times New Roman"/>
        </w:rPr>
        <w:t xml:space="preserve">ery je opatrenie, ktorým sa pozastavuje výkon funkcie, v konkrétnom prípade nevyhnutné a primerané. </w:t>
      </w:r>
    </w:p>
  </w:footnote>
  <w:footnote w:id="30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ab/>
        <w:t>Ďalšou dôležitou zmenou, ktorá bola v roku 2017 prijatá, sa uložila sudcom, prokurátorom a vyšetrujúcim sudcom povinnosť deklarovať svoje členstvo v pro</w:t>
      </w:r>
      <w:r>
        <w:rPr>
          <w:rFonts w:ascii="Times New Roman" w:hAnsi="Times New Roman"/>
        </w:rPr>
        <w:t xml:space="preserve">fesijnom združení pred Najvyššou súdnou radou, čo vyvolalo obavy o slobodu združovania sudcov v bulharských podmienkach. Súčasťou pozmeňujúcich návrhov, ktoré boli predložené 20. septembra, je aj zrušenie tejto požiadavky. </w:t>
      </w:r>
    </w:p>
  </w:footnote>
  <w:footnote w:id="31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ab/>
        <w:t>Pozri oddiel 2 predtým v text</w:t>
      </w:r>
      <w:r>
        <w:rPr>
          <w:rFonts w:ascii="Times New Roman" w:hAnsi="Times New Roman"/>
        </w:rPr>
        <w:t xml:space="preserve">e. </w:t>
      </w:r>
    </w:p>
  </w:footnote>
  <w:footnote w:id="32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ab/>
        <w:t>Pri vykonávaní analýzy poskytla pomoc služba Komisie na podporu štrukturálnych reforiem a zapojení do nej boli vyšší prokurátori z Nemecka, Francúzska, Holandska a Španielska. Odporúčania vyplývajúce z tejto štúdie sa stali základom pre vypracovanie</w:t>
      </w:r>
      <w:r>
        <w:rPr>
          <w:rFonts w:ascii="Times New Roman" w:hAnsi="Times New Roman"/>
        </w:rPr>
        <w:t xml:space="preserve"> plánu, ktorý bulharské orgány predložili v roku 2017. </w:t>
      </w:r>
    </w:p>
  </w:footnote>
  <w:footnote w:id="33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ab/>
        <w:t xml:space="preserve">Predbežné vyšetrovanie predchádza formálnemu predsúdnemu konaniu a jeho cieľom je posúdiť existenciu dostatočných dôkazov na začatie formálneho trestného vyšetrovania. </w:t>
      </w:r>
    </w:p>
  </w:footnote>
  <w:footnote w:id="34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ab/>
        <w:t>Rada Európy neustále moni</w:t>
      </w:r>
      <w:r>
        <w:rPr>
          <w:rFonts w:ascii="Times New Roman" w:hAnsi="Times New Roman"/>
        </w:rPr>
        <w:t>toruje následné opatrenia, ktoré boli prijaté v nadväznosti na tieto otázky, z ktorých mnohé boli zohľadnené aj v nezávislej analýze fungovania prokuratúry uvedenej vyššie. V marci 2019 vyzvala Rada Európy príslušné orgány k tomu, aby do 1. októbra 2019 pr</w:t>
      </w:r>
      <w:r>
        <w:rPr>
          <w:rFonts w:ascii="Times New Roman" w:hAnsi="Times New Roman"/>
        </w:rPr>
        <w:t>edložili informácie o konkrétnych návrhoch opatrení v uvedených troch oblastiach, ktoré sú z hľadiska presadzovania zásad právneho štátu mimoriadne dôležité, a v tejto súvislosti ich povzbudila, aby užšie spolupracovali so sekretariátom a využili odborné z</w:t>
      </w:r>
      <w:r>
        <w:rPr>
          <w:rFonts w:ascii="Times New Roman" w:hAnsi="Times New Roman"/>
        </w:rPr>
        <w:t xml:space="preserve">nalosti, ktoré sú dostupné prostredníctvom Rady Európy, a zároveň poverila svoj sekretariát, aby vypracoval návrh predbežného uznesenia, ktoré bude v decembri 2019 predmetom preskúmania v prípade, že nebude dosiahnutý žiadny hmatateľný pokrok. </w:t>
      </w:r>
      <w:hyperlink r:id="rId5" w:history="1">
        <w:r>
          <w:rPr>
            <w:rStyle w:val="Hyperlink"/>
            <w:rFonts w:ascii="Times New Roman" w:hAnsi="Times New Roman"/>
          </w:rPr>
          <w:t>https://search.coe.int/cm/Pages/result_details.aspx?ObjectID=09000016809372d5</w:t>
        </w:r>
      </w:hyperlink>
      <w:r>
        <w:rPr>
          <w:rFonts w:ascii="Times New Roman" w:hAnsi="Times New Roman"/>
        </w:rPr>
        <w:t xml:space="preserve"> </w:t>
      </w:r>
    </w:p>
  </w:footnote>
  <w:footnote w:id="35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ab/>
        <w:t xml:space="preserve">Pozmeňujúce návrhy boli predložené na zasadnutí pracovnej skupiny zriadenej na ministerstve </w:t>
      </w:r>
      <w:r>
        <w:rPr>
          <w:rFonts w:ascii="Times New Roman" w:hAnsi="Times New Roman"/>
        </w:rPr>
        <w:t xml:space="preserve">spravodlivosti, pričom toto zasadnutie bolo mimoriadne naživo vysielané cez internet a znenie týchto návrhov bolo následne zverejnené. </w:t>
      </w:r>
    </w:p>
  </w:footnote>
  <w:footnote w:id="36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ab/>
        <w:t>Na základe navrhovaného postupu by sa od Najvyššej súdnej rady vyžadovalo, aby na začatie trestného vyšetrovania prot</w:t>
      </w:r>
      <w:r>
        <w:rPr>
          <w:rFonts w:ascii="Times New Roman" w:hAnsi="Times New Roman"/>
        </w:rPr>
        <w:t>i vysoko postaveným sudcom udelila súhlas podobným spôsobom, ako je to v prípade Národného zhromaždenia, ktorého súhlas sa vyžaduje na začatie trestného konania proti členovi parlamentu. Toto rozhodnutie by prijímalo plénum rady na návrh troch členov prísl</w:t>
      </w:r>
      <w:r>
        <w:rPr>
          <w:rFonts w:ascii="Times New Roman" w:hAnsi="Times New Roman"/>
        </w:rPr>
        <w:t>ušnej komory rady (rada prokurátorov v prípade generálneho prokurátora) alebo na návrh ministra spravodlivosti. Rozhodnutie by malo za následok automatické pozastavenie výkonu funkcie, pričom vyšetrovanie by vykonávali prokurátori špecializovanej prokuratú</w:t>
      </w:r>
      <w:r>
        <w:rPr>
          <w:rFonts w:ascii="Times New Roman" w:hAnsi="Times New Roman"/>
        </w:rPr>
        <w:t xml:space="preserve">ry pre organizovanú trestnú činnosť, resp. mestskej prokuratúry v Sofii v závislosti od povahy údajného trestného činu. </w:t>
      </w:r>
    </w:p>
  </w:footnote>
  <w:footnote w:id="37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Obavy týkajúce sa nezávislosti súdnictva súviseli predovšetkým s primeranosťou plánovaného pozastavenia výkonu funkcie, ktoré by automaticky vyplývalo z rozhodnutia o začatí vyšetrovania trestného činu. Okrem toho bol vyjadrený názor, že v prípade predsedo</w:t>
      </w:r>
      <w:r>
        <w:rPr>
          <w:rFonts w:ascii="Times New Roman" w:hAnsi="Times New Roman"/>
        </w:rPr>
        <w:t xml:space="preserve">v súdov by sa nevyžadoval žiaden osobitný postup, keďže prokuratúra môže viesť nezávislé vyšetrovanie už na základe súčasného právneho rámca. </w:t>
      </w:r>
    </w:p>
  </w:footnote>
  <w:footnote w:id="38">
    <w:p w:rsidR="00452489" w:rsidRDefault="00966246">
      <w:pPr>
        <w:pStyle w:val="FootnoteText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Na tento aspekt sa poukazuje aj v stanovisku Benátskej komisie z októbra 2017 o bulharskom zákone o súdnom sys</w:t>
      </w:r>
      <w:r>
        <w:rPr>
          <w:rFonts w:ascii="Times New Roman" w:hAnsi="Times New Roman"/>
        </w:rPr>
        <w:t xml:space="preserve">téme (stanovisko č. 855/2016, s. 10). </w:t>
      </w:r>
    </w:p>
  </w:footnote>
  <w:footnote w:id="39">
    <w:p w:rsidR="00452489" w:rsidRDefault="00966246">
      <w:pPr>
        <w:pStyle w:val="FootnoteText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Európsku komisiu pre demokraciu prostredníctvom práva (Benátska komisia) je poradným orgánom Rady Európy, ktorý jej členským štátom poskytuje poradenstvo v ústavnoprávnych otázkach a v otázkach európskych noriem v </w:t>
      </w:r>
      <w:r>
        <w:rPr>
          <w:rFonts w:ascii="Times New Roman" w:hAnsi="Times New Roman"/>
        </w:rPr>
        <w:t>oblasti demokracie, ľudských práv a právneho štátu.</w:t>
      </w:r>
    </w:p>
  </w:footnote>
  <w:footnote w:id="40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Diskusia za okrúhlym stolom za účasti zástupcov orgánov, súdnych inštitúcií a expertov Rady Európy sa uskutočnila v júni 2019. </w:t>
      </w:r>
    </w:p>
  </w:footnote>
  <w:footnote w:id="41">
    <w:p w:rsidR="00452489" w:rsidRDefault="00966246">
      <w:pPr>
        <w:pStyle w:val="FootnoteText"/>
        <w:spacing w:after="0" w:line="240" w:lineRule="auto"/>
        <w:ind w:left="284" w:hanging="284"/>
        <w:jc w:val="both"/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vertAlign w:val="superscript"/>
        </w:rPr>
        <w:t xml:space="preserve"> </w:t>
      </w:r>
      <w:r>
        <w:tab/>
      </w:r>
      <w:r>
        <w:rPr>
          <w:rFonts w:ascii="Times New Roman" w:hAnsi="Times New Roman"/>
        </w:rPr>
        <w:t>V správe z roku 2018 sa uvádza, že preverovanie súkromného majetku a v</w:t>
      </w:r>
      <w:r>
        <w:rPr>
          <w:rFonts w:ascii="Times New Roman" w:hAnsi="Times New Roman"/>
        </w:rPr>
        <w:t>yhlásení o záujmoch sa vykonalo pri viac ako 9 000 osobách. Pri viac ako 700 vyhláseniach došlo k oprave alebo k prijatiu osobitných následných opatrení.</w:t>
      </w:r>
    </w:p>
  </w:footnote>
  <w:footnote w:id="42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 xml:space="preserve"> Korupcia naďalej vyvoláva v Bulharsku vážne obavy, na čo poukazujú aj rôzne prieskumy a štúdie nezáv</w:t>
      </w:r>
      <w:r>
        <w:rPr>
          <w:rFonts w:ascii="Times New Roman" w:hAnsi="Times New Roman"/>
        </w:rPr>
        <w:t>islých pozorovateľov</w:t>
      </w:r>
      <w:r>
        <w:t>.</w:t>
      </w:r>
      <w:r>
        <w:rPr>
          <w:rFonts w:ascii="Times New Roman" w:hAnsi="Times New Roman"/>
        </w:rPr>
        <w:t xml:space="preserve"> </w:t>
      </w:r>
    </w:p>
  </w:footnote>
  <w:footnote w:id="43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To si okrem dodržiavania právnych predpisov v praxi vyžaduje aj pozornú komunikáciu zo strany týchto inštitúcií, ktorá u širokej verejnosti zanechá dojem neutrality a profesionalizmu. </w:t>
      </w:r>
    </w:p>
  </w:footnote>
  <w:footnote w:id="44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ab/>
        <w:t xml:space="preserve">Skupina štátov Rady Európy proti korupcii </w:t>
      </w:r>
      <w:r>
        <w:rPr>
          <w:rFonts w:ascii="Times New Roman" w:hAnsi="Times New Roman"/>
        </w:rPr>
        <w:t>(GRECO), t. j. poradný orgán monitorujúci vykonávanie protikorupčných politík v členských štátoch Rady Európy, v súčasnosti analyzuje aspekty bulharského protikorupčného rámca v rámci štvrtého kola hodnotenia a predpokladá, že v blízkej budúcnosti začne aj</w:t>
      </w:r>
      <w:r>
        <w:rPr>
          <w:rFonts w:ascii="Times New Roman" w:hAnsi="Times New Roman"/>
        </w:rPr>
        <w:t xml:space="preserve"> s realizáciou činností v rámci piateho kola hodnotenia. Okrem toho môže Bulharsko využiť pomoc aj v rámci programu Komisie na podporu štrukturálnych reforiem. </w:t>
      </w:r>
    </w:p>
  </w:footnote>
  <w:footnote w:id="45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ab/>
        <w:t xml:space="preserve">Pokiaľ ide o radu pre následné monitorovanie, pozri oddiel 2. </w:t>
      </w:r>
    </w:p>
  </w:footnote>
  <w:footnote w:id="46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ab/>
        <w:t>Môže ísť napríklad o pomoc</w:t>
      </w:r>
      <w:r>
        <w:rPr>
          <w:rFonts w:ascii="Times New Roman" w:hAnsi="Times New Roman"/>
        </w:rPr>
        <w:t xml:space="preserve"> pri riadnom vykonávaní právnych predpisov EÚ v oblasti verejného obstarávania. </w:t>
      </w:r>
    </w:p>
  </w:footnote>
  <w:footnote w:id="47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 xml:space="preserve"> V súčasnosti plní funkciu národnej protikorupčnej koordinátorky podpredsedníčka vlády pre reformu súdnictva a ministerka zahraničných vecí. </w:t>
      </w:r>
    </w:p>
  </w:footnote>
  <w:footnote w:id="48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ab/>
        <w:t>Tak národná rada pre politiku</w:t>
      </w:r>
      <w:r>
        <w:rPr>
          <w:rFonts w:ascii="Times New Roman" w:hAnsi="Times New Roman"/>
        </w:rPr>
        <w:t xml:space="preserve"> v oblasti boja proti korupcii, ako aj nová rada pre následné monitorovanie obsahujú prvok zapojenia občianskej spoločnosti a mohli by teda pôsobiť ako sprostredkovatelia širšej spolupráce s občianskou spoločnosťou.</w:t>
      </w:r>
    </w:p>
  </w:footnote>
  <w:footnote w:id="49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Rozhodnutie Komisie z 13. decembra 20</w:t>
      </w:r>
      <w:r>
        <w:rPr>
          <w:rFonts w:ascii="Times New Roman" w:hAnsi="Times New Roman"/>
        </w:rPr>
        <w:t>06 [C(2006) 6570].</w:t>
      </w:r>
    </w:p>
  </w:footnote>
  <w:footnote w:id="50">
    <w:p w:rsidR="00452489" w:rsidRDefault="00966246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ab/>
        <w:t>K ukončeniu MSO pre Bulharska dôjde na základe rozhodnutia Komisie, ktorým sa zruší rozhodnutie Komisie 2006/929/ES z 13. decembra 2006, ktorým sa zriaďuje mechanizmus na zaistenie spolupráce a overovania pokroku v Bulharsku na účely o</w:t>
      </w:r>
      <w:r>
        <w:rPr>
          <w:rFonts w:ascii="Times New Roman" w:hAnsi="Times New Roman"/>
        </w:rPr>
        <w:t>sobitných referenčných kritérií v oblastiach reformy súdnictva a boja proti korupcii a organizovanému zločinu [C(2006) 6570].</w:t>
      </w:r>
    </w:p>
    <w:p w:rsidR="00452489" w:rsidRDefault="00452489">
      <w:pPr>
        <w:pStyle w:val="FootnoteTex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89" w:rsidRDefault="00452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89" w:rsidRDefault="00452489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89" w:rsidRDefault="00452489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89" w:rsidRDefault="0045248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89" w:rsidRDefault="0045248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89" w:rsidRDefault="00452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F21"/>
    <w:multiLevelType w:val="hybridMultilevel"/>
    <w:tmpl w:val="1D26C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3810"/>
    <w:multiLevelType w:val="hybridMultilevel"/>
    <w:tmpl w:val="F6F6C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86667"/>
    <w:multiLevelType w:val="hybridMultilevel"/>
    <w:tmpl w:val="5A947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1539"/>
    <w:multiLevelType w:val="hybridMultilevel"/>
    <w:tmpl w:val="912CE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B212A"/>
    <w:multiLevelType w:val="hybridMultilevel"/>
    <w:tmpl w:val="8A5C9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43D57"/>
    <w:multiLevelType w:val="hybridMultilevel"/>
    <w:tmpl w:val="FAF06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670FD"/>
    <w:multiLevelType w:val="hybridMultilevel"/>
    <w:tmpl w:val="BDB67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647F0"/>
    <w:multiLevelType w:val="hybridMultilevel"/>
    <w:tmpl w:val="2C088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F3493"/>
    <w:multiLevelType w:val="hybridMultilevel"/>
    <w:tmpl w:val="4A90E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B209F"/>
    <w:multiLevelType w:val="hybridMultilevel"/>
    <w:tmpl w:val="5126A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217BB"/>
    <w:multiLevelType w:val="hybridMultilevel"/>
    <w:tmpl w:val="2D6E1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23A6F"/>
    <w:multiLevelType w:val="hybridMultilevel"/>
    <w:tmpl w:val="890C1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6792D"/>
    <w:multiLevelType w:val="hybridMultilevel"/>
    <w:tmpl w:val="D2C45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2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hideSpellingErrors/>
  <w:hideGrammaticalErrors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Red"/>
    <w:docVar w:name="LW_CORRIGENDUM" w:val="&lt;UNUSED&gt;"/>
    <w:docVar w:name="LW_COVERPAGE_EXISTS" w:val="True"/>
    <w:docVar w:name="LW_COVERPAGE_GUID" w:val="4CE06F71-E065-44FF-92B5-C905E2B36DB3"/>
    <w:docVar w:name="LW_COVERPAGE_TYPE" w:val="1"/>
    <w:docVar w:name="LW_CROSSREFERENCE" w:val="{SWD(2019) 392 final}"/>
    <w:docVar w:name="LW_DocType" w:val="NORMAL"/>
    <w:docVar w:name="LW_EMISSION" w:val="22. 10. 2019"/>
    <w:docVar w:name="LW_EMISSION_ISODATE" w:val="2019-10-22"/>
    <w:docVar w:name="LW_EMISSION_LOCATION" w:val="BRX"/>
    <w:docVar w:name="LW_EMISSION_PREFIX" w:val="V Bruseli"/>
    <w:docVar w:name="LW_EMISSION_SUFFIX" w:val=" "/>
    <w:docVar w:name="LW_ID_DOCTYPE_NONLW" w:val="CP-006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49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&lt;FMT:Bold&gt;O pokroku Bulharska v rámci mechanizmu na zaistenie spolupráce a overovania&lt;/FMT&gt;_x000d__x000b_"/>
    <w:docVar w:name="LW_TYPE.DOC.CP" w:val="SPRÁVA KOMISIE EURÓPSKEMU PARLAMENTU A RADE"/>
  </w:docVars>
  <w:rsids>
    <w:rsidRoot w:val="00452489"/>
    <w:rsid w:val="00452489"/>
    <w:rsid w:val="0096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Pr>
      <w:lang w:eastAsia="en-US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Theme="minorHAnsi" w:hAnsi="Times New Roman"/>
      <w:sz w:val="24"/>
      <w:szCs w:val="22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Pr>
      <w:sz w:val="22"/>
      <w:szCs w:val="21"/>
      <w:lang w:eastAsia="en-US"/>
    </w:rPr>
  </w:style>
  <w:style w:type="character" w:customStyle="1" w:styleId="Marker">
    <w:name w:val="Marker"/>
    <w:rPr>
      <w:color w:val="0000FF"/>
      <w:shd w:val="clear" w:color="auto" w:fill="aut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Footnote">
    <w:name w:val="Footnote"/>
    <w:basedOn w:val="Normal"/>
    <w:pPr>
      <w:spacing w:before="120" w:after="120" w:line="240" w:lineRule="auto"/>
      <w:jc w:val="both"/>
    </w:pPr>
    <w:rPr>
      <w:rFonts w:ascii="Times New Roman" w:hAnsi="Times New Roman"/>
      <w:noProof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eastAsiaTheme="minorHAnsi" w:hAnsi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/>
      <w:sz w:val="2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info/business-economy-euro/economic-and-fiscal-policy-coordination/eu-economic-governance-monitoring-prevention-correction/european-semester_en" TargetMode="External"/><Relationship Id="rId2" Type="http://schemas.openxmlformats.org/officeDocument/2006/relationships/hyperlink" Target="https://ec.europa.eu/info/policies/justice-and-fundamental-rights/upholding-rule-law/eu-justice-scoreboard_en" TargetMode="External"/><Relationship Id="rId1" Type="http://schemas.openxmlformats.org/officeDocument/2006/relationships/hyperlink" Target="https://rsf.org/en/bulgaria" TargetMode="External"/><Relationship Id="rId5" Type="http://schemas.openxmlformats.org/officeDocument/2006/relationships/hyperlink" Target="https://search.coe.int/cm/Pages/result_details.aspx?ObjectID=09000016809372d5" TargetMode="External"/><Relationship Id="rId4" Type="http://schemas.openxmlformats.org/officeDocument/2006/relationships/hyperlink" Target="https://ec.europa.eu/commission/sites/beta-political/files/political-guidelines-next-commission_s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DE97-0FAE-456F-8BCB-E5AEA4BA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4668</Words>
  <Characters>32351</Characters>
  <Application>Microsoft Office Word</Application>
  <DocSecurity>0</DocSecurity>
  <Lines>455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36925</CharactersWithSpaces>
  <SharedDoc>false</SharedDoc>
  <HLinks>
    <vt:vector size="24" baseType="variant">
      <vt:variant>
        <vt:i4>7012448</vt:i4>
      </vt:variant>
      <vt:variant>
        <vt:i4>9</vt:i4>
      </vt:variant>
      <vt:variant>
        <vt:i4>0</vt:i4>
      </vt:variant>
      <vt:variant>
        <vt:i4>5</vt:i4>
      </vt:variant>
      <vt:variant>
        <vt:lpwstr>http://www.google.be/url?sa=t&amp;rct=j&amp;q=&amp;esrc=s&amp;source=web&amp;cd=1&amp;ved=0ahUKEwiHt6TFyJLKAhWDORoKHSGVDoEQFggcMAA&amp;url=http%3A%2F%2Fhudoc.echr.coe.int%2Fapp%2Fconversion%2Fpdf%2F%3Flibrary%3DECHR%26id%3D003-5027227-6176041%26filename%3D003-5027227-6176041.pdf&amp;usg=AFQjCNFjUumZwXhiQyVwaOKzSUHhIFSs2w</vt:lpwstr>
      </vt:variant>
      <vt:variant>
        <vt:lpwstr/>
      </vt:variant>
      <vt:variant>
        <vt:i4>7143538</vt:i4>
      </vt:variant>
      <vt:variant>
        <vt:i4>6</vt:i4>
      </vt:variant>
      <vt:variant>
        <vt:i4>0</vt:i4>
      </vt:variant>
      <vt:variant>
        <vt:i4>5</vt:i4>
      </vt:variant>
      <vt:variant>
        <vt:lpwstr>https://rsf.org/en/ranking</vt:lpwstr>
      </vt:variant>
      <vt:variant>
        <vt:lpwstr/>
      </vt:variant>
      <vt:variant>
        <vt:i4>851970</vt:i4>
      </vt:variant>
      <vt:variant>
        <vt:i4>3</vt:i4>
      </vt:variant>
      <vt:variant>
        <vt:i4>0</vt:i4>
      </vt:variant>
      <vt:variant>
        <vt:i4>5</vt:i4>
      </vt:variant>
      <vt:variant>
        <vt:lpwstr>http://ec.europa.eu/cvm/key_documents_en.htm</vt:lpwstr>
      </vt:variant>
      <vt:variant>
        <vt:lpwstr/>
      </vt:variant>
      <vt:variant>
        <vt:i4>589841</vt:i4>
      </vt:variant>
      <vt:variant>
        <vt:i4>0</vt:i4>
      </vt:variant>
      <vt:variant>
        <vt:i4>0</vt:i4>
      </vt:variant>
      <vt:variant>
        <vt:i4>5</vt:i4>
      </vt:variant>
      <vt:variant>
        <vt:lpwstr>http://data.consilium.europa.eu/doc/document/ST-7118-2016-INIT/en/pdf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2019-10-21T12:40:00Z</dcterms:created>
  <dcterms:modified xsi:type="dcterms:W3CDTF">2019-10-28T09:21:00Z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Red</vt:lpwstr>
  </property>
  <property fmtid="{D5CDD505-2E9C-101B-9397-08002B2CF9AE}" pid="3" name="Level of sensitivity">
    <vt:lpwstr>Standard treatment</vt:lpwstr>
  </property>
  <property fmtid="{D5CDD505-2E9C-101B-9397-08002B2CF9AE}" pid="4" name="Last edited using">
    <vt:lpwstr>LW 7.0, Build 20190717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CPTemplateID">
    <vt:lpwstr>CP-006</vt:lpwstr>
  </property>
</Properties>
</file>