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0A" w:rsidRDefault="00CF2E71">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D9529E7-4B7F-4754-8692-ABD726639C09" style="width:450.7pt;height:307.65pt">
            <v:imagedata r:id="rId8" o:title=""/>
          </v:shape>
        </w:pict>
      </w:r>
    </w:p>
    <w:bookmarkEnd w:id="0"/>
    <w:p w:rsidR="00F9290A" w:rsidRDefault="00F9290A">
      <w:pPr>
        <w:rPr>
          <w:noProof/>
        </w:rPr>
        <w:sectPr w:rsidR="00F9290A">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1"/>
          <w:cols w:space="720"/>
          <w:docGrid w:linePitch="360"/>
        </w:sectPr>
      </w:pPr>
    </w:p>
    <w:p w:rsidR="00CF2E71" w:rsidRDefault="00CF2E71">
      <w:pPr>
        <w:pStyle w:val="ListParagraph"/>
        <w:keepNext/>
        <w:numPr>
          <w:ilvl w:val="0"/>
          <w:numId w:val="12"/>
        </w:numPr>
        <w:spacing w:before="360" w:after="240" w:line="240" w:lineRule="auto"/>
        <w:ind w:left="567" w:hanging="567"/>
        <w:jc w:val="both"/>
        <w:rPr>
          <w:rFonts w:ascii="Times New Roman" w:hAnsi="Times New Roman"/>
          <w:b/>
          <w:noProof/>
          <w:sz w:val="24"/>
          <w:szCs w:val="24"/>
        </w:rPr>
        <w:sectPr w:rsidR="00CF2E7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pgNumType w:start="1"/>
          <w:cols w:space="720"/>
          <w:docGrid w:linePitch="360"/>
        </w:sectPr>
      </w:pPr>
    </w:p>
    <w:p w:rsidR="00F9290A" w:rsidRDefault="00CF2E71">
      <w:pPr>
        <w:pStyle w:val="ListParagraph"/>
        <w:keepNext/>
        <w:numPr>
          <w:ilvl w:val="0"/>
          <w:numId w:val="12"/>
        </w:numPr>
        <w:spacing w:before="360" w:after="240" w:line="240" w:lineRule="auto"/>
        <w:ind w:left="567" w:hanging="567"/>
        <w:jc w:val="both"/>
        <w:rPr>
          <w:rFonts w:ascii="Times New Roman" w:hAnsi="Times New Roman"/>
          <w:b/>
          <w:noProof/>
          <w:sz w:val="24"/>
          <w:szCs w:val="24"/>
        </w:rPr>
      </w:pPr>
      <w:r>
        <w:rPr>
          <w:rFonts w:ascii="Times New Roman" w:hAnsi="Times New Roman"/>
          <w:b/>
          <w:noProof/>
          <w:sz w:val="24"/>
          <w:szCs w:val="24"/>
        </w:rPr>
        <w:t>UVOD</w:t>
      </w:r>
    </w:p>
    <w:p w:rsidR="00F9290A" w:rsidRDefault="00CF2E71">
      <w:pPr>
        <w:pStyle w:val="Footnote"/>
      </w:pPr>
      <w:r>
        <w:t xml:space="preserve">Mehanizam suradnje i provjere (CVM) uspostavljen je nakon pristupanja Bugarske Europskoj uniji 2007. kao prijelazna mjera kojom se </w:t>
      </w:r>
      <w:r>
        <w:t>Bugarskoj olakšava nastavak reformi pravosuđa i jačanje borbe protiv korupcije i organiziranog kriminala.</w:t>
      </w:r>
      <w:r>
        <w:rPr>
          <w:sz w:val="20"/>
          <w:vertAlign w:val="superscript"/>
        </w:rPr>
        <w:footnoteReference w:id="2"/>
      </w:r>
      <w:r>
        <w:t xml:space="preserve"> CVM je izraz zajedničke namjere Bugarske i Unije da se otklone preostali nedostaci utvrđeni u vrijeme pristupanja i nastavit će se primjenjivati dok </w:t>
      </w:r>
      <w:r>
        <w:t xml:space="preserve">Komisija ne zaključi da je niz posebnih mjerila uspješno zaključen. </w:t>
      </w:r>
    </w:p>
    <w:p w:rsidR="00F9290A" w:rsidRDefault="00CF2E71">
      <w:pPr>
        <w:pStyle w:val="Footnote"/>
      </w:pPr>
      <w:r>
        <w:t>U okviru CVM-a od 2007. se radi na poticanju i praćenju procesa reformi povezanih s tim pitanjima. Komisija je u siječnju 2017. provela sveobuhvatnu ocjenu napretka koji je Bugarska ostva</w:t>
      </w:r>
      <w:r>
        <w:t>rila u desetogodišnjem razdoblju od uspostave CVM-a</w:t>
      </w:r>
      <w:r>
        <w:rPr>
          <w:sz w:val="20"/>
          <w:vertAlign w:val="superscript"/>
        </w:rPr>
        <w:footnoteReference w:id="3"/>
      </w:r>
      <w:r>
        <w:t>. Na temelju te ocjene u izvješću je jasno naznačen put prema zaključenju CVM-a, koji se temelji na sedamnaest ključnih preporuka. S obzirom na ostvareni napredak, mišljenje je Komisije da bi Bugarska pra</w:t>
      </w:r>
      <w:r>
        <w:t>ćenjem tih sedamnaest preporuka mogla u dovoljnoj mjeri ispuniti uvjet za zaključivanje CVM-a, osim ako bi razvoj događaja u međuvremenu jasno poništio postignuti napredak. Mnoge preporuke bile su usmjerene na izgradnju unutarnjih zaštitnih mehanizama koji</w:t>
      </w:r>
      <w:r>
        <w:t xml:space="preserve">ma bi se osigurala postojanost rezultata i potvrdio nastavak provedbe projekata koji su u tijeku te njihova konsolidacija, čak i bez CVM-a. </w:t>
      </w:r>
    </w:p>
    <w:p w:rsidR="00F9290A" w:rsidRDefault="00CF2E71">
      <w:pPr>
        <w:pStyle w:val="Footnote"/>
      </w:pPr>
      <w:r>
        <w:t>Komisija je otada provela dvije ocjene napretka u provedbi završnih ključnih preporuka. U izvješću iz studenoga 201</w:t>
      </w:r>
      <w:r>
        <w:t>7.</w:t>
      </w:r>
      <w:r>
        <w:rPr>
          <w:sz w:val="20"/>
          <w:vertAlign w:val="superscript"/>
        </w:rPr>
        <w:footnoteReference w:id="4"/>
      </w:r>
      <w:r>
        <w:t xml:space="preserve"> Komisija je zaključila da je postignut znatan napredak. Iako nije </w:t>
      </w:r>
      <w:r>
        <w:lastRenderedPageBreak/>
        <w:t xml:space="preserve">mogla potvrditi da je u toj fazi ijedno mjerilo uspješno zaključeno, Komisija je istaknula da bi Bugarska, uz kontinuirano političko vodstvo i odlučnost da se ubrzaju reforme, u bliskoj </w:t>
      </w:r>
      <w:r>
        <w:t>budućnosti mogla ispuniti preostale preporuke u okviru CVM-a. Vijeće je pozdravilo znatan postignuti napredak, ali i napomenulo da je potrebno učiniti još mnogo više.</w:t>
      </w:r>
      <w:r>
        <w:rPr>
          <w:rStyle w:val="FootnoteReference"/>
          <w:sz w:val="20"/>
        </w:rPr>
        <w:footnoteReference w:id="5"/>
      </w:r>
      <w:r>
        <w:rPr>
          <w:rStyle w:val="FootnoteReference"/>
          <w:sz w:val="20"/>
        </w:rPr>
        <w:t xml:space="preserve"> </w:t>
      </w:r>
    </w:p>
    <w:p w:rsidR="00F9290A" w:rsidRDefault="00CF2E71">
      <w:pPr>
        <w:pStyle w:val="Footnote"/>
      </w:pPr>
      <w:r>
        <w:t>Komisija je u studenome 2018.</w:t>
      </w:r>
      <w:r>
        <w:rPr>
          <w:sz w:val="20"/>
          <w:szCs w:val="22"/>
          <w:vertAlign w:val="superscript"/>
        </w:rPr>
        <w:footnoteReference w:id="6"/>
      </w:r>
      <w:r>
        <w:t xml:space="preserve"> pozdravila napredak prema brzom zaključenju CVM-a i zakl</w:t>
      </w:r>
      <w:r>
        <w:t>jučila da se prvo, drugo i šesto mjerilo mogu smatrati privremeno zaključenima. U pogledu preostalih triju mjerila, koja se odnose na nastavak reforme pravosuđa i borbu protiv korupcije, bili su potrebni dodatni napori kako bi se osigurala potpuna provedba</w:t>
      </w:r>
      <w:r>
        <w:t xml:space="preserve"> preporuka iz siječnja 2017. Vijeće je primilo na znanje zaključke Komisije i potaknulo Bugarsku da iskoristi pozitivan zamah za uvjerljivu i trajnu konsolidaciju ostvarenog napretka</w:t>
      </w:r>
      <w:r>
        <w:rPr>
          <w:rStyle w:val="FootnoteReference"/>
          <w:sz w:val="20"/>
        </w:rPr>
        <w:footnoteReference w:id="7"/>
      </w:r>
      <w:r>
        <w:t>.</w:t>
      </w:r>
      <w:r>
        <w:rPr>
          <w:sz w:val="20"/>
        </w:rPr>
        <w:t xml:space="preserve">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U ovom se izvješću iznosi Komisijina ocjena napretka koji je Bugarska </w:t>
      </w:r>
      <w:r>
        <w:rPr>
          <w:rFonts w:ascii="Times New Roman" w:hAnsi="Times New Roman"/>
          <w:noProof/>
          <w:sz w:val="24"/>
          <w:szCs w:val="24"/>
        </w:rPr>
        <w:t>ostvarila u okviru CVM-a od studenoga 2018. Kao i proteklih godina, ta je ocjena rezultat pomne analize koju je Komisija provela na temelju bliske suradnje s bugarskim institucijama te doprinosa civilnog društva i drugih dionika i promatrača. U ocjeni se t</w:t>
      </w:r>
      <w:r>
        <w:rPr>
          <w:rFonts w:ascii="Times New Roman" w:hAnsi="Times New Roman"/>
          <w:noProof/>
          <w:sz w:val="24"/>
          <w:szCs w:val="24"/>
        </w:rPr>
        <w:t>akođer uzima u obzir razvoj politika i sudske prakse EU-a u područjima koja su relevantna za CVM od njegove uspostave.</w:t>
      </w:r>
    </w:p>
    <w:p w:rsidR="00F9290A" w:rsidRDefault="00CF2E71">
      <w:pPr>
        <w:keepNext/>
        <w:spacing w:before="360" w:after="240" w:line="240" w:lineRule="auto"/>
        <w:ind w:left="567" w:hanging="567"/>
        <w:jc w:val="both"/>
        <w:rPr>
          <w:rFonts w:ascii="Times New Roman" w:hAnsi="Times New Roman"/>
          <w:b/>
          <w:noProof/>
          <w:sz w:val="24"/>
          <w:szCs w:val="24"/>
        </w:rPr>
      </w:pPr>
      <w:r>
        <w:rPr>
          <w:rFonts w:ascii="Times New Roman" w:hAnsi="Times New Roman"/>
          <w:b/>
          <w:noProof/>
          <w:sz w:val="24"/>
          <w:szCs w:val="24"/>
        </w:rPr>
        <w:t xml:space="preserve">2. </w:t>
      </w:r>
      <w:r>
        <w:rPr>
          <w:rFonts w:ascii="Times New Roman" w:hAnsi="Times New Roman"/>
          <w:b/>
          <w:noProof/>
          <w:sz w:val="24"/>
          <w:szCs w:val="24"/>
        </w:rPr>
        <w:tab/>
        <w:t>OPĆE STANJE</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U prijašnjim se izvješćima navodi da bi kontekstualni čimbenici, koji su izvan područja primjene CVM-a, ali su od šireg </w:t>
      </w:r>
      <w:r>
        <w:rPr>
          <w:rFonts w:ascii="Times New Roman" w:hAnsi="Times New Roman"/>
          <w:noProof/>
          <w:sz w:val="24"/>
          <w:szCs w:val="24"/>
        </w:rPr>
        <w:t>značaja za vladavinu prava, ponekad mogli negativno utjecati na napredak reformi. To su primjerice opća politička nestabilnost, nepredvidiv zakonodavni postupak i medijsko okruženje, koje je prepoznato kao razlog za ozbiljnu zabrinutost. Razdoblje od izvje</w:t>
      </w:r>
      <w:r>
        <w:rPr>
          <w:rFonts w:ascii="Times New Roman" w:hAnsi="Times New Roman"/>
          <w:noProof/>
          <w:sz w:val="24"/>
          <w:szCs w:val="24"/>
        </w:rPr>
        <w:t>šća iz studenoga 2018. u Bugarskoj obilježeno je relativnom političkom stabilnošću, iako se razvila žustra polemika oko navoda o visokim dužnosnicima i političarima koji su stekli nekretnine po cijenama nižima od tržišnih</w:t>
      </w:r>
      <w:r>
        <w:rPr>
          <w:rStyle w:val="FootnoteReference"/>
          <w:rFonts w:ascii="Times New Roman" w:hAnsi="Times New Roman"/>
          <w:noProof/>
          <w:sz w:val="24"/>
          <w:szCs w:val="24"/>
        </w:rPr>
        <w:footnoteReference w:id="8"/>
      </w:r>
      <w:r>
        <w:rPr>
          <w:noProof/>
          <w:sz w:val="24"/>
          <w:szCs w:val="24"/>
        </w:rPr>
        <w:t>.</w:t>
      </w:r>
      <w:r>
        <w:rPr>
          <w:rFonts w:ascii="Times New Roman" w:hAnsi="Times New Roman"/>
          <w:noProof/>
          <w:sz w:val="24"/>
          <w:szCs w:val="24"/>
        </w:rPr>
        <w:t xml:space="preserve">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U izvješću iz studenoga 2017. </w:t>
      </w:r>
      <w:r>
        <w:rPr>
          <w:rFonts w:ascii="Times New Roman" w:hAnsi="Times New Roman"/>
          <w:noProof/>
          <w:sz w:val="24"/>
          <w:szCs w:val="24"/>
        </w:rPr>
        <w:t>istaknuti su i problemi povezani sa zakonodavnim postupkom te se navodi primjer donošenja izmjena Zakona o pravosudnom sustavu u ljeto 2017., što je dovelo do zabrinutosti među dionicima i pokretanja postupaka pred bugarskim Ustavnim sudom</w:t>
      </w:r>
      <w:r>
        <w:rPr>
          <w:rStyle w:val="FootnoteReference"/>
          <w:noProof/>
          <w:sz w:val="24"/>
          <w:szCs w:val="24"/>
        </w:rPr>
        <w:footnoteReference w:id="9"/>
      </w:r>
      <w:r>
        <w:rPr>
          <w:noProof/>
          <w:sz w:val="24"/>
          <w:szCs w:val="24"/>
        </w:rPr>
        <w:t>.</w:t>
      </w:r>
      <w:r>
        <w:rPr>
          <w:rFonts w:ascii="Times New Roman" w:hAnsi="Times New Roman"/>
          <w:noProof/>
          <w:sz w:val="24"/>
          <w:szCs w:val="24"/>
        </w:rPr>
        <w:t xml:space="preserve"> Istaknuta je p</w:t>
      </w:r>
      <w:r>
        <w:rPr>
          <w:rFonts w:ascii="Times New Roman" w:hAnsi="Times New Roman"/>
          <w:noProof/>
          <w:sz w:val="24"/>
          <w:szCs w:val="24"/>
        </w:rPr>
        <w:t xml:space="preserve">otreba za oprezom zbog mogućeg utjecaja na neovisnost pravosuđa.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Neovisni i pluralistički mediji presudni su za demokratsku raspravu i trebali bi imati mogućnost slobodnog djelovanja bez neprimjerenog pritiska gospodarskih ili političkih interesnih skupin</w:t>
      </w:r>
      <w:r>
        <w:rPr>
          <w:rFonts w:ascii="Times New Roman" w:hAnsi="Times New Roman"/>
          <w:noProof/>
          <w:sz w:val="24"/>
          <w:szCs w:val="24"/>
        </w:rPr>
        <w:t>a</w:t>
      </w:r>
      <w:r>
        <w:rPr>
          <w:rStyle w:val="FootnoteReference"/>
          <w:rFonts w:ascii="Times New Roman" w:hAnsi="Times New Roman"/>
          <w:noProof/>
          <w:sz w:val="24"/>
          <w:szCs w:val="24"/>
        </w:rPr>
        <w:footnoteReference w:id="10"/>
      </w:r>
      <w:r>
        <w:rPr>
          <w:noProof/>
          <w:sz w:val="24"/>
          <w:szCs w:val="24"/>
        </w:rPr>
        <w:t>.</w:t>
      </w:r>
      <w:r>
        <w:rPr>
          <w:rFonts w:ascii="Times New Roman" w:hAnsi="Times New Roman"/>
          <w:noProof/>
          <w:sz w:val="24"/>
          <w:szCs w:val="24"/>
        </w:rPr>
        <w:t xml:space="preserve"> Iako medijsko okruženje nije obuhvaćeno mjerilima CVM-a</w:t>
      </w:r>
      <w:r>
        <w:rPr>
          <w:rStyle w:val="FootnoteReference"/>
          <w:rFonts w:ascii="Times New Roman" w:hAnsi="Times New Roman"/>
          <w:noProof/>
          <w:sz w:val="24"/>
          <w:szCs w:val="24"/>
        </w:rPr>
        <w:footnoteReference w:id="11"/>
      </w:r>
      <w:r>
        <w:rPr>
          <w:rFonts w:ascii="Times New Roman" w:hAnsi="Times New Roman"/>
          <w:noProof/>
          <w:sz w:val="24"/>
          <w:szCs w:val="24"/>
        </w:rPr>
        <w:t xml:space="preserve">, njegovi nedostaci i dalje utječu na pravosudni sustav. Iako u potpunosti poštuje slobodu izražavanja i ključnu ulogu medija u pozivanju vlasti na odgovornost i informiranju javnosti, Vrhovno </w:t>
      </w:r>
      <w:r>
        <w:rPr>
          <w:rFonts w:ascii="Times New Roman" w:hAnsi="Times New Roman"/>
          <w:noProof/>
          <w:sz w:val="24"/>
          <w:szCs w:val="24"/>
        </w:rPr>
        <w:lastRenderedPageBreak/>
        <w:t>sud</w:t>
      </w:r>
      <w:r>
        <w:rPr>
          <w:rFonts w:ascii="Times New Roman" w:hAnsi="Times New Roman"/>
          <w:noProof/>
          <w:sz w:val="24"/>
          <w:szCs w:val="24"/>
        </w:rPr>
        <w:t xml:space="preserve">sko vijeće ima veliku odgovornost istupati radi obrane načela neovisnosti sudstva. Snažnija politika donesena prošle godine trebala bi potaknuti mjere za rješavanje pitanja obmanjujućeg izvještavanja u medijima ili izjava političara koje utječu na ugled i </w:t>
      </w:r>
      <w:r>
        <w:rPr>
          <w:rFonts w:ascii="Times New Roman" w:hAnsi="Times New Roman"/>
          <w:noProof/>
          <w:sz w:val="24"/>
          <w:szCs w:val="24"/>
        </w:rPr>
        <w:t>vjerodostojnost cjelokupnog pravosudnog sustava. To uključuje slučajeve u kojima se prepoznaje obrazac ciljanog kritiziranja sudaca zbog sadržaja njihovih presuda, što bi moglo ugroziti neovisnost i nepristranost pravosudnog postupka</w:t>
      </w:r>
      <w:r>
        <w:rPr>
          <w:rStyle w:val="FootnoteReference"/>
          <w:rFonts w:ascii="Times New Roman" w:hAnsi="Times New Roman"/>
          <w:noProof/>
          <w:sz w:val="24"/>
          <w:szCs w:val="24"/>
        </w:rPr>
        <w:footnoteReference w:id="12"/>
      </w:r>
      <w:r>
        <w:rPr>
          <w:noProof/>
          <w:sz w:val="24"/>
          <w:szCs w:val="24"/>
        </w:rPr>
        <w:t>.</w:t>
      </w:r>
      <w:r>
        <w:rPr>
          <w:rFonts w:ascii="Times New Roman" w:hAnsi="Times New Roman"/>
          <w:noProof/>
          <w:sz w:val="24"/>
          <w:szCs w:val="24"/>
        </w:rPr>
        <w:t xml:space="preserve"> </w:t>
      </w:r>
    </w:p>
    <w:p w:rsidR="00F9290A" w:rsidRDefault="00CF2E71">
      <w:pPr>
        <w:spacing w:before="120" w:after="120" w:line="240" w:lineRule="auto"/>
        <w:jc w:val="both"/>
        <w:rPr>
          <w:rFonts w:ascii="Times New Roman" w:hAnsi="Times New Roman"/>
          <w:i/>
          <w:noProof/>
          <w:sz w:val="24"/>
          <w:szCs w:val="24"/>
        </w:rPr>
      </w:pPr>
      <w:r>
        <w:rPr>
          <w:rFonts w:ascii="Times New Roman" w:hAnsi="Times New Roman"/>
          <w:i/>
          <w:noProof/>
          <w:sz w:val="24"/>
          <w:szCs w:val="24"/>
        </w:rPr>
        <w:t>Mehanizmi potpore o</w:t>
      </w:r>
      <w:r>
        <w:rPr>
          <w:rFonts w:ascii="Times New Roman" w:hAnsi="Times New Roman"/>
          <w:i/>
          <w:noProof/>
          <w:sz w:val="24"/>
          <w:szCs w:val="24"/>
        </w:rPr>
        <w:t>drživosti vladavine prava</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Sljedeći je važan aspekt temeljnog okruženja razvoj šire infrastrukture vladavine prava na razini EU-a i na nacionalnoj razini. Riječ je o razvoju koji pruža nove alate za jačanje vladavine prava, uključujući i pitanja obuhvaćena </w:t>
      </w:r>
      <w:r>
        <w:rPr>
          <w:rFonts w:ascii="Times New Roman" w:hAnsi="Times New Roman"/>
          <w:noProof/>
          <w:sz w:val="24"/>
          <w:szCs w:val="24"/>
        </w:rPr>
        <w:t>CVM-om. Na razini EU-a nacionalni pravosudni sustavi razmotreni su u okviru Pregleda stanja u području pravosuđa u EU-u</w:t>
      </w:r>
      <w:r>
        <w:rPr>
          <w:rFonts w:ascii="Times New Roman" w:hAnsi="Times New Roman"/>
          <w:noProof/>
          <w:sz w:val="24"/>
          <w:szCs w:val="24"/>
          <w:vertAlign w:val="superscript"/>
        </w:rPr>
        <w:footnoteReference w:id="13"/>
      </w:r>
      <w:r>
        <w:rPr>
          <w:rFonts w:ascii="Times New Roman" w:hAnsi="Times New Roman"/>
          <w:noProof/>
          <w:sz w:val="24"/>
          <w:szCs w:val="24"/>
        </w:rPr>
        <w:t xml:space="preserve"> i zajedno s okvirima za borbu protiv korupcije u kontekstu europskog semestra za koordinaciju ekonomskih politika i strukturne reforme</w:t>
      </w:r>
      <w:r>
        <w:rPr>
          <w:rStyle w:val="FootnoteReference"/>
          <w:rFonts w:ascii="Times New Roman" w:hAnsi="Times New Roman"/>
          <w:noProof/>
          <w:sz w:val="24"/>
          <w:szCs w:val="24"/>
        </w:rPr>
        <w:footnoteReference w:id="14"/>
      </w:r>
      <w:r>
        <w:rPr>
          <w:noProof/>
          <w:sz w:val="24"/>
          <w:szCs w:val="24"/>
        </w:rPr>
        <w:t>.</w:t>
      </w:r>
      <w:r>
        <w:rPr>
          <w:rFonts w:ascii="Times New Roman" w:hAnsi="Times New Roman"/>
          <w:noProof/>
          <w:sz w:val="24"/>
          <w:szCs w:val="24"/>
        </w:rPr>
        <w:t xml:space="preserve"> Daljnji razvoj temeljit će se na Komunikaciji Komisije iz srpnja 2019.</w:t>
      </w:r>
      <w:r>
        <w:rPr>
          <w:rStyle w:val="FootnoteReference"/>
          <w:rFonts w:ascii="Times New Roman" w:hAnsi="Times New Roman"/>
          <w:noProof/>
          <w:sz w:val="24"/>
          <w:szCs w:val="24"/>
        </w:rPr>
        <w:footnoteReference w:id="15"/>
      </w:r>
      <w:r>
        <w:rPr>
          <w:rFonts w:ascii="Times New Roman" w:hAnsi="Times New Roman"/>
          <w:noProof/>
          <w:sz w:val="24"/>
          <w:szCs w:val="24"/>
        </w:rPr>
        <w:t xml:space="preserve"> o konkretnim mjerama za jačanje kapaciteta Unije za promicanje i poštovanje vladavine prava poticanjem zajedničke kulture vladavine prava, uspostavom ciklusa revizije vladavine prava</w:t>
      </w:r>
      <w:r>
        <w:rPr>
          <w:rFonts w:ascii="Times New Roman" w:hAnsi="Times New Roman"/>
          <w:noProof/>
          <w:sz w:val="24"/>
          <w:szCs w:val="24"/>
        </w:rPr>
        <w:t xml:space="preserve"> radi praćenja napretka u državama članicama i učinkovitog odgovora. Političke smjernice sljedeće Komisije, u kojima se izražava namjera da se uspostavi sveobuhvatni mehanizam vladavine prava s područjem primjene na razini EU-a i objektivnim izvješćivanjem</w:t>
      </w:r>
      <w:r>
        <w:rPr>
          <w:rFonts w:ascii="Times New Roman" w:hAnsi="Times New Roman"/>
          <w:noProof/>
          <w:sz w:val="24"/>
          <w:szCs w:val="24"/>
        </w:rPr>
        <w:t xml:space="preserve"> za sve države članice, u tom pogledu jamče kontinuitet</w:t>
      </w:r>
      <w:r>
        <w:rPr>
          <w:rStyle w:val="FootnoteReference"/>
          <w:rFonts w:ascii="Times New Roman" w:hAnsi="Times New Roman"/>
          <w:noProof/>
          <w:sz w:val="24"/>
          <w:szCs w:val="24"/>
        </w:rPr>
        <w:footnoteReference w:id="16"/>
      </w:r>
      <w:r>
        <w:rPr>
          <w:noProof/>
          <w:sz w:val="24"/>
          <w:szCs w:val="24"/>
        </w:rPr>
        <w:t>.</w:t>
      </w:r>
      <w:r>
        <w:rPr>
          <w:rFonts w:ascii="Times New Roman" w:hAnsi="Times New Roman"/>
          <w:noProof/>
          <w:sz w:val="24"/>
          <w:szCs w:val="24"/>
        </w:rPr>
        <w:t xml:space="preserve"> Osim mjerila CVM-a, učinkovita sudska zaštita koju osiguravaju neovisni sudovi propisana je člankom 19. stavkom 1. UEU-a i konkretan je izraz vrijednosti vladavine prava, kao što je potvrđeno u neda</w:t>
      </w:r>
      <w:r>
        <w:rPr>
          <w:rFonts w:ascii="Times New Roman" w:hAnsi="Times New Roman"/>
          <w:noProof/>
          <w:sz w:val="24"/>
          <w:szCs w:val="24"/>
        </w:rPr>
        <w:t>vnoj sudskoj praksi Suda Europske unije. Postojanje tih horizontalnih postupaka za praćenje vladavine prava, primjerice okvira za borbu protiv korupcije, u svim državama članicama i perspektiva njihova daljnjeg razvoja ističu posebnu prirodu CVM-a kao post</w:t>
      </w:r>
      <w:r>
        <w:rPr>
          <w:rFonts w:ascii="Times New Roman" w:hAnsi="Times New Roman"/>
          <w:noProof/>
          <w:sz w:val="24"/>
          <w:szCs w:val="24"/>
        </w:rPr>
        <w:t>upka praćenja koji je ograničen na određene države članice i na određena pitanja.</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Razvoj mehanizama reformi na nacionalnoj razini u središtu je preporuka iz siječnja 2017. U njima se ističe važnost razvoja mehanizama za internalizaciju praćenja na nacional</w:t>
      </w:r>
      <w:r>
        <w:rPr>
          <w:rFonts w:ascii="Times New Roman" w:hAnsi="Times New Roman"/>
          <w:noProof/>
          <w:sz w:val="24"/>
          <w:szCs w:val="24"/>
        </w:rPr>
        <w:t>noj razini i njihovo uključivanje u nacionalne postupke koji ne uključuju samo tijela, nego i civilno društvo. U skladu s tim pristupom u izvješću iz studenoga 2018. ističe se da Bugarska i u budućnosti treba ostvarivati konkretne rezultate, u okviru CVM-a</w:t>
      </w:r>
      <w:r>
        <w:rPr>
          <w:rFonts w:ascii="Times New Roman" w:hAnsi="Times New Roman"/>
          <w:noProof/>
          <w:sz w:val="24"/>
          <w:szCs w:val="24"/>
        </w:rPr>
        <w:t xml:space="preserve"> i nakon njega, te da je stalno praćenje koje provode bugarska tijela važan dio tih napora, također i nakon zaključenja CVM-a. U izvješću je posebno istaknuta važnost transparentnog izvješćivanja i javnog nadzora u naporima da nacionalno praćenje postane z</w:t>
      </w:r>
      <w:r>
        <w:rPr>
          <w:rFonts w:ascii="Times New Roman" w:hAnsi="Times New Roman"/>
          <w:noProof/>
          <w:sz w:val="24"/>
          <w:szCs w:val="24"/>
        </w:rPr>
        <w:t xml:space="preserve">aštitni mehanizam za nastavak napretka i reformi.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Bugarska je već uspostavila važne elemente takvog nacionalnog praćenja i savjetovanja s dionicima, među ostalim posebna savjetodavna vijeća u području reforme pravosuđa i borbe </w:t>
      </w:r>
      <w:r>
        <w:rPr>
          <w:rFonts w:ascii="Times New Roman" w:hAnsi="Times New Roman"/>
          <w:noProof/>
          <w:sz w:val="24"/>
          <w:szCs w:val="24"/>
        </w:rPr>
        <w:lastRenderedPageBreak/>
        <w:t>protiv korupcije</w:t>
      </w:r>
      <w:r>
        <w:rPr>
          <w:rStyle w:val="FootnoteReference"/>
          <w:rFonts w:ascii="Times New Roman" w:hAnsi="Times New Roman"/>
          <w:noProof/>
          <w:sz w:val="24"/>
          <w:szCs w:val="24"/>
        </w:rPr>
        <w:footnoteReference w:id="17"/>
      </w:r>
      <w:r>
        <w:rPr>
          <w:noProof/>
          <w:sz w:val="24"/>
          <w:szCs w:val="24"/>
        </w:rPr>
        <w:t>.</w:t>
      </w:r>
      <w:r>
        <w:rPr>
          <w:rFonts w:ascii="Times New Roman" w:hAnsi="Times New Roman"/>
          <w:noProof/>
          <w:sz w:val="24"/>
          <w:szCs w:val="24"/>
        </w:rPr>
        <w:t xml:space="preserve"> Osim toga</w:t>
      </w:r>
      <w:r>
        <w:rPr>
          <w:rFonts w:ascii="Times New Roman" w:hAnsi="Times New Roman"/>
          <w:noProof/>
          <w:sz w:val="24"/>
          <w:szCs w:val="24"/>
        </w:rPr>
        <w:t>, bugarska vlada nedavno je odlučila uspostaviti dodatni, sveobuhvatniji mehanizam nacionalnog naknadnog praćenja u okviru Vijeća za koordinaciju i suradnju („Vijeće za naknadno praćenje”)</w:t>
      </w:r>
      <w:r>
        <w:rPr>
          <w:rStyle w:val="FootnoteReference"/>
          <w:rFonts w:ascii="Times New Roman" w:hAnsi="Times New Roman"/>
          <w:noProof/>
          <w:sz w:val="24"/>
          <w:szCs w:val="24"/>
        </w:rPr>
        <w:footnoteReference w:id="18"/>
      </w:r>
      <w:r>
        <w:rPr>
          <w:noProof/>
          <w:sz w:val="24"/>
          <w:szCs w:val="24"/>
        </w:rPr>
        <w:t>.</w:t>
      </w:r>
      <w:r>
        <w:rPr>
          <w:rFonts w:ascii="Times New Roman" w:hAnsi="Times New Roman"/>
          <w:noProof/>
          <w:sz w:val="24"/>
          <w:szCs w:val="24"/>
        </w:rPr>
        <w:t xml:space="preserve"> Novo Vijeće za naknadno praćenje započet će s radom nakon završet</w:t>
      </w:r>
      <w:r>
        <w:rPr>
          <w:rFonts w:ascii="Times New Roman" w:hAnsi="Times New Roman"/>
          <w:noProof/>
          <w:sz w:val="24"/>
          <w:szCs w:val="24"/>
        </w:rPr>
        <w:t>ka CVM-a, a sastajat će se barem svaka tri mjeseca</w:t>
      </w:r>
      <w:r>
        <w:rPr>
          <w:rStyle w:val="FootnoteReference"/>
          <w:rFonts w:ascii="Times New Roman" w:hAnsi="Times New Roman"/>
          <w:noProof/>
          <w:sz w:val="24"/>
          <w:szCs w:val="24"/>
        </w:rPr>
        <w:footnoteReference w:id="19"/>
      </w:r>
      <w:r>
        <w:rPr>
          <w:noProof/>
          <w:sz w:val="24"/>
          <w:szCs w:val="24"/>
        </w:rPr>
        <w:t>.</w:t>
      </w:r>
      <w:r>
        <w:rPr>
          <w:rFonts w:ascii="Times New Roman" w:hAnsi="Times New Roman"/>
          <w:noProof/>
          <w:sz w:val="24"/>
          <w:szCs w:val="24"/>
        </w:rPr>
        <w:t xml:space="preserve"> Vijećem bi supredsjedali potpredsjednica vlade nadležna za reformu pravosuđa i predstavnik Vrhovnog sudskog vijeća</w:t>
      </w:r>
      <w:r>
        <w:rPr>
          <w:rStyle w:val="FootnoteReference"/>
          <w:rFonts w:ascii="Times New Roman" w:hAnsi="Times New Roman"/>
          <w:noProof/>
          <w:sz w:val="24"/>
          <w:szCs w:val="24"/>
        </w:rPr>
        <w:footnoteReference w:id="20"/>
      </w:r>
      <w:r>
        <w:rPr>
          <w:noProof/>
          <w:sz w:val="24"/>
          <w:szCs w:val="24"/>
        </w:rPr>
        <w:t>.</w:t>
      </w:r>
      <w:r>
        <w:rPr>
          <w:rFonts w:ascii="Times New Roman" w:hAnsi="Times New Roman"/>
          <w:noProof/>
          <w:sz w:val="24"/>
          <w:szCs w:val="24"/>
        </w:rPr>
        <w:t xml:space="preserve"> Bit će odgovorno za nadzor nad daljnjim napretkom reformi te će nakon svakog sastanka </w:t>
      </w:r>
      <w:r>
        <w:rPr>
          <w:rFonts w:ascii="Times New Roman" w:hAnsi="Times New Roman"/>
          <w:noProof/>
          <w:sz w:val="24"/>
          <w:szCs w:val="24"/>
        </w:rPr>
        <w:t>objaviti izvješće, kao i godišnje izvješće za vladu i Vrhovno sudsko vijeće. Dobivat će informacije od širokog kruga relevantnih institucija, a uključivat će i vijeće građana s predstavnicima civilnog društva i pravosudnim strukovnim udrugama</w:t>
      </w:r>
      <w:r>
        <w:rPr>
          <w:rStyle w:val="FootnoteReference"/>
          <w:rFonts w:ascii="Times New Roman" w:hAnsi="Times New Roman"/>
          <w:noProof/>
          <w:sz w:val="24"/>
          <w:szCs w:val="24"/>
        </w:rPr>
        <w:footnoteReference w:id="21"/>
      </w:r>
      <w:r>
        <w:rPr>
          <w:noProof/>
          <w:sz w:val="24"/>
          <w:szCs w:val="24"/>
        </w:rPr>
        <w:t>.</w:t>
      </w:r>
      <w:r>
        <w:rPr>
          <w:rFonts w:ascii="Times New Roman" w:hAnsi="Times New Roman"/>
          <w:noProof/>
          <w:sz w:val="24"/>
          <w:szCs w:val="24"/>
        </w:rPr>
        <w:t xml:space="preserve">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 xml:space="preserve">Vijeće za </w:t>
      </w:r>
      <w:r>
        <w:rPr>
          <w:rFonts w:ascii="Times New Roman" w:hAnsi="Times New Roman"/>
          <w:noProof/>
          <w:sz w:val="24"/>
          <w:szCs w:val="24"/>
        </w:rPr>
        <w:t>naknadno praćenje trebalo bi pratiti i koordinirati politike u području reforme pravosuđa i borbe protiv korupcije i organiziranog kriminala. Vijeće bi trebalo tijelima vlasti i dionicima pružiti sveobuhvatan okvir za ocjenu napretka na transparentan način</w:t>
      </w:r>
      <w:r>
        <w:rPr>
          <w:rFonts w:ascii="Times New Roman" w:hAnsi="Times New Roman"/>
          <w:noProof/>
          <w:sz w:val="24"/>
          <w:szCs w:val="24"/>
        </w:rPr>
        <w:t xml:space="preserve"> te usmjeravati pozornost na preostale izazove. Vijeće bi moglo doprinijeti i pozivanju nadležnih tijela na odgovornost tamo gdje je to potrebno i primjereno</w:t>
      </w:r>
      <w:r>
        <w:rPr>
          <w:rStyle w:val="FootnoteReference"/>
          <w:rFonts w:ascii="Times New Roman" w:hAnsi="Times New Roman"/>
          <w:noProof/>
          <w:sz w:val="24"/>
          <w:szCs w:val="24"/>
        </w:rPr>
        <w:footnoteReference w:id="22"/>
      </w:r>
      <w:r>
        <w:rPr>
          <w:noProof/>
          <w:sz w:val="24"/>
          <w:szCs w:val="24"/>
        </w:rPr>
        <w:t>.</w:t>
      </w:r>
      <w:r>
        <w:rPr>
          <w:rFonts w:ascii="Times New Roman" w:hAnsi="Times New Roman"/>
          <w:noProof/>
          <w:sz w:val="24"/>
          <w:szCs w:val="24"/>
        </w:rPr>
        <w:t xml:space="preserve"> Bugarska tijela obvezala su se na razini vlade da će vijeću osigurati posebnu ulogu kako bi ono </w:t>
      </w:r>
      <w:r>
        <w:rPr>
          <w:rFonts w:ascii="Times New Roman" w:hAnsi="Times New Roman"/>
          <w:noProof/>
          <w:sz w:val="24"/>
          <w:szCs w:val="24"/>
        </w:rPr>
        <w:t xml:space="preserve">učinkovito pratilo provedbu reformi i rezultate u borbi protiv korupcije i organiziranog kriminala te sudjelovalo u budućoj koordinaciji politika. </w:t>
      </w:r>
    </w:p>
    <w:p w:rsidR="00F9290A" w:rsidRDefault="00CF2E71">
      <w:pPr>
        <w:spacing w:before="120" w:after="120" w:line="240" w:lineRule="auto"/>
        <w:jc w:val="both"/>
        <w:rPr>
          <w:rFonts w:ascii="Times New Roman" w:hAnsi="Times New Roman"/>
          <w:noProof/>
          <w:sz w:val="24"/>
          <w:szCs w:val="24"/>
        </w:rPr>
      </w:pPr>
      <w:r>
        <w:rPr>
          <w:rFonts w:ascii="Times New Roman" w:hAnsi="Times New Roman"/>
          <w:noProof/>
          <w:sz w:val="24"/>
          <w:szCs w:val="24"/>
        </w:rPr>
        <w:t>Komisija pozdravlja tu obvezu bugarskih vlasti da i nakon zaključenja CVM-a zadrže zamah reformi, potpuno tr</w:t>
      </w:r>
      <w:r>
        <w:rPr>
          <w:rFonts w:ascii="Times New Roman" w:hAnsi="Times New Roman"/>
          <w:noProof/>
          <w:sz w:val="24"/>
          <w:szCs w:val="24"/>
        </w:rPr>
        <w:t xml:space="preserve">ansparentno i uz sudjelovanje civilnog društva. Vijeće za naknadno praćenje trebalo bi biti važan sugovornik koji može pružiti doprinos razvoju dijaloga o vladavini prava na razini EU-a i o budućem sveobuhvatnom mehanizmu vladavine prava. </w:t>
      </w:r>
    </w:p>
    <w:p w:rsidR="00F9290A" w:rsidRDefault="00CF2E71">
      <w:pPr>
        <w:keepNext/>
        <w:spacing w:before="360" w:after="240" w:line="240" w:lineRule="auto"/>
        <w:ind w:left="567" w:hanging="567"/>
        <w:jc w:val="both"/>
        <w:rPr>
          <w:rFonts w:ascii="Times New Roman" w:hAnsi="Times New Roman"/>
          <w:b/>
          <w:noProof/>
          <w:sz w:val="24"/>
          <w:szCs w:val="24"/>
        </w:rPr>
      </w:pPr>
      <w:r>
        <w:rPr>
          <w:rFonts w:ascii="Times New Roman" w:hAnsi="Times New Roman"/>
          <w:b/>
          <w:noProof/>
        </w:rPr>
        <w:t>3.</w:t>
      </w:r>
      <w:r>
        <w:rPr>
          <w:rFonts w:ascii="Times New Roman" w:hAnsi="Times New Roman"/>
          <w:b/>
          <w:noProof/>
        </w:rPr>
        <w:tab/>
      </w:r>
      <w:r>
        <w:rPr>
          <w:rFonts w:ascii="Times New Roman" w:hAnsi="Times New Roman"/>
          <w:b/>
          <w:noProof/>
          <w:sz w:val="24"/>
          <w:szCs w:val="24"/>
        </w:rPr>
        <w:t xml:space="preserve">OCJENA NAPRETKA U ISPUNJAVANJU MJERILA CVM-a NA TEMELJU PREPORUKA UTVRĐENIH U IZVJEŠĆU U OKVIRU CVM-a IZ SIJEČNJA 2017. </w:t>
      </w:r>
    </w:p>
    <w:p w:rsidR="00F9290A" w:rsidRDefault="00CF2E71">
      <w:pPr>
        <w:keepNext/>
        <w:spacing w:before="120" w:after="120" w:line="240" w:lineRule="auto"/>
        <w:jc w:val="both"/>
        <w:rPr>
          <w:rFonts w:ascii="Times New Roman" w:hAnsi="Times New Roman"/>
          <w:b/>
          <w:noProof/>
          <w:sz w:val="24"/>
          <w:szCs w:val="24"/>
        </w:rPr>
      </w:pPr>
      <w:r>
        <w:rPr>
          <w:rFonts w:ascii="Times New Roman" w:hAnsi="Times New Roman"/>
          <w:b/>
          <w:noProof/>
          <w:sz w:val="24"/>
          <w:szCs w:val="24"/>
        </w:rPr>
        <w:t xml:space="preserve">3.1. </w:t>
      </w:r>
      <w:r>
        <w:rPr>
          <w:rFonts w:ascii="Times New Roman" w:hAnsi="Times New Roman"/>
          <w:b/>
          <w:noProof/>
          <w:sz w:val="24"/>
          <w:szCs w:val="24"/>
        </w:rPr>
        <w:tab/>
        <w:t>Mjerila koja su privremeno zaključena u izvješću iz studenoga 2018. (prvo, drugo i šesto)</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Prvo mjerilo: neovisnost pravosuđa</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w:t>
      </w:r>
      <w:r>
        <w:rPr>
          <w:rFonts w:ascii="Times New Roman" w:hAnsi="Times New Roman"/>
          <w:b/>
          <w:i/>
          <w:noProof/>
          <w:sz w:val="24"/>
          <w:szCs w:val="24"/>
        </w:rPr>
        <w:t xml:space="preserve">oruka br. 1: </w:t>
      </w:r>
      <w:r>
        <w:rPr>
          <w:rFonts w:ascii="Times New Roman" w:hAnsi="Times New Roman"/>
          <w:i/>
          <w:noProof/>
          <w:sz w:val="24"/>
          <w:szCs w:val="24"/>
        </w:rPr>
        <w:t>Osigurati transparentnost izbora za buduće Vrhovno sudsko vijeće, uz javna saslušanja u Nacionalnoj skupštini prije izbora članova parlamentarne kvote te uz pružanje mogućnosti da civilno društvo komentira kandidate.</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2:</w:t>
      </w:r>
      <w:r>
        <w:rPr>
          <w:rFonts w:ascii="Times New Roman" w:hAnsi="Times New Roman"/>
          <w:i/>
          <w:noProof/>
          <w:sz w:val="24"/>
          <w:szCs w:val="24"/>
        </w:rPr>
        <w:t xml:space="preserve"> Ostvariti</w:t>
      </w:r>
      <w:r>
        <w:rPr>
          <w:rFonts w:ascii="Times New Roman" w:hAnsi="Times New Roman"/>
          <w:i/>
          <w:noProof/>
          <w:sz w:val="24"/>
          <w:szCs w:val="24"/>
        </w:rPr>
        <w:t xml:space="preserve"> rezultate u pogledu transparentnosti imenovanja sudaca na visokoj razini koja se temelje na kvalitetama kandidata, uključujući skoro imenovanje novog predsjednika Vrhovnog upravnog suda.</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lastRenderedPageBreak/>
        <w:t>Preporuka br. 3:</w:t>
      </w:r>
      <w:r>
        <w:rPr>
          <w:rFonts w:ascii="Times New Roman" w:hAnsi="Times New Roman"/>
          <w:i/>
          <w:noProof/>
          <w:sz w:val="24"/>
          <w:szCs w:val="24"/>
        </w:rPr>
        <w:t xml:space="preserve"> Poboljšati praktično funkcioniranje Pravosudne insp</w:t>
      </w:r>
      <w:r>
        <w:rPr>
          <w:rFonts w:ascii="Times New Roman" w:hAnsi="Times New Roman"/>
          <w:i/>
          <w:noProof/>
          <w:sz w:val="24"/>
          <w:szCs w:val="24"/>
        </w:rPr>
        <w:t>ekcije i djelovanje Vrhovnog sudskog vijeća u pogledu nalaza Inspekcije, posebno u pitanjima integriteta, te razmotriti traženje vanjske pomoći, primjerice Službe za potporu strukturnim reformama i/ili Vijeća Europe.</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Italic" w:hAnsi="Times New Roman Italic"/>
          <w:b/>
          <w:noProof/>
          <w:sz w:val="24"/>
          <w:szCs w:val="24"/>
        </w:rPr>
      </w:pPr>
      <w:r>
        <w:rPr>
          <w:rFonts w:ascii="Times New Roman" w:hAnsi="Times New Roman"/>
          <w:b/>
          <w:noProof/>
          <w:sz w:val="24"/>
          <w:szCs w:val="24"/>
        </w:rPr>
        <w:t>Drugo mjerilo: pravni okvir</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Italic" w:hAnsi="Times New Roman Italic"/>
          <w:i/>
          <w:noProof/>
          <w:sz w:val="24"/>
          <w:szCs w:val="24"/>
        </w:rPr>
      </w:pPr>
      <w:r>
        <w:rPr>
          <w:rFonts w:ascii="Times New Roman Italic" w:hAnsi="Times New Roman Italic"/>
          <w:b/>
          <w:i/>
          <w:noProof/>
          <w:sz w:val="24"/>
          <w:szCs w:val="24"/>
        </w:rPr>
        <w:t>Preporuka b</w:t>
      </w:r>
      <w:r>
        <w:rPr>
          <w:rFonts w:ascii="Times New Roman Italic" w:hAnsi="Times New Roman Italic"/>
          <w:b/>
          <w:i/>
          <w:noProof/>
          <w:sz w:val="24"/>
          <w:szCs w:val="24"/>
        </w:rPr>
        <w:t>r. 4:</w:t>
      </w:r>
      <w:r>
        <w:rPr>
          <w:rFonts w:ascii="Times New Roman Italic" w:hAnsi="Times New Roman Italic"/>
          <w:i/>
          <w:noProof/>
          <w:sz w:val="24"/>
          <w:szCs w:val="24"/>
        </w:rPr>
        <w:t xml:space="preserve"> Donijeti izmjene zakona o kaznenom postupku i kaznenog zakona radi poboljšanja pravnog okvira u pogledu kaznenog progona korupcije na visokoj razini i teškog organiziranoga kriminala.</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noProof/>
          <w:sz w:val="24"/>
          <w:szCs w:val="24"/>
        </w:rPr>
        <w:t>Šesto mjerilo: organizirani kriminal</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16:</w:t>
      </w:r>
      <w:r>
        <w:rPr>
          <w:rFonts w:ascii="Times New Roman" w:hAnsi="Times New Roman"/>
          <w:i/>
          <w:noProof/>
          <w:sz w:val="24"/>
          <w:szCs w:val="24"/>
        </w:rPr>
        <w:t xml:space="preserve"> Uspostaviti mehanizam izvješćivanja javnosti o napretku u pogledu javno poznatih slučajeva organiziranoga kriminala na visokoj razini. Državno odvjetništvo treba izvješćivati o istragama i optužnicama, poštujući pretpostavku nedužnosti. Vrhovni kasacijski</w:t>
      </w:r>
      <w:r>
        <w:rPr>
          <w:rFonts w:ascii="Times New Roman" w:hAnsi="Times New Roman"/>
          <w:i/>
          <w:noProof/>
          <w:sz w:val="24"/>
          <w:szCs w:val="24"/>
        </w:rPr>
        <w:t xml:space="preserve"> sud i Ministarstvo pravosuđa trebaju izvješćivati o presudama i njihovu izvršenju.</w:t>
      </w:r>
    </w:p>
    <w:p w:rsidR="00F9290A" w:rsidRDefault="00CF2E71">
      <w:pPr>
        <w:pBdr>
          <w:top w:val="single" w:sz="4" w:space="0" w:color="auto"/>
          <w:left w:val="single" w:sz="4" w:space="4" w:color="auto"/>
          <w:bottom w:val="single" w:sz="4" w:space="1" w:color="auto"/>
          <w:right w:val="single" w:sz="4" w:space="4" w:color="auto"/>
        </w:pBdr>
        <w:spacing w:after="120" w:line="240" w:lineRule="auto"/>
        <w:jc w:val="both"/>
        <w:rPr>
          <w:rFonts w:ascii="Times New Roman" w:hAnsi="Times New Roman"/>
          <w:b/>
          <w:noProof/>
          <w:sz w:val="24"/>
          <w:szCs w:val="24"/>
        </w:rPr>
      </w:pPr>
      <w:r>
        <w:rPr>
          <w:rFonts w:ascii="Times New Roman" w:hAnsi="Times New Roman"/>
          <w:b/>
          <w:i/>
          <w:noProof/>
          <w:sz w:val="24"/>
          <w:szCs w:val="24"/>
        </w:rPr>
        <w:t xml:space="preserve">Preporuka br. 17: </w:t>
      </w:r>
      <w:r>
        <w:rPr>
          <w:rFonts w:ascii="Times New Roman" w:hAnsi="Times New Roman"/>
          <w:i/>
          <w:noProof/>
          <w:sz w:val="24"/>
          <w:szCs w:val="24"/>
        </w:rPr>
        <w:t xml:space="preserve">Donijeti potrebne izmjene zakona o oduzimanju imovine stečene na nezakonit način i osigurati neovisan i djelotvoran rad Komisije za oduzimanje nezakonito </w:t>
      </w:r>
      <w:r>
        <w:rPr>
          <w:rFonts w:ascii="Times New Roman" w:hAnsi="Times New Roman"/>
          <w:i/>
          <w:noProof/>
          <w:sz w:val="24"/>
          <w:szCs w:val="24"/>
        </w:rPr>
        <w:t>stečene imovine.</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Taj odjeljak obuhvaća tri mjerila koja su privremeno zaključena u studenome 2018. Odnose se na reformu ustavnog i zakonodavnog okvira te na borbu protiv organiziranog kriminala radi uklanjanja nedostataka specifičnih za Bugarsku u trenutku</w:t>
      </w:r>
      <w:r>
        <w:rPr>
          <w:rFonts w:ascii="Times New Roman" w:hAnsi="Times New Roman"/>
          <w:noProof/>
          <w:sz w:val="24"/>
          <w:szCs w:val="24"/>
        </w:rPr>
        <w:t xml:space="preserve"> njezina pristupanja Europskoj uniji. Privremeno zaključenje znači da je Komisija zaključila da su provedenim strukturnim i zakonodavnim promjenama na zadovoljavajući način ispunjeni zahtjevi CVM-a te se nastavlja praćenje provedbe.</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U prošlim je izvješćima</w:t>
      </w:r>
      <w:r>
        <w:rPr>
          <w:rFonts w:ascii="Times New Roman" w:hAnsi="Times New Roman"/>
          <w:noProof/>
          <w:sz w:val="24"/>
          <w:szCs w:val="24"/>
        </w:rPr>
        <w:t xml:space="preserve"> zabilježen napredak koji je Bugarska ostvarila od pristupanja u izmjenama ustavnog i zakonodavnog okvira radi jačanja zaštitnih mehanizama za neovisnost pravosuđa te transparentnosti i učinkovitosti pravosudnog postupka. Među nedavnim poboljšanjima amandm</w:t>
      </w:r>
      <w:r>
        <w:rPr>
          <w:rFonts w:ascii="Times New Roman" w:hAnsi="Times New Roman"/>
          <w:noProof/>
          <w:sz w:val="24"/>
          <w:szCs w:val="24"/>
        </w:rPr>
        <w:t>ani na ustav iz 2015. doveli su do reforme Vrhovnog sudskog vijeća i jačanja pravosudne inspekcije. Te su izmjene već godinama na snazi i dovele su do transparentnijeg i odgovornijeg postupka u području imenovanja sudaca i integriteta dužnosnika</w:t>
      </w:r>
      <w:r>
        <w:rPr>
          <w:rStyle w:val="FootnoteReference"/>
          <w:rFonts w:ascii="Times New Roman" w:hAnsi="Times New Roman"/>
          <w:noProof/>
          <w:sz w:val="24"/>
          <w:szCs w:val="24"/>
        </w:rPr>
        <w:footnoteReference w:id="23"/>
      </w:r>
      <w:r>
        <w:rPr>
          <w:noProof/>
          <w:sz w:val="24"/>
          <w:szCs w:val="24"/>
        </w:rPr>
        <w:t>.</w:t>
      </w:r>
      <w:r>
        <w:rPr>
          <w:rFonts w:ascii="Times New Roman" w:hAnsi="Times New Roman"/>
          <w:noProof/>
          <w:sz w:val="24"/>
          <w:szCs w:val="24"/>
        </w:rPr>
        <w:t xml:space="preserve"> Stoga je u izvješću iz studenoga 2018. zaključeno da se dva mjerila koja se odnose na ustavni i pravni okvir mogu smatrati privremeno zaključenima. Imenovanja sudaca i rad pravosudne inspekcije područja su trajnog praćenja, a određeni aspekti pravnog okru</w:t>
      </w:r>
      <w:r>
        <w:rPr>
          <w:rFonts w:ascii="Times New Roman" w:hAnsi="Times New Roman"/>
          <w:noProof/>
          <w:sz w:val="24"/>
          <w:szCs w:val="24"/>
        </w:rPr>
        <w:t>ženja ostali su otvoreni za daljnje razmatranje u kontekstu drugih mjerila</w:t>
      </w:r>
      <w:r>
        <w:rPr>
          <w:rStyle w:val="FootnoteReference"/>
          <w:rFonts w:ascii="Times New Roman" w:hAnsi="Times New Roman"/>
          <w:noProof/>
          <w:sz w:val="24"/>
          <w:szCs w:val="24"/>
        </w:rPr>
        <w:footnoteReference w:id="24"/>
      </w:r>
      <w:r>
        <w:rPr>
          <w:noProof/>
          <w:sz w:val="24"/>
          <w:szCs w:val="24"/>
        </w:rPr>
        <w:t>.</w:t>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Od studenoga 2018. Vrhovno sudsko vijeće nastavilo je izvršavati svoje dužnosti u pogledu imenovanja sudaca. U određenim je slučajevima došlo do kašnjenja zbog toga što Vrhovno s</w:t>
      </w:r>
      <w:r>
        <w:rPr>
          <w:rFonts w:ascii="Times New Roman" w:hAnsi="Times New Roman"/>
          <w:noProof/>
          <w:sz w:val="24"/>
          <w:szCs w:val="24"/>
        </w:rPr>
        <w:t>udsko vijeće nije uspjelo postići konsenzus, primjerice u vezi s imenovanjima na određena ključna radna mjesta u uredu državnog odvjetnika. Iznimno je bitno da se ta imenovanja provode transparentno i na temelju zasluga te da se potencijalne kandidate poti</w:t>
      </w:r>
      <w:r>
        <w:rPr>
          <w:rFonts w:ascii="Times New Roman" w:hAnsi="Times New Roman"/>
          <w:noProof/>
          <w:sz w:val="24"/>
          <w:szCs w:val="24"/>
        </w:rPr>
        <w:t xml:space="preserve">če na prijavljivanje, a svim kandidatima jamči da će biti ocijenjeni isključivo na temelju njihovih zasluga.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lastRenderedPageBreak/>
        <w:t>Jedno od važnih skorih imenovanja jest imenovanje državnog odvjetnika jer sadašnjem glavnom državnom odvjetniku mandat istječe u siječnju 2020. Vr</w:t>
      </w:r>
      <w:r>
        <w:rPr>
          <w:rFonts w:ascii="Times New Roman" w:hAnsi="Times New Roman"/>
          <w:noProof/>
          <w:sz w:val="24"/>
          <w:szCs w:val="24"/>
        </w:rPr>
        <w:t>hovno sudsko vijeće pokrenulo je postupak u lipnju te se očekuje da će njegova nasljednika imenovati 24. listopada 2019., kojeg zatim mora potvrditi predsjednik Republike</w:t>
      </w:r>
      <w:r>
        <w:rPr>
          <w:rStyle w:val="FootnoteReference"/>
          <w:rFonts w:ascii="Times New Roman" w:hAnsi="Times New Roman"/>
          <w:noProof/>
          <w:sz w:val="24"/>
          <w:szCs w:val="24"/>
        </w:rPr>
        <w:footnoteReference w:id="25"/>
      </w:r>
      <w:r>
        <w:rPr>
          <w:noProof/>
          <w:sz w:val="24"/>
          <w:szCs w:val="24"/>
        </w:rPr>
        <w:t>.</w:t>
      </w:r>
      <w:r>
        <w:rPr>
          <w:rFonts w:ascii="Times New Roman" w:hAnsi="Times New Roman"/>
          <w:noProof/>
          <w:sz w:val="24"/>
          <w:szCs w:val="24"/>
        </w:rPr>
        <w:t xml:space="preserve"> U srpnju 2019. članovi tužiteljske komore Vrhovnog sudskog vijeća jednoglasno su po</w:t>
      </w:r>
      <w:r>
        <w:rPr>
          <w:rFonts w:ascii="Times New Roman" w:hAnsi="Times New Roman"/>
          <w:noProof/>
          <w:sz w:val="24"/>
          <w:szCs w:val="24"/>
        </w:rPr>
        <w:t>držali jednog kandidata</w:t>
      </w:r>
      <w:r>
        <w:rPr>
          <w:rStyle w:val="FootnoteReference"/>
          <w:rFonts w:ascii="Times New Roman" w:hAnsi="Times New Roman"/>
          <w:noProof/>
          <w:sz w:val="24"/>
          <w:szCs w:val="24"/>
        </w:rPr>
        <w:footnoteReference w:id="26"/>
      </w:r>
      <w:r>
        <w:rPr>
          <w:noProof/>
          <w:sz w:val="24"/>
          <w:szCs w:val="24"/>
        </w:rPr>
        <w:t>.</w:t>
      </w:r>
      <w:r>
        <w:rPr>
          <w:rFonts w:ascii="Times New Roman" w:hAnsi="Times New Roman"/>
          <w:noProof/>
          <w:sz w:val="24"/>
          <w:szCs w:val="24"/>
        </w:rPr>
        <w:t xml:space="preserve"> Taj je kandidat predstavio popis svojih prioriteta za sedmogodišnji mandat u pisanom obliku. Postupkom je predviđeno i saslušanje prije imenovanja, na kojem se mogu postavljati pitanja i iznijeti bojazni civilnog društva i drugih </w:t>
      </w:r>
      <w:r>
        <w:rPr>
          <w:rFonts w:ascii="Times New Roman" w:hAnsi="Times New Roman"/>
          <w:noProof/>
          <w:sz w:val="24"/>
          <w:szCs w:val="24"/>
        </w:rPr>
        <w:t>dionika. Proteklih tjedana u medijima se održala opsežna rasprava, a neki dionici izrazili su zabrinutost u vezi s postupkom i kandidatom</w:t>
      </w:r>
      <w:r>
        <w:rPr>
          <w:rStyle w:val="FootnoteReference"/>
          <w:rFonts w:ascii="Times New Roman" w:hAnsi="Times New Roman"/>
          <w:noProof/>
          <w:sz w:val="24"/>
          <w:szCs w:val="24"/>
        </w:rPr>
        <w:footnoteReference w:id="27"/>
      </w:r>
      <w:r>
        <w:rPr>
          <w:noProof/>
          <w:sz w:val="24"/>
          <w:szCs w:val="24"/>
        </w:rPr>
        <w:t>.</w:t>
      </w:r>
      <w:r>
        <w:rPr>
          <w:rFonts w:ascii="Times New Roman" w:hAnsi="Times New Roman"/>
          <w:noProof/>
          <w:sz w:val="24"/>
          <w:szCs w:val="24"/>
        </w:rPr>
        <w:t xml:space="preserve"> Vrhovno sudsko vijeće trebat će osigurati transparentan postupak i pokazati da su problemi koji izazivaju zabrinutos</w:t>
      </w:r>
      <w:r>
        <w:rPr>
          <w:rFonts w:ascii="Times New Roman" w:hAnsi="Times New Roman"/>
          <w:noProof/>
          <w:sz w:val="24"/>
          <w:szCs w:val="24"/>
        </w:rPr>
        <w:t>t riješeni te su uzeti u obzir pri donošenju odluke.</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Osim reforme Vrhovnog sudskog vijeća, drugi bitan element ustavnih izmjena iz 2015. bilo je jačanje uloge pravosudne inspekcije pri provjeri integriteta sudaca. Nakon preporuke iz izvješća iz siječnja 20</w:t>
      </w:r>
      <w:r>
        <w:rPr>
          <w:rFonts w:ascii="Times New Roman" w:hAnsi="Times New Roman"/>
          <w:noProof/>
          <w:sz w:val="24"/>
          <w:szCs w:val="24"/>
        </w:rPr>
        <w:t>17. bugarska tijela zatražila su pomoć Komisijine Službe za potporu strukturnim reformama i taj je projekt službeno pokrenut u srpnju 2019., uz sudjelovanje Vijeća Europe i međunarodnih stručnjaka. Cilj je projekta revizija metoda rada pravosudne inspekcij</w:t>
      </w:r>
      <w:r>
        <w:rPr>
          <w:rFonts w:ascii="Times New Roman" w:hAnsi="Times New Roman"/>
          <w:noProof/>
          <w:sz w:val="24"/>
          <w:szCs w:val="24"/>
        </w:rPr>
        <w:t xml:space="preserve">e i pomoć pri usvajanju najboljih praksi drugih država članica. Očekuje se da će biti dovršen u proljeće 2020.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Tijekom godina provedene su brojne reforme šireg zakonodavnog okvira. U nedavnim izvješćima o CVM-u ističu se pozitivni učinci izmjena Zakona o </w:t>
      </w:r>
      <w:r>
        <w:rPr>
          <w:rFonts w:ascii="Times New Roman" w:hAnsi="Times New Roman"/>
          <w:noProof/>
          <w:sz w:val="24"/>
          <w:szCs w:val="24"/>
        </w:rPr>
        <w:t>pravosudnom sustavu iz 2016. i Zakona o kaznenom postupku iz 2017. U izvješću iz studenoga 2018. navodi se da se neki ključni aspekti zakonodavnog okvira i dalje razmatraju. Riječ je konkretno o pitanjima koja se odnose na učinkovitost kaznene istrage, ukl</w:t>
      </w:r>
      <w:r>
        <w:rPr>
          <w:rFonts w:ascii="Times New Roman" w:hAnsi="Times New Roman"/>
          <w:noProof/>
          <w:sz w:val="24"/>
          <w:szCs w:val="24"/>
        </w:rPr>
        <w:t>jučujući i učinkovitost glavnog državnog odvjetnika tijekom njegova mandata. Ta su pitanja usko povezana s praćenjem provedbe preporuka iz trećeg i četvrtog mjerila (vidjeti u nastavku)</w:t>
      </w:r>
      <w:r>
        <w:rPr>
          <w:rStyle w:val="FootnoteReference"/>
          <w:rFonts w:ascii="Times New Roman" w:hAnsi="Times New Roman"/>
          <w:noProof/>
          <w:sz w:val="24"/>
          <w:szCs w:val="24"/>
        </w:rPr>
        <w:footnoteReference w:id="28"/>
      </w:r>
      <w:r>
        <w:rPr>
          <w:noProof/>
          <w:sz w:val="24"/>
          <w:szCs w:val="24"/>
        </w:rPr>
        <w:t>.</w:t>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U zasebnom je postupku Ustavni sud u veljači 2019. presudio da odre</w:t>
      </w:r>
      <w:r>
        <w:rPr>
          <w:rFonts w:ascii="Times New Roman" w:hAnsi="Times New Roman"/>
          <w:noProof/>
          <w:sz w:val="24"/>
          <w:szCs w:val="24"/>
        </w:rPr>
        <w:t>dbe umetnute 2017. u članak 230. Zakona o pravosudnom sustavu, kojima se propisuje automatska suspenzija sudaca u slučaju da se protiv njih pokrene kaznena istraga, nisu u skladu s bugarskim Ustavom</w:t>
      </w:r>
      <w:r>
        <w:rPr>
          <w:rStyle w:val="FootnoteReference"/>
          <w:rFonts w:ascii="Times New Roman" w:hAnsi="Times New Roman"/>
          <w:noProof/>
          <w:sz w:val="24"/>
          <w:szCs w:val="24"/>
        </w:rPr>
        <w:footnoteReference w:id="29"/>
      </w:r>
      <w:r>
        <w:rPr>
          <w:noProof/>
          <w:sz w:val="24"/>
          <w:szCs w:val="24"/>
        </w:rPr>
        <w:t>.</w:t>
      </w:r>
      <w:r>
        <w:rPr>
          <w:rFonts w:ascii="Times New Roman" w:hAnsi="Times New Roman"/>
          <w:noProof/>
          <w:sz w:val="24"/>
          <w:szCs w:val="24"/>
        </w:rPr>
        <w:t xml:space="preserve"> Vlada je 20. rujna 2019. podnijela nacrt izmjena u koji</w:t>
      </w:r>
      <w:r>
        <w:rPr>
          <w:rFonts w:ascii="Times New Roman" w:hAnsi="Times New Roman"/>
          <w:noProof/>
          <w:sz w:val="24"/>
          <w:szCs w:val="24"/>
        </w:rPr>
        <w:t>ma se te odredbe stavljaju izvan snage kako bi se zakon uskladio s Ustavom i obvezala se da će se zalagati za njegovo brzo donošenje u Nacionalnoj skupštini</w:t>
      </w:r>
      <w:r>
        <w:rPr>
          <w:rStyle w:val="FootnoteReference"/>
          <w:rFonts w:ascii="Times New Roman" w:hAnsi="Times New Roman"/>
          <w:noProof/>
          <w:sz w:val="24"/>
          <w:szCs w:val="24"/>
        </w:rPr>
        <w:footnoteReference w:id="30"/>
      </w:r>
      <w:r>
        <w:rPr>
          <w:noProof/>
          <w:sz w:val="24"/>
          <w:szCs w:val="24"/>
        </w:rPr>
        <w:t>.</w:t>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Naposljetku, u izvješću iz studenoga 2018. privremeno je zaključeno i šesto mjerilo koje se odno</w:t>
      </w:r>
      <w:r>
        <w:rPr>
          <w:rFonts w:ascii="Times New Roman" w:hAnsi="Times New Roman"/>
          <w:noProof/>
          <w:sz w:val="24"/>
          <w:szCs w:val="24"/>
        </w:rPr>
        <w:t xml:space="preserve">si na borbu protiv organiziranog kriminala, što odražava pozitivne pomake u institucionalnom okruženju i ostvarivanje rezultata tijekom godina, unatoč složenom okruženju. Od studenoga 2018. nisu se pojavila nova relevantna pitanja. </w:t>
      </w:r>
    </w:p>
    <w:p w:rsidR="00F9290A" w:rsidRDefault="00CF2E71">
      <w:pPr>
        <w:spacing w:before="240" w:after="120" w:line="240" w:lineRule="auto"/>
        <w:jc w:val="both"/>
        <w:rPr>
          <w:rFonts w:ascii="Times New Roman" w:hAnsi="Times New Roman"/>
          <w:i/>
          <w:noProof/>
          <w:sz w:val="24"/>
          <w:szCs w:val="24"/>
        </w:rPr>
      </w:pPr>
      <w:r>
        <w:rPr>
          <w:rFonts w:ascii="Times New Roman" w:hAnsi="Times New Roman"/>
          <w:i/>
          <w:noProof/>
          <w:sz w:val="24"/>
          <w:szCs w:val="24"/>
        </w:rPr>
        <w:t>Analiza napretka ostvar</w:t>
      </w:r>
      <w:r>
        <w:rPr>
          <w:rFonts w:ascii="Times New Roman" w:hAnsi="Times New Roman"/>
          <w:i/>
          <w:noProof/>
          <w:sz w:val="24"/>
          <w:szCs w:val="24"/>
        </w:rPr>
        <w:t xml:space="preserve">enog tijekom prošle godine potvrdila je zaključke iz studenoga 2018. što je dovelo do privremenog zatvaranja tih mjerila. Iako će bugarske vlasti trebati stalno posvećivati pozornost i relevantnim tekućim pitanjima, preporuke iz siječnja 2017. uspješno su </w:t>
      </w:r>
      <w:r>
        <w:rPr>
          <w:rFonts w:ascii="Times New Roman" w:hAnsi="Times New Roman"/>
          <w:i/>
          <w:noProof/>
          <w:sz w:val="24"/>
          <w:szCs w:val="24"/>
        </w:rPr>
        <w:t xml:space="preserve">ispunjene. </w:t>
      </w:r>
    </w:p>
    <w:p w:rsidR="00F9290A" w:rsidRDefault="00CF2E71">
      <w:pPr>
        <w:keepNext/>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3.2. </w:t>
      </w:r>
      <w:r>
        <w:rPr>
          <w:rFonts w:ascii="Times New Roman" w:hAnsi="Times New Roman"/>
          <w:b/>
          <w:noProof/>
          <w:sz w:val="24"/>
          <w:szCs w:val="24"/>
        </w:rPr>
        <w:tab/>
        <w:t>Treće mjerilo: nastavak reforme pravosuđa</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5.:</w:t>
      </w:r>
      <w:r>
        <w:rPr>
          <w:rFonts w:ascii="Times New Roman" w:hAnsi="Times New Roman"/>
          <w:i/>
          <w:noProof/>
          <w:sz w:val="24"/>
          <w:szCs w:val="24"/>
        </w:rPr>
        <w:t xml:space="preserve"> Objaviti izvješće radi javnog savjetovanja u kojem se navodi napredak postignut u provedbi nacionalne strategije reforme pravosuđa te se određuju preostale mjere koje treba poduz</w:t>
      </w:r>
      <w:r>
        <w:rPr>
          <w:rFonts w:ascii="Times New Roman" w:hAnsi="Times New Roman"/>
          <w:i/>
          <w:noProof/>
          <w:sz w:val="24"/>
          <w:szCs w:val="24"/>
        </w:rPr>
        <w:t>eti. Uspostaviti mehanizam trajnog izvješćivanja javnosti o napretku za preostalo razdoblje provedbe strategije.</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6.:</w:t>
      </w:r>
      <w:r>
        <w:rPr>
          <w:rFonts w:ascii="Times New Roman" w:hAnsi="Times New Roman"/>
          <w:i/>
          <w:noProof/>
          <w:sz w:val="24"/>
          <w:szCs w:val="24"/>
        </w:rPr>
        <w:t xml:space="preserve"> Riješiti problem radnog opterećenja na najopterećenijim sudovima u okviru novih standarda o radnom opterećenju te utvrditi pl</w:t>
      </w:r>
      <w:r>
        <w:rPr>
          <w:rFonts w:ascii="Times New Roman" w:hAnsi="Times New Roman"/>
          <w:i/>
          <w:noProof/>
          <w:sz w:val="24"/>
          <w:szCs w:val="24"/>
        </w:rPr>
        <w:t>an za reformu pravosudne karte usporedo s razvojem e-pravosuđa.</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7.:</w:t>
      </w:r>
      <w:r>
        <w:rPr>
          <w:rFonts w:ascii="Times New Roman" w:hAnsi="Times New Roman"/>
          <w:i/>
          <w:noProof/>
          <w:sz w:val="24"/>
          <w:szCs w:val="24"/>
        </w:rPr>
        <w:t xml:space="preserve"> Izraditi plan za provedbu preporuka iz izvješća Službe za potporu strukturnim reformama u pogledu reforme Ureda državnog odvjetnika i suradnje s drugim institucijama, uključu</w:t>
      </w:r>
      <w:r>
        <w:rPr>
          <w:rFonts w:ascii="Times New Roman" w:hAnsi="Times New Roman"/>
          <w:i/>
          <w:noProof/>
          <w:sz w:val="24"/>
          <w:szCs w:val="24"/>
        </w:rPr>
        <w:t>jući mehanizam obavješćivanja šire javnosti o postignutom napretku.</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8.:</w:t>
      </w:r>
      <w:r>
        <w:rPr>
          <w:rFonts w:ascii="Times New Roman" w:hAnsi="Times New Roman"/>
          <w:i/>
          <w:noProof/>
          <w:sz w:val="24"/>
          <w:szCs w:val="24"/>
        </w:rPr>
        <w:t xml:space="preserve"> Izraditi plan za provedbu preporuka iz studije o presudama Europskog suda za ljudska prava, uključujući mehanizam obavješćivanja šire javnosti o postignutom napretku.</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U izvješću iz studenoga 2018. navodi se znatan napredak u pogledu četiriju preporuka povezanih s nastavkom reforme pravosuđa. Međutim, važni događaji još su bili u tijeku ili su zahtijevali stalno praćenje kako bi se potvrdila ocjena napretka.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Vlada je od</w:t>
      </w:r>
      <w:r>
        <w:rPr>
          <w:rFonts w:ascii="Times New Roman" w:hAnsi="Times New Roman"/>
          <w:noProof/>
          <w:sz w:val="24"/>
          <w:szCs w:val="24"/>
        </w:rPr>
        <w:t xml:space="preserve"> 2017. uspostavila redovan ciklus praćenja i izvješćivanja o napretku u provedbi strategije reforme pravosuđa. Važnu ulogu u tome ima savjetodavno vijeće za nastavak reforme pravosuđa, osnovano 2016. pod pokroviteljstvom Ministarstva pravosuđa. Tim se post</w:t>
      </w:r>
      <w:r>
        <w:rPr>
          <w:rFonts w:ascii="Times New Roman" w:hAnsi="Times New Roman"/>
          <w:noProof/>
          <w:sz w:val="24"/>
          <w:szCs w:val="24"/>
        </w:rPr>
        <w:t>upcima osigurava okvir za suradnju s dionicima u vezi sa zakonodavnim predmetima koji su u tijeku, a mogli bi se iskoristiti i u pripremi budućih ažuriranja strategije reforme pravosuđa. Buduće Vijeće za naknadno praćenje također bi imalo ključnu ulogu u p</w:t>
      </w:r>
      <w:r>
        <w:rPr>
          <w:rFonts w:ascii="Times New Roman" w:hAnsi="Times New Roman"/>
          <w:noProof/>
          <w:sz w:val="24"/>
          <w:szCs w:val="24"/>
        </w:rPr>
        <w:t>raćenju napretka nakon završetka CVM-a.</w:t>
      </w:r>
      <w:r>
        <w:rPr>
          <w:rStyle w:val="FootnoteReference"/>
          <w:rFonts w:ascii="Times New Roman" w:hAnsi="Times New Roman"/>
          <w:noProof/>
          <w:sz w:val="24"/>
          <w:szCs w:val="24"/>
        </w:rPr>
        <w:t xml:space="preserve"> </w:t>
      </w:r>
      <w:r>
        <w:rPr>
          <w:rStyle w:val="FootnoteReference"/>
          <w:rFonts w:ascii="Times New Roman" w:hAnsi="Times New Roman"/>
          <w:noProof/>
          <w:sz w:val="24"/>
          <w:szCs w:val="24"/>
        </w:rPr>
        <w:footnoteReference w:id="31"/>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Jedan od važnih izazova koji će podrazumijevati kontinuirana nastojanja u nadolazećim godinama jest poboljšanje učinkovitosti i dostupnosti pravosuđa uvođenjem e-pravosuđa i uravnoteženog upravljanja radnim optere</w:t>
      </w:r>
      <w:r>
        <w:rPr>
          <w:rFonts w:ascii="Times New Roman" w:hAnsi="Times New Roman"/>
          <w:noProof/>
          <w:sz w:val="24"/>
          <w:szCs w:val="24"/>
        </w:rPr>
        <w:t xml:space="preserve">ćenjem u cijelom pravosudnom sustavu. Iako je sveobuhvatna reforma tijekom godina nekoliko puta odgađana, od 2017. Vrhovno sudsko vijeće poduzelo je važne korake za rješavanje tih problema s pomoću raznih mjera, a ulažu se i dodatni napori u tom smislu.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J</w:t>
      </w:r>
      <w:r>
        <w:rPr>
          <w:rFonts w:ascii="Times New Roman" w:hAnsi="Times New Roman"/>
          <w:noProof/>
          <w:sz w:val="24"/>
          <w:szCs w:val="24"/>
        </w:rPr>
        <w:t>oš jedan važan izazov koji iziskuje stalnu pozornost jest funkcioniranje cjelokupnog sustava istraga i kaznenog progona korupcije na visokoj razini. Tijekom godina ostvaren je značajan napredak. Nedavno je (2016.) u prilog tim nastojanjima provedena neovis</w:t>
      </w:r>
      <w:r>
        <w:rPr>
          <w:rFonts w:ascii="Times New Roman" w:hAnsi="Times New Roman"/>
          <w:noProof/>
          <w:sz w:val="24"/>
          <w:szCs w:val="24"/>
        </w:rPr>
        <w:t>na analiza funkcioniranja Ureda državnog odvjetnika</w:t>
      </w:r>
      <w:r>
        <w:rPr>
          <w:rStyle w:val="FootnoteReference"/>
          <w:rFonts w:ascii="Times New Roman" w:hAnsi="Times New Roman"/>
          <w:noProof/>
          <w:sz w:val="24"/>
          <w:szCs w:val="24"/>
        </w:rPr>
        <w:footnoteReference w:id="32"/>
      </w:r>
      <w:r>
        <w:rPr>
          <w:rFonts w:ascii="Times New Roman" w:hAnsi="Times New Roman"/>
          <w:noProof/>
          <w:sz w:val="24"/>
          <w:szCs w:val="24"/>
        </w:rPr>
        <w:t xml:space="preserve"> i analiza sudske prakse Europskog suda za ljudska prava, s naglaskom na pitanjima koja je Sud 2016. proglasio sustavnim problemom neučinkovitih kaznenih istraga u Bugarskoj. To je dovelo do niza važnih m</w:t>
      </w:r>
      <w:r>
        <w:rPr>
          <w:rFonts w:ascii="Times New Roman" w:hAnsi="Times New Roman"/>
          <w:noProof/>
          <w:sz w:val="24"/>
          <w:szCs w:val="24"/>
        </w:rPr>
        <w:t>jera navedenih u prethodnim izvješćima u okviru CVM-a. Neke su od ključnih točaka koje se još razmatraju postupak pokretanja kaznenih istraga, uključujući ulogu preliminarnih istraga</w:t>
      </w:r>
      <w:r>
        <w:rPr>
          <w:rStyle w:val="FootnoteReference"/>
          <w:rFonts w:ascii="Times New Roman" w:hAnsi="Times New Roman"/>
          <w:noProof/>
          <w:sz w:val="24"/>
          <w:szCs w:val="24"/>
        </w:rPr>
        <w:footnoteReference w:id="33"/>
      </w:r>
      <w:r>
        <w:rPr>
          <w:rFonts w:ascii="Times New Roman" w:hAnsi="Times New Roman"/>
          <w:noProof/>
          <w:sz w:val="24"/>
          <w:szCs w:val="24"/>
        </w:rPr>
        <w:t>, i moguća potreba sudskog preispitivanja odluka državnog odvjetništva da</w:t>
      </w:r>
      <w:r>
        <w:rPr>
          <w:rFonts w:ascii="Times New Roman" w:hAnsi="Times New Roman"/>
          <w:noProof/>
          <w:sz w:val="24"/>
          <w:szCs w:val="24"/>
        </w:rPr>
        <w:t xml:space="preserve"> se ne pokrene istraga.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Posebno osjetljivo pitanje odnosi se na uspostavu postupaka kojima se osigurava neovisnost u svim fazama istrage u vezi s optužbama za kazneno djelo koje je navodno počinio glavni državni odvjetnik za vrijeme obavljanja dužnosti</w:t>
      </w:r>
      <w:r>
        <w:rPr>
          <w:rStyle w:val="FootnoteReference"/>
          <w:rFonts w:ascii="Times New Roman" w:hAnsi="Times New Roman"/>
          <w:noProof/>
          <w:sz w:val="24"/>
          <w:szCs w:val="24"/>
        </w:rPr>
        <w:footnoteReference w:id="34"/>
      </w:r>
      <w:r>
        <w:rPr>
          <w:noProof/>
          <w:sz w:val="24"/>
          <w:szCs w:val="24"/>
        </w:rPr>
        <w:t>.</w:t>
      </w:r>
      <w:r>
        <w:rPr>
          <w:rFonts w:ascii="Times New Roman" w:hAnsi="Times New Roman"/>
          <w:noProof/>
          <w:sz w:val="24"/>
          <w:szCs w:val="24"/>
        </w:rPr>
        <w:t xml:space="preserve"> </w:t>
      </w:r>
      <w:r>
        <w:rPr>
          <w:rFonts w:ascii="Times New Roman" w:hAnsi="Times New Roman"/>
          <w:noProof/>
          <w:sz w:val="24"/>
          <w:szCs w:val="24"/>
        </w:rPr>
        <w:t>U lipnju je ministar pravosuđa predstavio nacrt izmjena Zakona o kaznenom postupku i Zakona o pravosudnom sustavu kao temelj za javnu raspravu s dionicima o mogućem prijedlogu vlade o uspostavi mehanizma za pokretanje kaznenog postupka protiv glavnog držav</w:t>
      </w:r>
      <w:r>
        <w:rPr>
          <w:rFonts w:ascii="Times New Roman" w:hAnsi="Times New Roman"/>
          <w:noProof/>
          <w:sz w:val="24"/>
          <w:szCs w:val="24"/>
        </w:rPr>
        <w:t>nog odvjetnika koji je na dužnosti te protiv predsjednika Vrhovnog kasacijskog suda i predsjednika Vrhovnog upravnog suda</w:t>
      </w:r>
      <w:r>
        <w:rPr>
          <w:rStyle w:val="FootnoteReference"/>
          <w:rFonts w:ascii="Times New Roman" w:hAnsi="Times New Roman"/>
          <w:noProof/>
          <w:sz w:val="24"/>
          <w:szCs w:val="24"/>
        </w:rPr>
        <w:footnoteReference w:id="35"/>
      </w:r>
      <w:r>
        <w:rPr>
          <w:noProof/>
          <w:sz w:val="24"/>
          <w:szCs w:val="24"/>
        </w:rPr>
        <w:t>.</w:t>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Taj nacrt izmjena privukao je veliku pozornost javnosti, među ostalim civilnog društva i dionika u pravosuđu, pri čemu je istaknut </w:t>
      </w:r>
      <w:r>
        <w:rPr>
          <w:rFonts w:ascii="Times New Roman" w:hAnsi="Times New Roman"/>
          <w:noProof/>
          <w:sz w:val="24"/>
          <w:szCs w:val="24"/>
        </w:rPr>
        <w:t>niz problema, ali i naglašena važnost otvorenog i transparentnog savjetovanja o tim osjetljivim pitanjima. U toj raspravi javilo se pitanje je li u predloženim izmjenama dovoljno jasno navedeno kako bi se osigurala neovisna istraga glavnog državnog odvjetn</w:t>
      </w:r>
      <w:r>
        <w:rPr>
          <w:rFonts w:ascii="Times New Roman" w:hAnsi="Times New Roman"/>
          <w:noProof/>
          <w:sz w:val="24"/>
          <w:szCs w:val="24"/>
        </w:rPr>
        <w:t>ika koji je na dužnosti</w:t>
      </w:r>
      <w:r>
        <w:rPr>
          <w:rStyle w:val="FootnoteReference"/>
          <w:rFonts w:ascii="Times New Roman" w:hAnsi="Times New Roman"/>
          <w:noProof/>
          <w:sz w:val="24"/>
          <w:szCs w:val="24"/>
        </w:rPr>
        <w:footnoteReference w:id="36"/>
      </w:r>
      <w:r>
        <w:rPr>
          <w:rFonts w:ascii="Times New Roman" w:hAnsi="Times New Roman"/>
          <w:noProof/>
          <w:sz w:val="24"/>
          <w:szCs w:val="24"/>
        </w:rPr>
        <w:t>. Osim toga, predviđenim uključivanjem predsjednika Vrhovnog kasacijskog suda i predsjednika Vrhovnog upravnog suda u područje primjene predloženog mehanizma pojavila se nova zabrinutost zbog mogućeg rizika za neovisnost pravosuđa</w:t>
      </w:r>
      <w:r>
        <w:rPr>
          <w:rStyle w:val="FootnoteReference"/>
          <w:rFonts w:ascii="Times New Roman" w:hAnsi="Times New Roman"/>
          <w:noProof/>
          <w:sz w:val="24"/>
          <w:szCs w:val="24"/>
        </w:rPr>
        <w:footnoteReference w:id="37"/>
      </w:r>
      <w:r>
        <w:rPr>
          <w:rFonts w:ascii="Times New Roman" w:hAnsi="Times New Roman"/>
          <w:noProof/>
          <w:sz w:val="24"/>
          <w:szCs w:val="24"/>
        </w:rPr>
        <w:t>,</w:t>
      </w:r>
      <w:r>
        <w:rPr>
          <w:rFonts w:ascii="Times New Roman" w:hAnsi="Times New Roman"/>
          <w:noProof/>
          <w:sz w:val="24"/>
          <w:szCs w:val="24"/>
        </w:rPr>
        <w:t xml:space="preserve"> posebno s obzirom na to da se zahtjevi u pogledu neovisnosti razlikuju za državne odvjetnike i suce</w:t>
      </w:r>
      <w:r>
        <w:rPr>
          <w:rStyle w:val="FootnoteReference"/>
          <w:rFonts w:ascii="Times New Roman" w:hAnsi="Times New Roman"/>
          <w:noProof/>
          <w:sz w:val="24"/>
          <w:szCs w:val="24"/>
        </w:rPr>
        <w:footnoteReference w:id="38"/>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Iako pozdravljamo činjenicu da su bugarska nadležna tijela pokrenula javnu raspravu na temelju konkretnih prijedloga o toj osjetljivoj temi, za održavan</w:t>
      </w:r>
      <w:r>
        <w:rPr>
          <w:rFonts w:ascii="Times New Roman" w:hAnsi="Times New Roman"/>
          <w:noProof/>
          <w:sz w:val="24"/>
          <w:szCs w:val="24"/>
        </w:rPr>
        <w:t>je povjerenja javnosti bit će presudno na odgovarajući način pristupiti rješavanju problema. U takvim slučajevima Komisija smatra da je vrlo korisno osloniti se na zaključke Vijeća Europe i drugih neovisne izvore stručnog znanja. Kako bi se osiguralo da će</w:t>
      </w:r>
      <w:r>
        <w:rPr>
          <w:rFonts w:ascii="Times New Roman" w:hAnsi="Times New Roman"/>
          <w:noProof/>
          <w:sz w:val="24"/>
          <w:szCs w:val="24"/>
        </w:rPr>
        <w:t xml:space="preserve"> izmjena koja se na kraju donese sadržavati odgovarajuće zaštitne mjere za neovisnost pravosuđa, bugarska nadležna tijela zatražila su mišljenje Europske komisije za demokraciju putem prava (Venecijanska komisija)</w:t>
      </w:r>
      <w:r>
        <w:rPr>
          <w:rStyle w:val="FootnoteReference"/>
          <w:rFonts w:ascii="Times New Roman" w:hAnsi="Times New Roman"/>
          <w:noProof/>
          <w:sz w:val="24"/>
          <w:szCs w:val="24"/>
        </w:rPr>
        <w:footnoteReference w:id="39"/>
      </w:r>
      <w:r>
        <w:rPr>
          <w:rFonts w:ascii="Times New Roman" w:hAnsi="Times New Roman"/>
          <w:noProof/>
          <w:sz w:val="24"/>
          <w:szCs w:val="24"/>
        </w:rPr>
        <w:t>. Taj je zahtjev ministar pravosuđa uputio</w:t>
      </w:r>
      <w:r>
        <w:rPr>
          <w:rFonts w:ascii="Times New Roman" w:hAnsi="Times New Roman"/>
          <w:noProof/>
          <w:sz w:val="24"/>
          <w:szCs w:val="24"/>
        </w:rPr>
        <w:t xml:space="preserve"> Venecijanskoj komisiji 24. rujna 2019., a u kontaktima vlade s Europskom komisijom Bugarska se obvezala da će ispuniti preporuke Venecijanske komisije u skladu s načelima bugarskog ustavnog poretka. Komisija pozdravlja spremnost bugarskih nadležnih tijela</w:t>
      </w:r>
      <w:r>
        <w:rPr>
          <w:rFonts w:ascii="Times New Roman" w:hAnsi="Times New Roman"/>
          <w:noProof/>
          <w:sz w:val="24"/>
          <w:szCs w:val="24"/>
        </w:rPr>
        <w:t xml:space="preserve"> da se za pronalaženje odmjerenog i uravnoteženog rješenja oslone na vanjske stručnjake kako bi se zajamčila neovisnost pravosuđa u budućim postupcima.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Iako se već predstavljeni prijedlozi odnose osobito na pitanje učinkovite istrage glavnih sudaca, bugar</w:t>
      </w:r>
      <w:r>
        <w:rPr>
          <w:rFonts w:ascii="Times New Roman" w:hAnsi="Times New Roman"/>
          <w:noProof/>
          <w:sz w:val="24"/>
          <w:szCs w:val="24"/>
        </w:rPr>
        <w:t>ska nadležna tijela trebaju pomno razmotriti i širu sustavnu problematiku učinkovitih istraga uz dužno poštovanje potrebe opsežnog savjetovanja s dionicima i stručnjacima. Bugarska vlada obvezala se nastaviti suradnju s Vijećem Europe kako bi pronašla izve</w:t>
      </w:r>
      <w:r>
        <w:rPr>
          <w:rFonts w:ascii="Times New Roman" w:hAnsi="Times New Roman"/>
          <w:noProof/>
          <w:sz w:val="24"/>
          <w:szCs w:val="24"/>
        </w:rPr>
        <w:t>diva rješenja u vezi s tim pitanjima, koja moraju biti u skladu sa sudskom praksom Europskog suda za ljudska prava</w:t>
      </w:r>
      <w:r>
        <w:rPr>
          <w:rStyle w:val="FootnoteReference"/>
          <w:rFonts w:ascii="Times New Roman" w:hAnsi="Times New Roman"/>
          <w:noProof/>
          <w:sz w:val="24"/>
          <w:szCs w:val="24"/>
        </w:rPr>
        <w:footnoteReference w:id="40"/>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i/>
          <w:noProof/>
          <w:sz w:val="24"/>
          <w:szCs w:val="24"/>
        </w:rPr>
      </w:pPr>
      <w:r>
        <w:rPr>
          <w:rFonts w:ascii="Times New Roman" w:hAnsi="Times New Roman"/>
          <w:i/>
          <w:noProof/>
          <w:sz w:val="24"/>
          <w:szCs w:val="24"/>
        </w:rPr>
        <w:t>Analiza provedbe trećeg mjerila pokazuje da je Bugarska poduzela važne korake za provedbu preporuka 5., 6., 7. i 8. te se te preporuke mog</w:t>
      </w:r>
      <w:r>
        <w:rPr>
          <w:rFonts w:ascii="Times New Roman" w:hAnsi="Times New Roman"/>
          <w:i/>
          <w:noProof/>
          <w:sz w:val="24"/>
          <w:szCs w:val="24"/>
        </w:rPr>
        <w:t>u smatrati uspješno ispunjenima. Bugarska vlada pokrenula je i niz daljnjih mjera te Komisija pozdravlja obveze koje je bugarska vlada preuzela u tom pogledu. Te daljnje mjere iziskuju vrijeme potrebno za opsežno savjetovanje s dionicima i stručnjacima, uk</w:t>
      </w:r>
      <w:r>
        <w:rPr>
          <w:rFonts w:ascii="Times New Roman" w:hAnsi="Times New Roman"/>
          <w:i/>
          <w:noProof/>
          <w:sz w:val="24"/>
          <w:szCs w:val="24"/>
        </w:rPr>
        <w:t>ljučujući relevantna tijela Vijeća Europe. Njih bi trebalo preispitati i Vijeće za naknadno praćenje te bi trebale pridonijeti budućem dijalogu s Komisijom u okviru sveobuhvatnog mehanizma vladavine prava.</w:t>
      </w:r>
    </w:p>
    <w:p w:rsidR="00F9290A" w:rsidRDefault="00CF2E71">
      <w:pPr>
        <w:keepNext/>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3.3. </w:t>
      </w:r>
      <w:r>
        <w:rPr>
          <w:rFonts w:ascii="Times New Roman" w:hAnsi="Times New Roman"/>
          <w:b/>
          <w:noProof/>
          <w:sz w:val="24"/>
          <w:szCs w:val="24"/>
        </w:rPr>
        <w:tab/>
        <w:t>Četvrto mjerilo: Korupcija na visokoj razini</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9.:</w:t>
      </w:r>
      <w:r>
        <w:rPr>
          <w:rFonts w:ascii="Times New Roman" w:hAnsi="Times New Roman"/>
          <w:i/>
          <w:noProof/>
          <w:sz w:val="24"/>
          <w:szCs w:val="24"/>
        </w:rPr>
        <w:t xml:space="preserve"> Donijeti novi pravni okvir za borbu protiv korupcije u skladu s ciljevima strategije za borbu protiv korupcije te osigurati njegovu provedbu. Uspostaviti učinkovito tijelo za borbu protiv korupcije.</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10.:</w:t>
      </w:r>
      <w:r>
        <w:rPr>
          <w:rFonts w:ascii="Times New Roman" w:hAnsi="Times New Roman"/>
          <w:i/>
          <w:noProof/>
          <w:sz w:val="24"/>
          <w:szCs w:val="24"/>
        </w:rPr>
        <w:t xml:space="preserve"> Donijeti i provesti reformu zakona o javnoj upravi radi jačanja unutarnjih inspektorata u javnoj upravi.</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 xml:space="preserve">Preporuka br. 11.: </w:t>
      </w:r>
      <w:r>
        <w:rPr>
          <w:rFonts w:ascii="Times New Roman" w:hAnsi="Times New Roman"/>
          <w:i/>
          <w:noProof/>
          <w:sz w:val="24"/>
          <w:szCs w:val="24"/>
        </w:rPr>
        <w:t>Na temelju analize prijašnjih slučajeva izraditi plan za sve relevantne institucije u cilju otklanjanja nedostataka u istrazi i kaz</w:t>
      </w:r>
      <w:r>
        <w:rPr>
          <w:rFonts w:ascii="Times New Roman" w:hAnsi="Times New Roman"/>
          <w:i/>
          <w:noProof/>
          <w:sz w:val="24"/>
          <w:szCs w:val="24"/>
        </w:rPr>
        <w:t>nenom progonu slučajeva korupcije na visokoj razini, uključujući mehanizam obavješćivanja šire javnosti o postignutom napretku.</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12.:</w:t>
      </w:r>
      <w:r>
        <w:rPr>
          <w:rFonts w:ascii="Times New Roman" w:hAnsi="Times New Roman"/>
          <w:i/>
          <w:noProof/>
          <w:sz w:val="24"/>
          <w:szCs w:val="24"/>
        </w:rPr>
        <w:t xml:space="preserve"> Uspostaviti mehanizam izvješćivanja javnosti o napretku u pogledu javno poznatih slučajeva korupcije na visok</w:t>
      </w:r>
      <w:r>
        <w:rPr>
          <w:rFonts w:ascii="Times New Roman" w:hAnsi="Times New Roman"/>
          <w:i/>
          <w:noProof/>
          <w:sz w:val="24"/>
          <w:szCs w:val="24"/>
        </w:rPr>
        <w:t>oj razini. Državno odvjetništvo treba izvješćivati o istragama i optužnicama, poštujući pretpostavku nedužnosti. Vrhovni kasacijski sud i Ministarstvo pravosuđa trebaju izvješćivati o presudama i njihovu izvršenju.</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U izvješću iz studenoga 2018. navodi se z</w:t>
      </w:r>
      <w:r>
        <w:rPr>
          <w:rFonts w:ascii="Times New Roman" w:hAnsi="Times New Roman"/>
          <w:noProof/>
          <w:sz w:val="24"/>
          <w:szCs w:val="24"/>
        </w:rPr>
        <w:t>natan napredak Bugarske u pogledu četiriju preporuka povezanih s borbom protiv korupcije na visokoj razini. U njemu se istovremeno navodi i da tek treba postići dobre rezultate u pogledu konačnih presuda u predmetima povezanima s korupcijom na visokoj razi</w:t>
      </w:r>
      <w:r>
        <w:rPr>
          <w:rFonts w:ascii="Times New Roman" w:hAnsi="Times New Roman"/>
          <w:noProof/>
          <w:sz w:val="24"/>
          <w:szCs w:val="24"/>
        </w:rPr>
        <w:t xml:space="preserve">ni te da je potrebno stalno praćenje novog institucijskog okvira za borbu protiv korupcije kako bi se učvrstio ostvareni napredak.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Sveobuhvatne reforme općeg institucijskog okvira za borbu protiv korupcije provedene tijekom protekle dvije godine počinju d</w:t>
      </w:r>
      <w:r>
        <w:rPr>
          <w:rFonts w:ascii="Times New Roman" w:hAnsi="Times New Roman"/>
          <w:noProof/>
          <w:sz w:val="24"/>
          <w:szCs w:val="24"/>
        </w:rPr>
        <w:t>avati rezultate. To se posebno odnosi na Zakon o borbi protiv korupcije iz siječnja 2018. kojim je osnovana nova agencija za borbu protiv korupcije, izmjene Zakona o javnoj upravi uvedene 2017. kojima se pojašnjava pravni okvir za rad unutarnjih inspektora</w:t>
      </w:r>
      <w:r>
        <w:rPr>
          <w:rFonts w:ascii="Times New Roman" w:hAnsi="Times New Roman"/>
          <w:noProof/>
          <w:sz w:val="24"/>
          <w:szCs w:val="24"/>
        </w:rPr>
        <w:t xml:space="preserve">ta i izmjene Zakona o kaznenom postupku uvedene 2017. kojima se uredu specijaliziranog državnog odvjetnika i sudu za organizirani kriminal daju dodatne ovlasti u pogledu korupcije na visokoj razini.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Bugarska nadležna tijela navela su da su te reforme prid</w:t>
      </w:r>
      <w:r>
        <w:rPr>
          <w:rFonts w:ascii="Times New Roman" w:hAnsi="Times New Roman"/>
          <w:noProof/>
          <w:sz w:val="24"/>
          <w:szCs w:val="24"/>
        </w:rPr>
        <w:t>onijele poboljšanju općih uvjeta za sprečavanje, otkrivanje, istragu i kazneni progon korupcije. Na primjer, nova agencija za borbu protiv korupcije bavi se ispitivanjem izjava o sukobu interesa tisuća dužnosnika te utvrđuje je li potreban nadzor</w:t>
      </w:r>
      <w:r>
        <w:rPr>
          <w:rStyle w:val="FootnoteReference"/>
          <w:rFonts w:ascii="Times New Roman" w:hAnsi="Times New Roman"/>
          <w:noProof/>
          <w:sz w:val="24"/>
          <w:szCs w:val="24"/>
        </w:rPr>
        <w:footnoteReference w:id="41"/>
      </w:r>
      <w:r>
        <w:rPr>
          <w:rFonts w:ascii="Times New Roman" w:hAnsi="Times New Roman"/>
          <w:noProof/>
          <w:sz w:val="24"/>
          <w:szCs w:val="24"/>
        </w:rPr>
        <w:t>. Prirodn</w:t>
      </w:r>
      <w:r>
        <w:rPr>
          <w:rFonts w:ascii="Times New Roman" w:hAnsi="Times New Roman"/>
          <w:noProof/>
          <w:sz w:val="24"/>
          <w:szCs w:val="24"/>
        </w:rPr>
        <w:t>o je da je potrebno određeno vrijeme da reforme zažive u različitim fazama istrage, kaznenog progona i moguće osuđujuće presude, ali to će morati biti glavni fokus u budućnosti kako bi se osigurali trajni konkretni rezultati</w:t>
      </w:r>
      <w:r>
        <w:rPr>
          <w:rStyle w:val="FootnoteReference"/>
          <w:rFonts w:ascii="Times New Roman" w:hAnsi="Times New Roman"/>
          <w:noProof/>
          <w:sz w:val="24"/>
          <w:szCs w:val="24"/>
        </w:rPr>
        <w:footnoteReference w:id="42"/>
      </w:r>
      <w:r>
        <w:rPr>
          <w:rFonts w:ascii="Times New Roman" w:hAnsi="Times New Roman"/>
          <w:noProof/>
          <w:sz w:val="24"/>
          <w:szCs w:val="24"/>
        </w:rPr>
        <w:t>. Nedavne optužbe na visokoj ra</w:t>
      </w:r>
      <w:r>
        <w:rPr>
          <w:rFonts w:ascii="Times New Roman" w:hAnsi="Times New Roman"/>
          <w:noProof/>
          <w:sz w:val="24"/>
          <w:szCs w:val="24"/>
        </w:rPr>
        <w:t xml:space="preserve">zini koje su uključivale visoko rangirane javne dužnosnike i političare dodatno su naglasile izazove s kojima se Bugarska suočava u tom području.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Poseban izazov u bugarskom kontekstu s kojim se suočavaju institucije kao što su nova agencija za borbu proti</w:t>
      </w:r>
      <w:r>
        <w:rPr>
          <w:rFonts w:ascii="Times New Roman" w:hAnsi="Times New Roman"/>
          <w:noProof/>
          <w:sz w:val="24"/>
          <w:szCs w:val="24"/>
        </w:rPr>
        <w:t>v korupcije i državno odvjetništvo jest potreba da institucije za borbu protiv korupcije zadobiju povjerenje javnosti i s vremenom izgrade reputaciju neovisnosti i profesionalnosti u svojem radu. Prije svega, građani bi trebali imati potpuno povjerenje u n</w:t>
      </w:r>
      <w:r>
        <w:rPr>
          <w:rFonts w:ascii="Times New Roman" w:hAnsi="Times New Roman"/>
          <w:noProof/>
          <w:sz w:val="24"/>
          <w:szCs w:val="24"/>
        </w:rPr>
        <w:t>epristran rad tih institucija, uz potpuno poštovanje pravičnog postupka i temeljnih prava, uključujući pretpostavku nedužnosti</w:t>
      </w:r>
      <w:r>
        <w:rPr>
          <w:rStyle w:val="FootnoteReference"/>
          <w:rFonts w:ascii="Times New Roman" w:hAnsi="Times New Roman"/>
          <w:noProof/>
          <w:sz w:val="24"/>
          <w:szCs w:val="24"/>
        </w:rPr>
        <w:footnoteReference w:id="43"/>
      </w:r>
      <w:r>
        <w:rPr>
          <w:rFonts w:ascii="Times New Roman" w:hAnsi="Times New Roman"/>
          <w:noProof/>
          <w:sz w:val="24"/>
          <w:szCs w:val="24"/>
        </w:rPr>
        <w:t xml:space="preserve">. Važan element izgradnje povjerenja odnosi se na postupak imenovanja članova uprave tih institucija.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Agencija za borbu protiv k</w:t>
      </w:r>
      <w:r>
        <w:rPr>
          <w:rFonts w:ascii="Times New Roman" w:hAnsi="Times New Roman"/>
          <w:noProof/>
          <w:sz w:val="24"/>
          <w:szCs w:val="24"/>
        </w:rPr>
        <w:t>orupcije trenutačno i dalje djeluje bez stalnog direktora. Kako je istaknuto u izvješću iz studenoga 2018., postupak odabira članova uprave agencije za borbu protiv korupcije bio je kontroverzan jer se temeljio na običnoj većini u Nacionalnoj skupštini, št</w:t>
      </w:r>
      <w:r>
        <w:rPr>
          <w:rFonts w:ascii="Times New Roman" w:hAnsi="Times New Roman"/>
          <w:noProof/>
          <w:sz w:val="24"/>
          <w:szCs w:val="24"/>
        </w:rPr>
        <w:t>o je izazvalo zabrinutost zbog moguće politizacije upravljanja agencijom. Predstojeće imenovanje novog direktora agencije za borbu protiv korupcije bit će važan test sposobnosti Nacionalne skupštine da organizira otvoren postupak koji se temelji na zasluga</w:t>
      </w:r>
      <w:r>
        <w:rPr>
          <w:rFonts w:ascii="Times New Roman" w:hAnsi="Times New Roman"/>
          <w:noProof/>
          <w:sz w:val="24"/>
          <w:szCs w:val="24"/>
        </w:rPr>
        <w:t xml:space="preserve">ma kako bi se ta zabrinutost ublažila i kako bi se pridonijelo vraćanju povjerenja u tu ključnu instituciju.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Druga dva ključna područja za izgradnju povjerenja odnose se na suradnju s relevantnim vanjskim stručnjacima kako bi se poboljšao okvir za borbu p</w:t>
      </w:r>
      <w:r>
        <w:rPr>
          <w:rFonts w:ascii="Times New Roman" w:hAnsi="Times New Roman"/>
          <w:noProof/>
          <w:sz w:val="24"/>
          <w:szCs w:val="24"/>
        </w:rPr>
        <w:t xml:space="preserve">rotiv korupcije te na sudjelovanju i dijalogu s dionicima o provedbi strategije za borbu protiv korupcije. Oboje će biti ključno kako bi se zadržao neupitan napredak. U kontaktu s Komisijom bugarska vlada obvezala se da će nastaviti svoja nastojanja u tom </w:t>
      </w:r>
      <w:r>
        <w:rPr>
          <w:rFonts w:ascii="Times New Roman" w:hAnsi="Times New Roman"/>
          <w:noProof/>
          <w:sz w:val="24"/>
          <w:szCs w:val="24"/>
        </w:rPr>
        <w:t>području, među ostalim suradnjom sa Skupinom država Vijeća Europe za borbu protiv korupcije (GRECO)</w:t>
      </w:r>
      <w:r>
        <w:rPr>
          <w:rStyle w:val="FootnoteReference"/>
          <w:rFonts w:ascii="Times New Roman" w:hAnsi="Times New Roman"/>
          <w:noProof/>
          <w:sz w:val="24"/>
          <w:szCs w:val="24"/>
        </w:rPr>
        <w:footnoteReference w:id="44"/>
      </w:r>
      <w:r>
        <w:rPr>
          <w:rFonts w:ascii="Times New Roman" w:hAnsi="Times New Roman"/>
          <w:noProof/>
          <w:sz w:val="24"/>
          <w:szCs w:val="24"/>
        </w:rPr>
        <w:t>. Vijeće za naknadno praćenje također bi trebalo imati važnu ulogu u zadržavanju pozornosti javnosti na tim važnim pitanjima nakon završetka CVM-a</w:t>
      </w:r>
      <w:r>
        <w:rPr>
          <w:rStyle w:val="FootnoteReference"/>
          <w:rFonts w:ascii="Times New Roman" w:hAnsi="Times New Roman"/>
          <w:noProof/>
          <w:sz w:val="24"/>
          <w:szCs w:val="24"/>
        </w:rPr>
        <w:footnoteReference w:id="45"/>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i/>
          <w:noProof/>
          <w:sz w:val="24"/>
          <w:szCs w:val="24"/>
        </w:rPr>
      </w:pPr>
      <w:r>
        <w:rPr>
          <w:rFonts w:ascii="Times New Roman" w:hAnsi="Times New Roman"/>
          <w:i/>
          <w:noProof/>
          <w:sz w:val="24"/>
          <w:szCs w:val="24"/>
        </w:rPr>
        <w:t>Analiz</w:t>
      </w:r>
      <w:r>
        <w:rPr>
          <w:rFonts w:ascii="Times New Roman" w:hAnsi="Times New Roman"/>
          <w:i/>
          <w:noProof/>
          <w:sz w:val="24"/>
          <w:szCs w:val="24"/>
        </w:rPr>
        <w:t>a provedbe četvrtog mjerila pokazuje da se rad na pravnom i institucijskom okviru počeo konsolidirati u skladu s preporukama 9., 10., 11. i 12. te se te preporuke mogu smatrati uspješno ispunjenima. Bugarskoj će trebati vremena kako bi ostvarila dobre rezu</w:t>
      </w:r>
      <w:r>
        <w:rPr>
          <w:rFonts w:ascii="Times New Roman" w:hAnsi="Times New Roman"/>
          <w:i/>
          <w:noProof/>
          <w:sz w:val="24"/>
          <w:szCs w:val="24"/>
        </w:rPr>
        <w:t>ltate, posebno s obzirom na novu upravu agencije za borbu protiv korupcije. Komisija pozdravlja predanost bugarske vlade da nastavi s radom na temelju međunarodnog iskustva te osiguravanju transparentnosti i odgovornosti. To bi također trebalo ispitati Vij</w:t>
      </w:r>
      <w:r>
        <w:rPr>
          <w:rFonts w:ascii="Times New Roman" w:hAnsi="Times New Roman"/>
          <w:i/>
          <w:noProof/>
          <w:sz w:val="24"/>
          <w:szCs w:val="24"/>
        </w:rPr>
        <w:t>eće za naknadno praćenje i to će pridonijeti budućem dijalogu s Komisijom u okviru sveobuhvatnog mehanizma vladavine prava.</w:t>
      </w:r>
    </w:p>
    <w:p w:rsidR="00F9290A" w:rsidRDefault="00CF2E71">
      <w:pPr>
        <w:spacing w:before="240" w:after="120" w:line="240" w:lineRule="auto"/>
        <w:jc w:val="both"/>
        <w:rPr>
          <w:rFonts w:ascii="Times New Roman" w:hAnsi="Times New Roman"/>
          <w:b/>
          <w:noProof/>
          <w:sz w:val="24"/>
          <w:szCs w:val="24"/>
        </w:rPr>
      </w:pPr>
      <w:r>
        <w:rPr>
          <w:rFonts w:ascii="Times New Roman" w:hAnsi="Times New Roman"/>
          <w:b/>
          <w:noProof/>
          <w:sz w:val="24"/>
          <w:szCs w:val="24"/>
        </w:rPr>
        <w:t xml:space="preserve">3.4. </w:t>
      </w:r>
      <w:r>
        <w:rPr>
          <w:rFonts w:ascii="Times New Roman" w:hAnsi="Times New Roman"/>
          <w:b/>
          <w:noProof/>
          <w:sz w:val="24"/>
          <w:szCs w:val="24"/>
        </w:rPr>
        <w:tab/>
        <w:t>Peto mjerilo: Korupcija općenito, uključujući lokalnu razinu i granice</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13.:</w:t>
      </w:r>
      <w:r>
        <w:rPr>
          <w:rFonts w:ascii="Times New Roman" w:hAnsi="Times New Roman"/>
          <w:i/>
          <w:noProof/>
          <w:sz w:val="24"/>
          <w:szCs w:val="24"/>
        </w:rPr>
        <w:t xml:space="preserve"> Provesti vanjsku reviziju ex ante provjera postupaka javne nabave i njihovo praćenje, uključujući ex post provjere, i otkrivenih slučajeva sukoba interesa ili korupcije te korektivnih mjera poduzetih za rješavanje tih nedostataka.</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 14.:</w:t>
      </w:r>
      <w:r>
        <w:rPr>
          <w:rFonts w:ascii="Times New Roman" w:hAnsi="Times New Roman"/>
          <w:i/>
          <w:noProof/>
          <w:sz w:val="24"/>
          <w:szCs w:val="24"/>
        </w:rPr>
        <w:t xml:space="preserve"> Prove</w:t>
      </w:r>
      <w:r>
        <w:rPr>
          <w:rFonts w:ascii="Times New Roman" w:hAnsi="Times New Roman"/>
          <w:i/>
          <w:noProof/>
          <w:sz w:val="24"/>
          <w:szCs w:val="24"/>
        </w:rPr>
        <w:t>sti mjere temeljene na ocjeni rizika radi rješavanja korupcije na niskoj razini u sektorima visokog rizika u javnoj upravi, uzevši u obzir primjer Ministarstva unutarnjih poslova. Nastaviti sa započetim radom u Ministarstvu unutarnjih poslova.</w:t>
      </w:r>
    </w:p>
    <w:p w:rsidR="00F9290A" w:rsidRDefault="00CF2E7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i/>
          <w:noProof/>
          <w:sz w:val="24"/>
          <w:szCs w:val="24"/>
        </w:rPr>
      </w:pPr>
      <w:r>
        <w:rPr>
          <w:rFonts w:ascii="Times New Roman" w:hAnsi="Times New Roman"/>
          <w:b/>
          <w:i/>
          <w:noProof/>
          <w:sz w:val="24"/>
          <w:szCs w:val="24"/>
        </w:rPr>
        <w:t>Preporuka br</w:t>
      </w:r>
      <w:r>
        <w:rPr>
          <w:rFonts w:ascii="Times New Roman" w:hAnsi="Times New Roman"/>
          <w:b/>
          <w:i/>
          <w:noProof/>
          <w:sz w:val="24"/>
          <w:szCs w:val="24"/>
        </w:rPr>
        <w:t>. 15.:</w:t>
      </w:r>
      <w:r>
        <w:rPr>
          <w:rFonts w:ascii="Times New Roman" w:hAnsi="Times New Roman"/>
          <w:i/>
          <w:noProof/>
          <w:sz w:val="24"/>
          <w:szCs w:val="24"/>
        </w:rPr>
        <w:t xml:space="preserve"> Uspostaviti mehanizam izvješćivanja javnosti o provedbi nacionalne strategije za borbu protiv korupcije tijekom preostalog razdoblja provedbe strategije.</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U izvješću iz studenoga 2018. potvrđeno je da je Bugarska postigla znatan napredak u pogledu tr</w:t>
      </w:r>
      <w:r>
        <w:rPr>
          <w:rFonts w:ascii="Times New Roman" w:hAnsi="Times New Roman"/>
          <w:noProof/>
          <w:sz w:val="24"/>
          <w:szCs w:val="24"/>
        </w:rPr>
        <w:t>iju preporuka u okviru petog mjerila, ali je napomenuto i da će ta pitanja bugarska nadležna tijela trebati kontinuirano pratiti tijekom duljeg razdoblja kako bi mogla pokazati konkretne rezultate. Bugarska je u protekloj godini potvrdila ostvareni napreda</w:t>
      </w:r>
      <w:r>
        <w:rPr>
          <w:rFonts w:ascii="Times New Roman" w:hAnsi="Times New Roman"/>
          <w:noProof/>
          <w:sz w:val="24"/>
          <w:szCs w:val="24"/>
        </w:rPr>
        <w:t xml:space="preserve">k i nastavila s radom u tim područjima. </w:t>
      </w:r>
    </w:p>
    <w:p w:rsidR="00F9290A" w:rsidRDefault="00CF2E71">
      <w:pPr>
        <w:spacing w:before="240" w:after="120" w:line="240" w:lineRule="auto"/>
        <w:jc w:val="both"/>
        <w:rPr>
          <w:rFonts w:ascii="Times New Roman" w:hAnsi="Times New Roman"/>
          <w:noProof/>
          <w:sz w:val="24"/>
          <w:szCs w:val="24"/>
        </w:rPr>
      </w:pPr>
      <w:r>
        <w:rPr>
          <w:rFonts w:ascii="Times New Roman" w:hAnsi="Times New Roman"/>
          <w:noProof/>
          <w:sz w:val="24"/>
          <w:szCs w:val="24"/>
        </w:rPr>
        <w:t xml:space="preserve">Javna nabava područje je visokog rizika od sukoba interesa i korupcije. Bugarska je iskoristila pomoć Međunarodne banke za obnovu i razvoj (Svjetska banka) kako bi provela sveobuhvatnu provjeru svojeg sustava javne </w:t>
      </w:r>
      <w:r>
        <w:rPr>
          <w:rFonts w:ascii="Times New Roman" w:hAnsi="Times New Roman"/>
          <w:noProof/>
          <w:sz w:val="24"/>
          <w:szCs w:val="24"/>
        </w:rPr>
        <w:t>nabave. Taj je projekt dovršen početkom proljeća 2019., što je rezultiralo nizom preporuka, među ostalim u pogledu sprečavanja korupcije, sukoba interesa i prijevara. Nadležna tijela izvijestila su da je već u tijeku nekoliko početnih koraka u vezi s tim p</w:t>
      </w:r>
      <w:r>
        <w:rPr>
          <w:rFonts w:ascii="Times New Roman" w:hAnsi="Times New Roman"/>
          <w:noProof/>
          <w:sz w:val="24"/>
          <w:szCs w:val="24"/>
        </w:rPr>
        <w:t xml:space="preserve">reporukama, dok će cjelokupno preispitivanje doprinijeti izradi buduće sveobuhvatne strategije javne nabave. Šire područje javne nabave uređeno je pravom EU-a te će biti važno nastaviti s tim radom i osloniti se, prema potrebi, na dodatno stručno znanje u </w:t>
      </w:r>
      <w:r>
        <w:rPr>
          <w:rFonts w:ascii="Times New Roman" w:hAnsi="Times New Roman"/>
          <w:noProof/>
          <w:sz w:val="24"/>
          <w:szCs w:val="24"/>
        </w:rPr>
        <w:t>specifičnim područjima</w:t>
      </w:r>
      <w:r>
        <w:rPr>
          <w:rStyle w:val="FootnoteReference"/>
          <w:rFonts w:ascii="Times New Roman" w:hAnsi="Times New Roman"/>
          <w:noProof/>
          <w:sz w:val="24"/>
          <w:szCs w:val="24"/>
        </w:rPr>
        <w:footnoteReference w:id="46"/>
      </w:r>
      <w:r>
        <w:rPr>
          <w:rFonts w:ascii="Times New Roman" w:hAnsi="Times New Roman"/>
          <w:noProof/>
          <w:sz w:val="24"/>
          <w:szCs w:val="24"/>
        </w:rPr>
        <w:t xml:space="preserve">. </w:t>
      </w:r>
    </w:p>
    <w:p w:rsidR="00F9290A" w:rsidRDefault="00CF2E71">
      <w:pPr>
        <w:spacing w:before="240" w:after="120" w:line="240" w:lineRule="auto"/>
        <w:jc w:val="both"/>
        <w:rPr>
          <w:rFonts w:ascii="Times New Roman" w:hAnsi="Times New Roman"/>
          <w:i/>
          <w:noProof/>
          <w:sz w:val="24"/>
          <w:szCs w:val="24"/>
        </w:rPr>
      </w:pPr>
      <w:r>
        <w:rPr>
          <w:rFonts w:ascii="Times New Roman" w:hAnsi="Times New Roman"/>
          <w:noProof/>
          <w:sz w:val="24"/>
          <w:szCs w:val="24"/>
        </w:rPr>
        <w:t>Bugarska je nastavila i s provedbom specifičnih sektorskih akcijskih planova za sprečavanje korupcije u državnoj upravi. Novi krug sektorskih planova donesen je početkom 2019. kao dio godišnjeg ciklusa, pod nadzorom nacionalnog vi</w:t>
      </w:r>
      <w:r>
        <w:rPr>
          <w:rFonts w:ascii="Times New Roman" w:hAnsi="Times New Roman"/>
          <w:noProof/>
          <w:sz w:val="24"/>
          <w:szCs w:val="24"/>
        </w:rPr>
        <w:t>jeća za borbu protiv korupcije kojim je predsjedao nacionalni koordinator za borbu protiv korupcije, koji je također visokopozicionirani član vlade</w:t>
      </w:r>
      <w:r>
        <w:rPr>
          <w:rStyle w:val="FootnoteReference"/>
          <w:rFonts w:ascii="Times New Roman" w:hAnsi="Times New Roman"/>
          <w:noProof/>
          <w:sz w:val="24"/>
          <w:szCs w:val="24"/>
        </w:rPr>
        <w:footnoteReference w:id="47"/>
      </w:r>
      <w:r>
        <w:rPr>
          <w:rFonts w:ascii="Times New Roman" w:hAnsi="Times New Roman"/>
          <w:noProof/>
          <w:sz w:val="24"/>
          <w:szCs w:val="24"/>
        </w:rPr>
        <w:t>. Potrebno je trajno se posvetiti tom radu u svim vladinim službama i agencijama. Vijeće za naknadno praćenj</w:t>
      </w:r>
      <w:r>
        <w:rPr>
          <w:rFonts w:ascii="Times New Roman" w:hAnsi="Times New Roman"/>
          <w:noProof/>
          <w:sz w:val="24"/>
          <w:szCs w:val="24"/>
        </w:rPr>
        <w:t xml:space="preserve">e moglo bi imati važnu ulogu u osiguravanju vidljivosti i potpore tim naporima. Zajedno s nacionalnim vijećem za borbu protiv korupcije, novo vijeće imat će ulogu u ažuriranju postojeće strategije za borbu protiv korupcije iz 2015. s obzirom na trenutačna </w:t>
      </w:r>
      <w:r>
        <w:rPr>
          <w:rFonts w:ascii="Times New Roman" w:hAnsi="Times New Roman"/>
          <w:noProof/>
          <w:sz w:val="24"/>
          <w:szCs w:val="24"/>
        </w:rPr>
        <w:t>zbivanja i izazove. Važan element bit će široka uključenost dionika i civilnog društva u evaluaciju postojeće strategije te u definiranje novih prioriteta za budućnost</w:t>
      </w:r>
      <w:r>
        <w:rPr>
          <w:rStyle w:val="FootnoteReference"/>
          <w:rFonts w:ascii="Times New Roman" w:hAnsi="Times New Roman"/>
          <w:noProof/>
          <w:sz w:val="24"/>
          <w:szCs w:val="24"/>
        </w:rPr>
        <w:footnoteReference w:id="48"/>
      </w:r>
      <w:r>
        <w:rPr>
          <w:rFonts w:ascii="Times New Roman" w:hAnsi="Times New Roman"/>
          <w:noProof/>
          <w:sz w:val="24"/>
          <w:szCs w:val="24"/>
        </w:rPr>
        <w:t>.</w:t>
      </w:r>
    </w:p>
    <w:p w:rsidR="00F9290A" w:rsidRDefault="00CF2E71">
      <w:pPr>
        <w:spacing w:before="240" w:after="120" w:line="240" w:lineRule="auto"/>
        <w:jc w:val="both"/>
        <w:rPr>
          <w:rFonts w:ascii="Times New Roman" w:hAnsi="Times New Roman"/>
          <w:i/>
          <w:noProof/>
          <w:sz w:val="24"/>
          <w:szCs w:val="24"/>
        </w:rPr>
      </w:pPr>
      <w:r>
        <w:rPr>
          <w:rFonts w:ascii="Times New Roman" w:hAnsi="Times New Roman"/>
          <w:i/>
          <w:noProof/>
          <w:sz w:val="24"/>
          <w:szCs w:val="24"/>
        </w:rPr>
        <w:t xml:space="preserve">Analizom provedbe petog mjerila potvrđuje se napredak zabilježen u izvješću iz </w:t>
      </w:r>
      <w:r>
        <w:rPr>
          <w:rFonts w:ascii="Times New Roman" w:hAnsi="Times New Roman"/>
          <w:i/>
          <w:noProof/>
          <w:sz w:val="24"/>
          <w:szCs w:val="24"/>
        </w:rPr>
        <w:t>studenoga 2018. o provedbi preporuka br. 13., 14. i 15. u okviru izvješća te se te preporuke mogu smatrati uspješno ispunjenima. Mnoga od tih pitanja iziskuju trajnu pozornost, pri čemu su analiza izazova i uspostava koherentnog postupka za njihovo kontinu</w:t>
      </w:r>
      <w:r>
        <w:rPr>
          <w:rFonts w:ascii="Times New Roman" w:hAnsi="Times New Roman"/>
          <w:i/>
          <w:noProof/>
          <w:sz w:val="24"/>
          <w:szCs w:val="24"/>
        </w:rPr>
        <w:t>irano rješavanje dobra osnova za daljnji rad. Pitanja poput javne nabave prate se i u uobičajenom postupku provedbe prava EU-a. To će također biti važne teme koje će razmotriti Vijeće za naknadno praćenje te će pridonijeti budućem dijalogu s Komisijom u ok</w:t>
      </w:r>
      <w:r>
        <w:rPr>
          <w:rFonts w:ascii="Times New Roman" w:hAnsi="Times New Roman"/>
          <w:i/>
          <w:noProof/>
          <w:sz w:val="24"/>
          <w:szCs w:val="24"/>
        </w:rPr>
        <w:t>viru sveobuhvatnog mehanizma vladavine prava.</w:t>
      </w:r>
    </w:p>
    <w:p w:rsidR="00F9290A" w:rsidRDefault="00F9290A">
      <w:pPr>
        <w:keepNext/>
        <w:spacing w:before="120" w:after="120" w:line="240" w:lineRule="auto"/>
        <w:jc w:val="both"/>
        <w:rPr>
          <w:rFonts w:ascii="Times New Roman" w:hAnsi="Times New Roman"/>
          <w:b/>
          <w:noProof/>
          <w:sz w:val="24"/>
          <w:szCs w:val="24"/>
        </w:rPr>
      </w:pPr>
    </w:p>
    <w:p w:rsidR="00F9290A" w:rsidRDefault="00CF2E71">
      <w:pPr>
        <w:keepNext/>
        <w:spacing w:before="120" w:after="120" w:line="240" w:lineRule="auto"/>
        <w:jc w:val="both"/>
        <w:rPr>
          <w:rFonts w:ascii="Times New Roman" w:hAnsi="Times New Roman"/>
          <w:b/>
          <w:noProof/>
          <w:sz w:val="24"/>
          <w:szCs w:val="24"/>
        </w:rPr>
      </w:pPr>
      <w:r>
        <w:rPr>
          <w:rFonts w:ascii="Times New Roman" w:hAnsi="Times New Roman"/>
          <w:b/>
          <w:noProof/>
          <w:sz w:val="24"/>
          <w:szCs w:val="24"/>
        </w:rPr>
        <w:t xml:space="preserve">4. </w:t>
      </w:r>
      <w:r>
        <w:rPr>
          <w:rFonts w:ascii="Times New Roman" w:hAnsi="Times New Roman"/>
          <w:b/>
          <w:noProof/>
          <w:sz w:val="24"/>
          <w:szCs w:val="24"/>
        </w:rPr>
        <w:tab/>
        <w:t xml:space="preserve">ZAKLJUČAK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 xml:space="preserve">U Odluci o osnivanju CVM-a Komisija je, konstatiravši znatne napore Bugarske pri završetku priprema za članstvo, utvrdila preostala pitanja u kojima je daljnji napredak još uvijek potreban kako </w:t>
      </w:r>
      <w:r>
        <w:rPr>
          <w:rFonts w:ascii="Times New Roman" w:hAnsi="Times New Roman"/>
          <w:noProof/>
          <w:sz w:val="24"/>
          <w:szCs w:val="24"/>
        </w:rPr>
        <w:t>bi se osigurala sposobnost pravosudnog sustava i tijela kaznenog progona da provedu i primijene mjere donesene radi uspostave unutarnjeg tržišta i područja slobode, sigurnosti i pravde</w:t>
      </w:r>
      <w:r>
        <w:rPr>
          <w:rStyle w:val="FootnoteReference"/>
          <w:rFonts w:ascii="Times New Roman" w:hAnsi="Times New Roman"/>
          <w:noProof/>
          <w:sz w:val="24"/>
          <w:szCs w:val="24"/>
        </w:rPr>
        <w:footnoteReference w:id="49"/>
      </w:r>
      <w:r>
        <w:rPr>
          <w:noProof/>
          <w:sz w:val="24"/>
          <w:szCs w:val="24"/>
        </w:rPr>
        <w:t>.</w:t>
      </w:r>
      <w:r>
        <w:rPr>
          <w:rFonts w:ascii="Times New Roman" w:hAnsi="Times New Roman"/>
          <w:noProof/>
          <w:sz w:val="24"/>
          <w:szCs w:val="24"/>
        </w:rPr>
        <w:t xml:space="preserve"> Ta su pitanja uključivala odgovornost i učinkovitost tih tijela.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Rij</w:t>
      </w:r>
      <w:r>
        <w:rPr>
          <w:rFonts w:ascii="Times New Roman" w:hAnsi="Times New Roman"/>
          <w:noProof/>
          <w:sz w:val="24"/>
          <w:szCs w:val="24"/>
        </w:rPr>
        <w:t xml:space="preserve">eč je o pokretačima postupka CVM-a, što je dovelo do sedamnaest ključnih preporuka Komisije iz siječnja 2017. Bugarska je dosljedno radila na provedbi tih sedamnaest ključnih preporuka, kako je navedeno u izvješćima iz studenoga 2017. i iz studenoga 2018. </w:t>
      </w:r>
      <w:r>
        <w:rPr>
          <w:rFonts w:ascii="Times New Roman" w:hAnsi="Times New Roman"/>
          <w:noProof/>
          <w:sz w:val="24"/>
          <w:szCs w:val="24"/>
        </w:rPr>
        <w:t xml:space="preserve">Taj se rad nastavio u protekloj godini te je Bugarska ostvarila daljnji napredak, među ostalim u pogledu preporuka koje se odnose na treće, četvrto i peto mjerilo, koje su ostale neispunjene nakon prošlogodišnje ocjene.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Tijekom protekle godine konsolidira</w:t>
      </w:r>
      <w:r>
        <w:rPr>
          <w:rFonts w:ascii="Times New Roman" w:hAnsi="Times New Roman"/>
          <w:noProof/>
          <w:sz w:val="24"/>
          <w:szCs w:val="24"/>
        </w:rPr>
        <w:t>n je pravni i institucionalni okvir uspostavljen u proteklih nekoliko godina. Da bi doveo do dugoročnih rezultata, bit će potrebna odlučnost i daljnje mjere postupanja. U tom su pogledu ključni koraci koje je Bugarska poduzela kako bi uspostavila sustave z</w:t>
      </w:r>
      <w:r>
        <w:rPr>
          <w:rFonts w:ascii="Times New Roman" w:hAnsi="Times New Roman"/>
          <w:noProof/>
          <w:sz w:val="24"/>
          <w:szCs w:val="24"/>
        </w:rPr>
        <w:t xml:space="preserve">a praćenje tog procesa.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Osim predanosti u provođenju reformi u vezi s borbom protiv korupcije, Komisija posebno prima na znanje obvezu bugarske vlade da uspostavi postupke koji se odnose na odgovornost glavnog državnog odvjetnika, uključujući zaštitu neov</w:t>
      </w:r>
      <w:r>
        <w:rPr>
          <w:rFonts w:ascii="Times New Roman" w:hAnsi="Times New Roman"/>
          <w:noProof/>
          <w:sz w:val="24"/>
          <w:szCs w:val="24"/>
        </w:rPr>
        <w:t xml:space="preserve">isnosti pravosuđa u skladu s preporukama Venecijanske komisije. Bugarska vlada podnijela je zahtjev za mišljenje i obvezala se da će ispuniti preporuke Venecijanske komisije u skladu s načelima bugarskog ustavnog poretka.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Komisija prima na znanje i predan</w:t>
      </w:r>
      <w:r>
        <w:rPr>
          <w:rFonts w:ascii="Times New Roman" w:hAnsi="Times New Roman"/>
          <w:noProof/>
          <w:sz w:val="24"/>
          <w:szCs w:val="24"/>
        </w:rPr>
        <w:t>ost bugarskih nadležnih tijela da donesu zakonodavstvo za stavljanje izvan snage odredbi iz Zakona o pravosudnom sustavu kojima se propisuje automatska suspenzija sudaca u slučaju kaznene istrage protiv njih i izvješćivanje o članstvu u strukovnim udrugama</w:t>
      </w:r>
      <w:r>
        <w:rPr>
          <w:rFonts w:ascii="Times New Roman" w:hAnsi="Times New Roman"/>
          <w:noProof/>
          <w:sz w:val="24"/>
          <w:szCs w:val="24"/>
        </w:rPr>
        <w:t>. Bugarska vlada već je podnijela zakonodavni prijedlog Nacionalnoj skupštini.</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Naposljetku, Komisija prima na znanje predanost bugarske vlade da osigura stalnu suradnju s tijelima Vijeća Europe kako bi se ispravili preostali nedostaci u vezi s bugarskim ok</w:t>
      </w:r>
      <w:r>
        <w:rPr>
          <w:rFonts w:ascii="Times New Roman" w:hAnsi="Times New Roman"/>
          <w:noProof/>
          <w:sz w:val="24"/>
          <w:szCs w:val="24"/>
        </w:rPr>
        <w:t xml:space="preserve">virom za borbu protiv korupcije i učinkovitim kaznenim istragama. </w:t>
      </w:r>
    </w:p>
    <w:p w:rsidR="00F9290A" w:rsidRDefault="00CF2E71">
      <w:pPr>
        <w:spacing w:line="240" w:lineRule="auto"/>
        <w:jc w:val="both"/>
        <w:rPr>
          <w:rFonts w:ascii="Times New Roman" w:hAnsi="Times New Roman"/>
          <w:noProof/>
          <w:sz w:val="24"/>
          <w:szCs w:val="24"/>
        </w:rPr>
      </w:pPr>
      <w:r>
        <w:rPr>
          <w:rFonts w:ascii="Times New Roman" w:hAnsi="Times New Roman"/>
          <w:noProof/>
          <w:sz w:val="24"/>
          <w:szCs w:val="24"/>
        </w:rPr>
        <w:t>Komisija smatra da je napredak Bugarske u okviru CVM-a dostatan za ispunjenje obveza koje je Bugarska preuzela u trenutku njezina pristupanja EU-u. Bugarska će i dalje trebati dosljedno rad</w:t>
      </w:r>
      <w:r>
        <w:rPr>
          <w:rFonts w:ascii="Times New Roman" w:hAnsi="Times New Roman"/>
          <w:noProof/>
          <w:sz w:val="24"/>
          <w:szCs w:val="24"/>
        </w:rPr>
        <w:t>iti kako bi obveze iz ovog izvješća pretočila u konkretno zakonodavstvo i nastavila s njihovom daljnjom provedbom. Vijeće za naknadno praćenje trebalo bi osigurati praćenje daljnje provedbe reformi koje je uvela Bugarska i to će pridonijeti budućem dijalog</w:t>
      </w:r>
      <w:r>
        <w:rPr>
          <w:rFonts w:ascii="Times New Roman" w:hAnsi="Times New Roman"/>
          <w:noProof/>
          <w:sz w:val="24"/>
          <w:szCs w:val="24"/>
        </w:rPr>
        <w:t>u s Komisijom u okviru sveobuhvatnog mehanizma vladavine prava. Komisija će prije donošenja konačne odluke uzeti u obzir primjedbe Vijeća i Europskog parlamenta</w:t>
      </w:r>
      <w:r>
        <w:rPr>
          <w:rStyle w:val="FootnoteReference"/>
          <w:rFonts w:ascii="Times New Roman" w:hAnsi="Times New Roman"/>
          <w:noProof/>
          <w:sz w:val="24"/>
          <w:szCs w:val="24"/>
        </w:rPr>
        <w:footnoteReference w:id="50"/>
      </w:r>
      <w:r>
        <w:rPr>
          <w:noProof/>
          <w:sz w:val="24"/>
          <w:szCs w:val="24"/>
        </w:rPr>
        <w:t>.</w:t>
      </w:r>
    </w:p>
    <w:p w:rsidR="00F9290A" w:rsidRDefault="00F9290A">
      <w:pPr>
        <w:spacing w:line="240" w:lineRule="auto"/>
        <w:jc w:val="both"/>
        <w:rPr>
          <w:rFonts w:ascii="Times New Roman" w:hAnsi="Times New Roman"/>
          <w:noProof/>
          <w:sz w:val="24"/>
          <w:szCs w:val="24"/>
        </w:rPr>
      </w:pPr>
    </w:p>
    <w:p w:rsidR="00F9290A" w:rsidRDefault="00F9290A">
      <w:pPr>
        <w:spacing w:line="240" w:lineRule="auto"/>
        <w:jc w:val="both"/>
        <w:rPr>
          <w:rFonts w:ascii="Times New Roman" w:hAnsi="Times New Roman"/>
          <w:noProof/>
          <w:sz w:val="24"/>
          <w:szCs w:val="24"/>
        </w:rPr>
      </w:pPr>
    </w:p>
    <w:sectPr w:rsidR="00F9290A" w:rsidSect="00CF2E71">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0A" w:rsidRDefault="00CF2E71">
      <w:pPr>
        <w:spacing w:after="0" w:line="240" w:lineRule="auto"/>
      </w:pPr>
      <w:r>
        <w:separator/>
      </w:r>
    </w:p>
  </w:endnote>
  <w:endnote w:type="continuationSeparator" w:id="0">
    <w:p w:rsidR="00F9290A" w:rsidRDefault="00CF2E71">
      <w:pPr>
        <w:spacing w:after="0" w:line="240" w:lineRule="auto"/>
      </w:pPr>
      <w:r>
        <w:continuationSeparator/>
      </w:r>
    </w:p>
  </w:endnote>
  <w:endnote w:type="continuationNotice" w:id="1">
    <w:p w:rsidR="00F9290A" w:rsidRDefault="00F92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CF2E71">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CF2E71">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0A" w:rsidRDefault="00CF2E71">
      <w:pPr>
        <w:spacing w:after="0" w:line="240" w:lineRule="auto"/>
      </w:pPr>
      <w:r>
        <w:separator/>
      </w:r>
    </w:p>
  </w:footnote>
  <w:footnote w:type="continuationSeparator" w:id="0">
    <w:p w:rsidR="00F9290A" w:rsidRDefault="00CF2E71">
      <w:pPr>
        <w:spacing w:after="0" w:line="240" w:lineRule="auto"/>
      </w:pPr>
      <w:r>
        <w:continuationSeparator/>
      </w:r>
    </w:p>
  </w:footnote>
  <w:footnote w:type="continuationNotice" w:id="1">
    <w:p w:rsidR="00F9290A" w:rsidRDefault="00F9290A">
      <w:pPr>
        <w:spacing w:after="0" w:line="240" w:lineRule="auto"/>
      </w:pPr>
    </w:p>
  </w:footnote>
  <w:footnote w:id="2">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t xml:space="preserve">Odluka Komisije 2006/929/EZ od 13. prosinca </w:t>
      </w:r>
      <w:r>
        <w:rPr>
          <w:rFonts w:ascii="Times New Roman" w:hAnsi="Times New Roman"/>
        </w:rPr>
        <w:t>2006. o uspostavi mehanizma suradnje i provjere napretka Bugarske u ispunjavanju posebnih mjerila u području reforme pravosuđa i borbe protiv korupcije i organiziranog kriminala (C(2006) 6570); vidjeti i zaključke Vijeća ministara od 17. listopada 2006. (d</w:t>
      </w:r>
      <w:r>
        <w:rPr>
          <w:rFonts w:ascii="Times New Roman" w:hAnsi="Times New Roman"/>
        </w:rPr>
        <w:t>okument Vijeća 13339/06).</w:t>
      </w:r>
    </w:p>
  </w:footnote>
  <w:footnote w:id="3">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sz w:val="14"/>
        </w:rPr>
        <w:t xml:space="preserve"> </w:t>
      </w:r>
      <w:r>
        <w:rPr>
          <w:rFonts w:ascii="Times New Roman" w:hAnsi="Times New Roman"/>
        </w:rPr>
        <w:tab/>
      </w:r>
      <w:r>
        <w:rPr>
          <w:rFonts w:ascii="Times New Roman" w:hAnsi="Times New Roman"/>
          <w:i/>
        </w:rPr>
        <w:t>Izvješće o napretku Bugarske u okviru mehanizma suradnje i provjere</w:t>
      </w:r>
      <w:r>
        <w:rPr>
          <w:rFonts w:ascii="Times New Roman" w:hAnsi="Times New Roman"/>
        </w:rPr>
        <w:t xml:space="preserve">, COM(2017) 43. </w:t>
      </w:r>
    </w:p>
  </w:footnote>
  <w:footnote w:id="4">
    <w:p w:rsidR="00F9290A" w:rsidRDefault="00CF2E71">
      <w:pPr>
        <w:pStyle w:val="FootnoteText"/>
        <w:tabs>
          <w:tab w:val="left" w:pos="284"/>
        </w:tabs>
        <w:spacing w:after="0" w:line="240" w:lineRule="auto"/>
        <w:jc w:val="both"/>
      </w:pPr>
      <w:r>
        <w:rPr>
          <w:rFonts w:ascii="Times New Roman" w:hAnsi="Times New Roman"/>
          <w:vertAlign w:val="superscript"/>
        </w:rPr>
        <w:footnoteRef/>
      </w:r>
      <w:r>
        <w:rPr>
          <w:rFonts w:ascii="Times New Roman" w:hAnsi="Times New Roman"/>
        </w:rPr>
        <w:t xml:space="preserve"> </w:t>
      </w:r>
      <w:r>
        <w:tab/>
      </w:r>
      <w:r>
        <w:rPr>
          <w:rFonts w:ascii="Times New Roman" w:hAnsi="Times New Roman"/>
          <w:i/>
        </w:rPr>
        <w:t>Izvješće o napretku Bugarske u okviru mehanizma suradnje i provjere</w:t>
      </w:r>
      <w:r>
        <w:t xml:space="preserve">, </w:t>
      </w:r>
      <w:r>
        <w:rPr>
          <w:rFonts w:ascii="Times New Roman" w:hAnsi="Times New Roman"/>
        </w:rPr>
        <w:t>COM(2017) 750.</w:t>
      </w:r>
    </w:p>
  </w:footnote>
  <w:footnote w:id="5">
    <w:p w:rsidR="00F9290A" w:rsidRDefault="00CF2E71">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Zaključci Vijeća o mehanizmu suradnje i potpore, </w:t>
      </w:r>
      <w:r>
        <w:rPr>
          <w:rFonts w:ascii="Times New Roman" w:hAnsi="Times New Roman"/>
        </w:rPr>
        <w:t>12. prosinca 2017. (15587/17).</w:t>
      </w:r>
    </w:p>
  </w:footnote>
  <w:footnote w:id="6">
    <w:p w:rsidR="00F9290A" w:rsidRDefault="00CF2E71">
      <w:pPr>
        <w:pStyle w:val="FootnoteText"/>
        <w:spacing w:after="0" w:line="240" w:lineRule="auto"/>
        <w:ind w:left="284" w:hanging="284"/>
        <w:contextualSpacing/>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Izvješće o napretku Bugarske u okviru mehanizma suradnje i provjere</w:t>
      </w:r>
      <w:r>
        <w:t xml:space="preserve">, </w:t>
      </w:r>
      <w:r>
        <w:rPr>
          <w:rFonts w:ascii="Times New Roman" w:hAnsi="Times New Roman"/>
        </w:rPr>
        <w:t>COM(2018) 850 final.</w:t>
      </w:r>
    </w:p>
  </w:footnote>
  <w:footnote w:id="7">
    <w:p w:rsidR="00F9290A" w:rsidRDefault="00CF2E71">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Zaključci Vijeća o mehanizmu suradnje i provjere, 11. prosinca 2018. (15187/18).</w:t>
      </w:r>
    </w:p>
  </w:footnote>
  <w:footnote w:id="8">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Saznanja su dovela do ostavke više visokih du</w:t>
      </w:r>
      <w:r>
        <w:rPr>
          <w:rFonts w:ascii="Times New Roman" w:hAnsi="Times New Roman"/>
        </w:rPr>
        <w:t xml:space="preserve">žnosnika i političara, uključujući bivšeg ministra pravosuđa, direktora agencije za borbu protiv korupcije i predsjednika parlamentarne skupine glavne stranke u vladi. </w:t>
      </w:r>
    </w:p>
  </w:footnote>
  <w:footnote w:id="9">
    <w:p w:rsidR="00F9290A" w:rsidRDefault="00CF2E71">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Vidjeti odjeljak 3.1. u nastavku.</w:t>
      </w:r>
    </w:p>
  </w:footnote>
  <w:footnote w:id="10">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Prema Reporterima bez granica prijetnje novinar</w:t>
      </w:r>
      <w:r>
        <w:rPr>
          <w:rFonts w:ascii="Times New Roman" w:hAnsi="Times New Roman"/>
        </w:rPr>
        <w:t xml:space="preserve">ima toliko su se povećale da se bavljenje novinarstvom sada može smatrati opasnim u Bugarskoj. Bugarska je prema Svjetskom indeksu slobode medija u 2019. ostala na 111. mjestu među 180 zemalja i time potvrdila svoj položaj na samom začelju Europske unije, </w:t>
      </w:r>
      <w:r>
        <w:rPr>
          <w:rFonts w:ascii="Times New Roman" w:hAnsi="Times New Roman"/>
        </w:rPr>
        <w:t xml:space="preserve">nakon znatnog pogoršanja od 2013.: </w:t>
      </w:r>
      <w:hyperlink r:id="rId1" w:history="1">
        <w:r>
          <w:rPr>
            <w:rStyle w:val="Hyperlink"/>
            <w:rFonts w:ascii="Times New Roman" w:hAnsi="Times New Roman"/>
          </w:rPr>
          <w:t>https://rsf.org/en/bulgaria</w:t>
        </w:r>
      </w:hyperlink>
      <w:r>
        <w:rPr>
          <w:rFonts w:ascii="Times New Roman" w:hAnsi="Times New Roman"/>
        </w:rPr>
        <w:t>. Na primjer, u rujnu 2019. iznenadan otkaz novinaru na nacionalnom radiju izazvao je zabrinutost u pogledu neovisnosti tog radija od vanjskog pritisk</w:t>
      </w:r>
      <w:r>
        <w:rPr>
          <w:rFonts w:ascii="Times New Roman" w:hAnsi="Times New Roman"/>
        </w:rPr>
        <w:t xml:space="preserve">a te potaknuo ulične prosvjede i pozive na pokretanje parlamentarne istrage. Nacionalna skupština odlučila je 27. rujna osnovati </w:t>
      </w:r>
      <w:r>
        <w:rPr>
          <w:rFonts w:ascii="Times New Roman" w:hAnsi="Times New Roman"/>
          <w:i/>
          <w:iCs/>
        </w:rPr>
        <w:t>ad hoc</w:t>
      </w:r>
      <w:r>
        <w:rPr>
          <w:rFonts w:ascii="Times New Roman" w:hAnsi="Times New Roman"/>
        </w:rPr>
        <w:t xml:space="preserve"> povjerenstvo koje će istražiti aferu. </w:t>
      </w:r>
    </w:p>
  </w:footnote>
  <w:footnote w:id="11">
    <w:p w:rsidR="00F9290A" w:rsidRDefault="00CF2E71">
      <w:pPr>
        <w:pStyle w:val="FootnoteText"/>
        <w:spacing w:after="0" w:line="240" w:lineRule="auto"/>
        <w:ind w:left="284" w:hanging="284"/>
        <w:rPr>
          <w:rFonts w:ascii="Times New Roman" w:hAnsi="Times New Roman"/>
        </w:rPr>
      </w:pPr>
      <w:r>
        <w:rPr>
          <w:rStyle w:val="FootnoteReference"/>
        </w:rPr>
        <w:footnoteRef/>
      </w:r>
      <w:r>
        <w:t xml:space="preserve"> </w:t>
      </w:r>
      <w:r>
        <w:tab/>
      </w:r>
      <w:r>
        <w:rPr>
          <w:rFonts w:ascii="Times New Roman" w:hAnsi="Times New Roman"/>
        </w:rPr>
        <w:t>Ta pitanja bit će obuhvaćena budućim mehanizmom vladavine prava.</w:t>
      </w:r>
    </w:p>
  </w:footnote>
  <w:footnote w:id="12">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Odluka Žalbenog suda u Sofiji o uvjetnom otpustu u predmetu koji je izazvao iznimnu medijsku pozornost dovela je u rujnu 2019. do reakcija i mjera protiv predsjedavajućih sudaca. To je potaklo i Bugarsko udruženje sudaca da kritizira izostanak učinkovite r</w:t>
      </w:r>
      <w:r>
        <w:rPr>
          <w:rFonts w:ascii="Times New Roman" w:hAnsi="Times New Roman"/>
        </w:rPr>
        <w:t xml:space="preserve">eakcije pravosudnih članova Vrhovnog sudskog vijeća. </w:t>
      </w:r>
    </w:p>
  </w:footnote>
  <w:footnote w:id="13">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 xml:space="preserve"> </w:t>
      </w:r>
      <w:r>
        <w:rPr>
          <w:rFonts w:ascii="Times New Roman" w:hAnsi="Times New Roman"/>
        </w:rPr>
        <w:tab/>
      </w:r>
      <w:hyperlink r:id="rId2" w:history="1">
        <w:r>
          <w:rPr>
            <w:rStyle w:val="Hyperlink"/>
            <w:rFonts w:ascii="Times New Roman" w:hAnsi="Times New Roman"/>
          </w:rPr>
          <w:t>https://ec.europa.eu/info/policies/justice-and-fundamental-rights/upholdi</w:t>
        </w:r>
        <w:r>
          <w:rPr>
            <w:rStyle w:val="Hyperlink"/>
            <w:rFonts w:ascii="Times New Roman" w:hAnsi="Times New Roman"/>
          </w:rPr>
          <w:t>ng-rule-law/eu-justice-scoreboard_en</w:t>
        </w:r>
      </w:hyperlink>
      <w:r>
        <w:rPr>
          <w:rFonts w:ascii="Times New Roman" w:hAnsi="Times New Roman"/>
        </w:rPr>
        <w:t xml:space="preserve"> </w:t>
      </w:r>
    </w:p>
  </w:footnote>
  <w:footnote w:id="14">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hyperlink r:id="rId3" w:history="1">
        <w:r>
          <w:rPr>
            <w:rStyle w:val="Hyperlink"/>
            <w:rFonts w:ascii="Times New Roman" w:hAnsi="Times New Roman"/>
          </w:rPr>
          <w:t>https://ec.europa.eu/info/business</w:t>
        </w:r>
        <w:r>
          <w:rPr>
            <w:rStyle w:val="Hyperlink"/>
            <w:rFonts w:ascii="Times New Roman" w:hAnsi="Times New Roman"/>
          </w:rPr>
          <w:t>-economy-euro/economic-and-fiscal-policy-coordination/eu-economic-governance-monitoring-prevention-correction/european-semester_hr</w:t>
        </w:r>
      </w:hyperlink>
      <w:r>
        <w:rPr>
          <w:rFonts w:ascii="Times New Roman" w:hAnsi="Times New Roman"/>
        </w:rPr>
        <w:t xml:space="preserve"> </w:t>
      </w:r>
    </w:p>
  </w:footnote>
  <w:footnote w:id="15">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„Jačanje vladavine prava u Uniji – Nacrt za djelovanje”,</w:t>
      </w:r>
      <w:r>
        <w:rPr>
          <w:rFonts w:ascii="Times New Roman" w:hAnsi="Times New Roman"/>
        </w:rPr>
        <w:t xml:space="preserve"> COM(2019) 343 final. Time će se dopuniti okvir vladavine prava i</w:t>
      </w:r>
      <w:r>
        <w:rPr>
          <w:rFonts w:ascii="Times New Roman" w:hAnsi="Times New Roman"/>
        </w:rPr>
        <w:t>z 2014.</w:t>
      </w:r>
    </w:p>
  </w:footnote>
  <w:footnote w:id="16">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i/>
        </w:rPr>
        <w:t>Političke smjernice za sljedeću Europsku komisiju (2019.–2024.) – „Ambicioznija Unija: Moj program za Europu”</w:t>
      </w:r>
      <w:r>
        <w:rPr>
          <w:rFonts w:ascii="Times New Roman" w:hAnsi="Times New Roman"/>
        </w:rPr>
        <w:t xml:space="preserve">, str. 14.–15., vidjeti </w:t>
      </w:r>
      <w:hyperlink r:id="rId4" w:history="1">
        <w:r>
          <w:rPr>
            <w:rStyle w:val="Hyperlink"/>
            <w:rFonts w:ascii="Times New Roman" w:hAnsi="Times New Roman"/>
          </w:rPr>
          <w:t>https://ec.europa.eu/commission/sites/beta-political/files/political-guidelines-next-commission_hr.pd</w:t>
        </w:r>
      </w:hyperlink>
      <w:r>
        <w:t>f</w:t>
      </w:r>
      <w:r>
        <w:rPr>
          <w:rFonts w:ascii="Times New Roman" w:hAnsi="Times New Roman"/>
        </w:rPr>
        <w:t xml:space="preserve"> </w:t>
      </w:r>
    </w:p>
  </w:footnote>
  <w:footnote w:id="17">
    <w:p w:rsidR="00F9290A" w:rsidRDefault="00CF2E71">
      <w:pPr>
        <w:pStyle w:val="FootnoteText"/>
        <w:tabs>
          <w:tab w:val="left" w:pos="284"/>
        </w:tabs>
        <w:spacing w:after="0" w:line="240" w:lineRule="auto"/>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Vidjeti treće i peto mjerilo u n</w:t>
      </w:r>
      <w:r>
        <w:rPr>
          <w:rFonts w:ascii="Times New Roman" w:hAnsi="Times New Roman"/>
        </w:rPr>
        <w:t>astavku.</w:t>
      </w:r>
    </w:p>
  </w:footnote>
  <w:footnote w:id="18">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Sudjelovanje institucija izvan izvršne vlasti bit će dobrovoljno. </w:t>
      </w:r>
    </w:p>
  </w:footnote>
  <w:footnote w:id="19">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Vlada je 18. rujna odobrila novu strukturu, vidjeti Vijeće ministara, </w:t>
      </w:r>
      <w:r>
        <w:rPr>
          <w:rFonts w:ascii="Times New Roman" w:hAnsi="Times New Roman"/>
          <w:i/>
        </w:rPr>
        <w:t>Odluku br. 240 od 24. rujna 2019. o uspostavi nacionalnog mehanizma za praćenje borbe protiv korupcije i</w:t>
      </w:r>
      <w:r>
        <w:rPr>
          <w:rFonts w:ascii="Times New Roman" w:hAnsi="Times New Roman"/>
          <w:i/>
        </w:rPr>
        <w:t xml:space="preserve"> organiziranog kriminala, reformu pravosuđa i vladavinu prava te osnivanju Vijeća za koordinaciju i suradnju</w:t>
      </w:r>
      <w:r>
        <w:rPr>
          <w:rFonts w:ascii="Times New Roman" w:hAnsi="Times New Roman"/>
        </w:rPr>
        <w:t xml:space="preserve">. </w:t>
      </w:r>
    </w:p>
  </w:footnote>
  <w:footnote w:id="20">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Ministar pravosuđa djelovat će kao zamjenik predsjednika, a Ministarstvo pravosuđa djelovat će kao tajništvo. U odluci se također navodi da ta</w:t>
      </w:r>
      <w:r>
        <w:rPr>
          <w:rFonts w:ascii="Times New Roman" w:hAnsi="Times New Roman"/>
        </w:rPr>
        <w:t>jništvo koordinira dostavu informacija Europskoj komisiji.</w:t>
      </w:r>
    </w:p>
  </w:footnote>
  <w:footnote w:id="21">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Njegovi članovi sudjelovat će na sastancima Vijeća za naknadno praćenje kao promatrači te mogu davati mišljenja i prijedloge. </w:t>
      </w:r>
    </w:p>
  </w:footnote>
  <w:footnote w:id="22">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U odluci se izričito navodi da će vijeće u svojem radu u potpuno</w:t>
      </w:r>
      <w:r>
        <w:rPr>
          <w:rFonts w:ascii="Times New Roman" w:hAnsi="Times New Roman"/>
        </w:rPr>
        <w:t xml:space="preserve">sti poštovati diobu vlasti i neovisnost pravosuđa. </w:t>
      </w:r>
    </w:p>
  </w:footnote>
  <w:footnote w:id="23">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Novo pravosudno vijeće izabrano je 2017. na temelju novih transparentnijih postupaka, a pravosudna inspekcija počela je djelovati u okviru svojih novih nadležnosti u području integriteta. </w:t>
      </w:r>
    </w:p>
  </w:footnote>
  <w:footnote w:id="24">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Riječ je </w:t>
      </w:r>
      <w:r>
        <w:rPr>
          <w:rFonts w:ascii="Times New Roman" w:hAnsi="Times New Roman"/>
        </w:rPr>
        <w:t xml:space="preserve">konkretno o trećem mjerilu o nastavku pravosudne reforme i četvrtom mjerilu o borbi protiv korupcije na visokoj razini, gdje su zakonodavne mjere i dalje bitan čimbenik u praćenju ključnih pitanja koja su istaknuli Vijeće Europe i neovisna stručna analiza </w:t>
      </w:r>
      <w:r>
        <w:rPr>
          <w:rFonts w:ascii="Times New Roman" w:hAnsi="Times New Roman"/>
        </w:rPr>
        <w:t xml:space="preserve">bugarskog državnog odvjetništva. </w:t>
      </w:r>
    </w:p>
  </w:footnote>
  <w:footnote w:id="25">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Predsjednik može jednom odbiti kandidata, ali ga ne može blokirati ako Vrhovno sudsko vijeće tog kandidata predloži drugi put. </w:t>
      </w:r>
    </w:p>
  </w:footnote>
  <w:footnote w:id="26">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Prema bugarskom zakonu, kandidate mogu predložiti članovi tužiteljske komore sudskog vij</w:t>
      </w:r>
      <w:r>
        <w:rPr>
          <w:rFonts w:ascii="Times New Roman" w:hAnsi="Times New Roman"/>
        </w:rPr>
        <w:t xml:space="preserve">eća ili ministar pravosuđa. Ministar pravosuđa već je izjavio da ne namjerava predložiti kandidata. </w:t>
      </w:r>
    </w:p>
  </w:footnote>
  <w:footnote w:id="27">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Među ostalim i uličnim prosvjedima, koje su organizirale udruge civilnog društva. </w:t>
      </w:r>
    </w:p>
  </w:footnote>
  <w:footnote w:id="28">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Odjeljci 3.2. i 3.3. </w:t>
      </w:r>
    </w:p>
  </w:footnote>
  <w:footnote w:id="29">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Izražena je zabrinutost da bi odredbe o a</w:t>
      </w:r>
      <w:r>
        <w:rPr>
          <w:rFonts w:ascii="Times New Roman" w:hAnsi="Times New Roman"/>
        </w:rPr>
        <w:t xml:space="preserve">utomatskoj suspenziji sudaca odmah nakon pokretanja kaznene istrage mogle ugroziti neovisnost pravosuđa. Sud je presudio da Vrhovno sudsko vijeće mora imati mogućnost procijeniti nužnost i proporcionalnost suspenzije u svakom pojedinom slučaju. </w:t>
      </w:r>
    </w:p>
  </w:footnote>
  <w:footnote w:id="30">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U sklad</w:t>
      </w:r>
      <w:r>
        <w:rPr>
          <w:rFonts w:ascii="Times New Roman" w:hAnsi="Times New Roman"/>
        </w:rPr>
        <w:t>u s važnom izmjenom donesenom 2017. suci, državni odvjetnici i istražni suci dužni su članstvo u strukovnim udrugama prijaviti Vrhovnom pravosudnom vijeću, što je izazvalo zabrinutost u pogledu slobode udruživanja bugarskih sudaca. Nacrt izmjena podnesen 2</w:t>
      </w:r>
      <w:r>
        <w:rPr>
          <w:rFonts w:ascii="Times New Roman" w:hAnsi="Times New Roman"/>
        </w:rPr>
        <w:t xml:space="preserve">0. rujna uključuje i stavljanje tog zahtjeva izvan snage. </w:t>
      </w:r>
    </w:p>
  </w:footnote>
  <w:footnote w:id="31">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Vidjeti prethodni odjeljak 2. </w:t>
      </w:r>
    </w:p>
  </w:footnote>
  <w:footnote w:id="32">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rPr>
        <w:tab/>
        <w:t>U</w:t>
      </w:r>
      <w:r>
        <w:rPr>
          <w:rFonts w:ascii="Times New Roman" w:hAnsi="Times New Roman"/>
          <w:vertAlign w:val="superscript"/>
        </w:rPr>
        <w:t xml:space="preserve"> </w:t>
      </w:r>
      <w:r>
        <w:rPr>
          <w:rFonts w:ascii="Times New Roman" w:hAnsi="Times New Roman"/>
        </w:rPr>
        <w:t>provedbi analize pomoć je pružila Komisijina Služba za potporu strukturnim reformama, a uključeni su bili i viši državni odvjetnici iz Njemačke, Francuske, Niz</w:t>
      </w:r>
      <w:r>
        <w:rPr>
          <w:rFonts w:ascii="Times New Roman" w:hAnsi="Times New Roman"/>
        </w:rPr>
        <w:t xml:space="preserve">ozemske i Španjolske. Preporuke iz studije poslužile su kao osnova za plan koji su 2017. izradila bugarska nadležna tijela. </w:t>
      </w:r>
    </w:p>
  </w:footnote>
  <w:footnote w:id="33">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ab/>
      </w:r>
      <w:r>
        <w:rPr>
          <w:rFonts w:ascii="Times New Roman" w:hAnsi="Times New Roman"/>
        </w:rPr>
        <w:t>Preliminarnim istragama, koje prethode službenom predsudskom postupku, želi se ocijeniti postoje li dostatni dokazi za pokretanje</w:t>
      </w:r>
      <w:r>
        <w:rPr>
          <w:rFonts w:ascii="Times New Roman" w:hAnsi="Times New Roman"/>
        </w:rPr>
        <w:t xml:space="preserve"> službene kaznene istrage. </w:t>
      </w:r>
    </w:p>
  </w:footnote>
  <w:footnote w:id="34">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Vijeće Europe još uvijek prati daljnja postupanja Bugarske u vezi s tim pitanjima, od kojih su mnoga uzeta u obzir u prethodno navedenoj neovisnoj analizi Ureda državnog odvjetnika. U ožujku 2019. Vijeće Europe pozvalo je nadležna tijela da do 1. listopada</w:t>
      </w:r>
      <w:r>
        <w:rPr>
          <w:rFonts w:ascii="Times New Roman" w:hAnsi="Times New Roman"/>
        </w:rPr>
        <w:t xml:space="preserve"> 2019. dostave informacije o konkretnim prijedlozima mjera u prethodno navedena tri područja, koja su sva izuzetno važna za poštovanje vladavine prava, te ih je s tim u vezi potaknulo da blisko surađuju s Tajništvom Vijeća Europe i iskoriste stručno znanje</w:t>
      </w:r>
      <w:r>
        <w:rPr>
          <w:rFonts w:ascii="Times New Roman" w:hAnsi="Times New Roman"/>
        </w:rPr>
        <w:t xml:space="preserve"> koje Vijeće Europe stavlja na raspolaganje, a Tajništvo je zadužilo da izradi nacrt privremene rezolucije koji će se razmatrati u prosincu 2019. u slučaju da nije ostvaren nikakav konkretan napredak. </w:t>
      </w:r>
      <w:hyperlink r:id="rId5" w:history="1">
        <w:r>
          <w:rPr>
            <w:rStyle w:val="Hyperlink"/>
            <w:rFonts w:ascii="Times New Roman" w:hAnsi="Times New Roman"/>
          </w:rPr>
          <w:t>https://search.coe.int/cm/Pages/result_details.aspx?ObjectID=09000016809372d5</w:t>
        </w:r>
      </w:hyperlink>
      <w:r>
        <w:rPr>
          <w:rFonts w:ascii="Times New Roman" w:hAnsi="Times New Roman"/>
        </w:rPr>
        <w:t xml:space="preserve"> </w:t>
      </w:r>
    </w:p>
  </w:footnote>
  <w:footnote w:id="35">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Nacrt izmjena predstavljen je na sastanku radne skupine u okviru Ministarstva pravosuđa koji se iznimno prenosio uživo na internetu, a </w:t>
      </w:r>
      <w:r>
        <w:rPr>
          <w:rFonts w:ascii="Times New Roman" w:hAnsi="Times New Roman"/>
        </w:rPr>
        <w:t xml:space="preserve">tekstovi su objavljeni naknadno. </w:t>
      </w:r>
    </w:p>
  </w:footnote>
  <w:footnote w:id="36">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Prema predloženom postupku Vrhovno sudsko vijeće moralo bi odobriti pokretanje kaznene istrage protiv glavnih sudaca na sličan način kao što Nacionalna skupština mora odobriti pokretanje kaznenog postupka protiv zastupn</w:t>
      </w:r>
      <w:r>
        <w:rPr>
          <w:rFonts w:ascii="Times New Roman" w:hAnsi="Times New Roman"/>
        </w:rPr>
        <w:t xml:space="preserve">ika u parlamentu. Vijeće bi na plenarnoj sjednici tu odluku donijelo na prijedlog troje članova relevantne komore Vijeća (tužiteljske komore u slučaju glavnog državnog odvjetnika) ili ministra pravosuđa. Odluka bi imala za posljedicu automatsku suspenziju </w:t>
      </w:r>
      <w:r>
        <w:rPr>
          <w:rFonts w:ascii="Times New Roman" w:hAnsi="Times New Roman"/>
        </w:rPr>
        <w:t xml:space="preserve">dužnosti, a istragu bi provodili državni odvjetnici ureda specijaliziranog državnog odvjetnika za organizirani kriminal ili ureda državnog odvjetnika grada Sofije, ovisno o prirodi navodnog kaznenog djela. </w:t>
      </w:r>
    </w:p>
  </w:footnote>
  <w:footnote w:id="37">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r>
      <w:r>
        <w:rPr>
          <w:rFonts w:ascii="Times New Roman" w:hAnsi="Times New Roman"/>
        </w:rPr>
        <w:t>Glavni razlog zabrinutosti u pogledu neovisnosti pravosuđa odnosio se na proporcionalnost predviđene suspenzije dužnosti, koja bi automatski uslijedila nakon odluke o pokretanju kaznene istrage. Osim toga, izraženo je mišljenje da nije potreban poseban pos</w:t>
      </w:r>
      <w:r>
        <w:rPr>
          <w:rFonts w:ascii="Times New Roman" w:hAnsi="Times New Roman"/>
        </w:rPr>
        <w:t xml:space="preserve">tupak za predsjednike sudova jer državno odvjetništvo već u okviru postojećeg pravnog okvira može provesti neovisnu istragu. </w:t>
      </w:r>
    </w:p>
  </w:footnote>
  <w:footnote w:id="38">
    <w:p w:rsidR="00F9290A" w:rsidRDefault="00CF2E71">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To je, na primjer, navedeno u mišljenju Venecijanske komisije iz listopada 2017. o Zakonu o bugarskom pravosudnom sustavu (mišl</w:t>
      </w:r>
      <w:r>
        <w:rPr>
          <w:rFonts w:ascii="Times New Roman" w:hAnsi="Times New Roman"/>
        </w:rPr>
        <w:t xml:space="preserve">jenje br. 855/2016, str. 10.). </w:t>
      </w:r>
    </w:p>
  </w:footnote>
  <w:footnote w:id="39">
    <w:p w:rsidR="00F9290A" w:rsidRDefault="00CF2E71">
      <w:pPr>
        <w:pStyle w:val="FootnoteText"/>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Europska komisija za demokraciju putem prava (Venecijanska komisija) savjetodavno je tijelo u okviru Vijeća Europe koje savjetuje države članice tog Vijeća o ustavnim pitanjima i europskim standardima u području demokraci</w:t>
      </w:r>
      <w:r>
        <w:rPr>
          <w:rFonts w:ascii="Times New Roman" w:hAnsi="Times New Roman"/>
        </w:rPr>
        <w:t>je, ljudskih prava i vladavine prava.</w:t>
      </w:r>
    </w:p>
  </w:footnote>
  <w:footnote w:id="40">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U lipnju 2019. održana je rasprava za okruglim stolom u kojoj su sudjelovali predstavnici vlasti, pravosudnih institucija i stručnjaci iz Vijeća Europe. </w:t>
      </w:r>
    </w:p>
  </w:footnote>
  <w:footnote w:id="41">
    <w:p w:rsidR="00F9290A" w:rsidRDefault="00CF2E71">
      <w:pPr>
        <w:pStyle w:val="FootnoteText"/>
        <w:spacing w:after="0" w:line="240" w:lineRule="auto"/>
        <w:ind w:left="284" w:hanging="284"/>
        <w:jc w:val="both"/>
      </w:pPr>
      <w:r>
        <w:rPr>
          <w:rFonts w:ascii="Times New Roman" w:hAnsi="Times New Roman"/>
          <w:vertAlign w:val="superscript"/>
        </w:rPr>
        <w:footnoteRef/>
      </w:r>
      <w:r>
        <w:rPr>
          <w:rFonts w:ascii="Times New Roman" w:hAnsi="Times New Roman"/>
          <w:vertAlign w:val="superscript"/>
        </w:rPr>
        <w:t xml:space="preserve"> </w:t>
      </w:r>
      <w:r>
        <w:tab/>
      </w:r>
      <w:r>
        <w:rPr>
          <w:rFonts w:ascii="Times New Roman" w:hAnsi="Times New Roman"/>
        </w:rPr>
        <w:t>U izvješću za 2018. navodi se da je provjera privatne imov</w:t>
      </w:r>
      <w:r>
        <w:rPr>
          <w:rFonts w:ascii="Times New Roman" w:hAnsi="Times New Roman"/>
        </w:rPr>
        <w:t>ine i izjava o sukobu interesa provedena za više od 9000 osoba. Više od 700 izjava bilo su predmet ispravka ili posebnog praćenja.</w:t>
      </w:r>
    </w:p>
  </w:footnote>
  <w:footnote w:id="42">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U Bugarskoj je korupcija i dalje vrlo zabrinjavajuća, kao što su pokazala brojna istraživanja i studije neovisnih promatra</w:t>
      </w:r>
      <w:r>
        <w:rPr>
          <w:rFonts w:ascii="Times New Roman" w:hAnsi="Times New Roman"/>
        </w:rPr>
        <w:t xml:space="preserve">ča. </w:t>
      </w:r>
    </w:p>
  </w:footnote>
  <w:footnote w:id="43">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To znači da te institucije moraju ne samo poštovati zakone u sudskoj praksi nego i pažljivo komunicirati sa širom javnosti kako bi stvorile dojam neutralnosti i profesionalizma. </w:t>
      </w:r>
    </w:p>
  </w:footnote>
  <w:footnote w:id="44">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Skupina država Vijeća Europe za borbu protiv korupcije (GRECO), sa</w:t>
      </w:r>
      <w:r>
        <w:rPr>
          <w:rFonts w:ascii="Times New Roman" w:hAnsi="Times New Roman"/>
        </w:rPr>
        <w:t>vjetodavno tijelo koje prati kako države članice Vijeća Europe provode politiku borbe protiv korupcije, trenutačno analizira aspekte bugarskog okvira za borbu protiv korupcije u kontekstu svojeg četvrtog kruga ocjenjivanja te se očekuje da će uskoro pokren</w:t>
      </w:r>
      <w:r>
        <w:rPr>
          <w:rFonts w:ascii="Times New Roman" w:hAnsi="Times New Roman"/>
        </w:rPr>
        <w:t xml:space="preserve">uti aktivnosti u okviru petog kruga ocjenjivanja. Osim toga, Bugarska se može osloniti na pomoć u okviru Komisijina Programa potpore strukturnim reformama. </w:t>
      </w:r>
    </w:p>
  </w:footnote>
  <w:footnote w:id="45">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U vezi s Vijećem za naknadno praćenje vidjeti prethodni odjeljak 2. </w:t>
      </w:r>
    </w:p>
  </w:footnote>
  <w:footnote w:id="46">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To bi moglo uključivati </w:t>
      </w:r>
      <w:r>
        <w:rPr>
          <w:rFonts w:ascii="Times New Roman" w:hAnsi="Times New Roman"/>
        </w:rPr>
        <w:t xml:space="preserve">i pomoć za dobru provedbu propisa EU-a o javnoj nabavi. </w:t>
      </w:r>
    </w:p>
  </w:footnote>
  <w:footnote w:id="47">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 xml:space="preserve">Trenutačno potpredsjednica Vlade nadležna za reformu pravosuđa i ministrica vanjskih poslova također ima ulogu nacionalnog koordinatora za borbu protiv korupcije. </w:t>
      </w:r>
    </w:p>
  </w:footnote>
  <w:footnote w:id="48">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Nacionalno vijeće za borbu pr</w:t>
      </w:r>
      <w:r>
        <w:rPr>
          <w:rFonts w:ascii="Times New Roman" w:hAnsi="Times New Roman"/>
        </w:rPr>
        <w:t>otiv korupcije i novo Vijeće za naknadno praćenje oba uključuju civilno društvo i mogu pridonijeti široj suradnji s civilnim društvom.</w:t>
      </w:r>
    </w:p>
  </w:footnote>
  <w:footnote w:id="49">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Odluka Komisije od 13. prosinca 2006. (C(2006) 6570)</w:t>
      </w:r>
    </w:p>
  </w:footnote>
  <w:footnote w:id="50">
    <w:p w:rsidR="00F9290A" w:rsidRDefault="00CF2E71">
      <w:pPr>
        <w:pStyle w:val="FootnoteText"/>
        <w:tabs>
          <w:tab w:val="left" w:pos="284"/>
        </w:tabs>
        <w:spacing w:after="0" w:line="240" w:lineRule="auto"/>
        <w:ind w:left="284" w:hanging="284"/>
        <w:jc w:val="both"/>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ab/>
        <w:t>CVM-a za Bugarsku ukinut će se odlukom Komisije kojom se opozi</w:t>
      </w:r>
      <w:r>
        <w:rPr>
          <w:rFonts w:ascii="Times New Roman" w:hAnsi="Times New Roman"/>
        </w:rPr>
        <w:t>va Odluka Komisije 2006/929/EZ od 13. prosinca 2006. o uspostavi mehanizma suradnje i provjere napretka Bugarske u ispunjavanju posebnih mjerila u području reforme pravosuđa i borbe protiv korupcije i organiziranog kriminala (C(2006) 6570).</w:t>
      </w:r>
    </w:p>
    <w:p w:rsidR="00F9290A" w:rsidRDefault="00F9290A">
      <w:pPr>
        <w:pStyle w:val="FootnoteText"/>
        <w:tabs>
          <w:tab w:val="left" w:pos="284"/>
        </w:tabs>
        <w:spacing w:after="0" w:line="240" w:lineRule="auto"/>
        <w:ind w:left="284" w:hanging="284"/>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0A" w:rsidRDefault="00F92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21"/>
    <w:multiLevelType w:val="hybridMultilevel"/>
    <w:tmpl w:val="1D26C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C3810"/>
    <w:multiLevelType w:val="hybridMultilevel"/>
    <w:tmpl w:val="F6F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667"/>
    <w:multiLevelType w:val="hybridMultilevel"/>
    <w:tmpl w:val="5A9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21539"/>
    <w:multiLevelType w:val="hybridMultilevel"/>
    <w:tmpl w:val="912C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B212A"/>
    <w:multiLevelType w:val="hybridMultilevel"/>
    <w:tmpl w:val="8A5C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43D57"/>
    <w:multiLevelType w:val="hybridMultilevel"/>
    <w:tmpl w:val="FAF0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670FD"/>
    <w:multiLevelType w:val="hybridMultilevel"/>
    <w:tmpl w:val="BDB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47F0"/>
    <w:multiLevelType w:val="hybridMultilevel"/>
    <w:tmpl w:val="2C08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F3493"/>
    <w:multiLevelType w:val="hybridMultilevel"/>
    <w:tmpl w:val="4A90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B209F"/>
    <w:multiLevelType w:val="hybridMultilevel"/>
    <w:tmpl w:val="512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217BB"/>
    <w:multiLevelType w:val="hybridMultilevel"/>
    <w:tmpl w:val="2D6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23A6F"/>
    <w:multiLevelType w:val="hybridMultilevel"/>
    <w:tmpl w:val="890C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6792D"/>
    <w:multiLevelType w:val="hybridMultilevel"/>
    <w:tmpl w:val="D2C45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8"/>
  </w:num>
  <w:num w:numId="5">
    <w:abstractNumId w:val="7"/>
  </w:num>
  <w:num w:numId="6">
    <w:abstractNumId w:val="6"/>
  </w:num>
  <w:num w:numId="7">
    <w:abstractNumId w:val="4"/>
  </w:num>
  <w:num w:numId="8">
    <w:abstractNumId w:val="0"/>
  </w:num>
  <w:num w:numId="9">
    <w:abstractNumId w:val="11"/>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D9529E7-4B7F-4754-8692-ABD726639C09"/>
    <w:docVar w:name="LW_COVERPAGE_TYPE" w:val="1"/>
    <w:docVar w:name="LW_CROSSREFERENCE" w:val="{SWD(2019) 392 final}"/>
    <w:docVar w:name="LW_DocType" w:val="NORMAL"/>
    <w:docVar w:name="LW_EMISSION" w:val="22.10.2019."/>
    <w:docVar w:name="LW_EMISSION_ISODATE" w:val="2019-10-22"/>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o napretku u Bugarskoj u sklopu mehanizma suradnje i provjere"/>
    <w:docVar w:name="LW_TYPE.DOC.CP" w:val="IZVJE\u352?\u262?E KOMISIJE EUROPSKOM PARLAMENTU I VIJE\u262?U"/>
  </w:docVars>
  <w:rsids>
    <w:rsidRoot w:val="00F9290A"/>
    <w:rsid w:val="00CF2E71"/>
    <w:rsid w:val="00F929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Pr>
      <w:rFonts w:ascii="Times New Roman" w:eastAsiaTheme="minorHAnsi" w:hAnsi="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Pr>
      <w:rFonts w:ascii="Times New Roman" w:eastAsiaTheme="minorHAnsi" w:hAnsi="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lang w:eastAsia="en-US"/>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lang w:eastAsia="en-US"/>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styleId="Hyperlink">
    <w:name w:val="Hyperlink"/>
    <w:uiPriority w:val="99"/>
    <w:unhideWhenUsed/>
    <w:rPr>
      <w:color w:val="0000FF"/>
      <w:u w:val="single"/>
    </w:r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rPr>
      <w:sz w:val="22"/>
      <w:szCs w:val="21"/>
      <w:lang w:eastAsia="en-US"/>
    </w:rPr>
  </w:style>
  <w:style w:type="character" w:customStyle="1" w:styleId="Marker">
    <w:name w:val="Marker"/>
    <w:rPr>
      <w:color w:val="0000FF"/>
      <w:shd w:val="clear" w:color="auto" w:fill="auto"/>
    </w:rPr>
  </w:style>
  <w:style w:type="paragraph" w:styleId="ListParagraph">
    <w:name w:val="List Paragraph"/>
    <w:basedOn w:val="Normal"/>
    <w:uiPriority w:val="34"/>
    <w:qFormat/>
    <w:pPr>
      <w:ind w:left="720"/>
      <w:contextualSpacing/>
    </w:pPr>
  </w:style>
  <w:style w:type="paragraph" w:customStyle="1" w:styleId="Declassification">
    <w:name w:val="Declassification"/>
    <w:basedOn w:val="Normal"/>
    <w:next w:val="Normal"/>
    <w:pPr>
      <w:spacing w:after="0" w:line="240" w:lineRule="auto"/>
      <w:jc w:val="both"/>
    </w:pPr>
    <w:rPr>
      <w:rFonts w:ascii="Times New Roman" w:eastAsiaTheme="minorHAnsi"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Body">
    <w:name w:val="Body"/>
    <w:rPr>
      <w:rFonts w:ascii="Helvetica Neue" w:eastAsia="Arial Unicode MS" w:hAnsi="Helvetica Neue" w:cs="Arial Unicode MS"/>
      <w:color w:val="000000"/>
      <w:sz w:val="22"/>
      <w:szCs w:val="22"/>
    </w:rPr>
  </w:style>
  <w:style w:type="paragraph" w:customStyle="1" w:styleId="Footnote">
    <w:name w:val="Footnote"/>
    <w:basedOn w:val="Normal"/>
    <w:pPr>
      <w:spacing w:before="120" w:after="120" w:line="240" w:lineRule="auto"/>
      <w:jc w:val="both"/>
    </w:pPr>
    <w:rPr>
      <w:rFonts w:ascii="Times New Roman" w:hAnsi="Times New Roman"/>
      <w:noProof/>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 w:type="paragraph" w:customStyle="1" w:styleId="SecurityMarking">
    <w:name w:val="SecurityMarking"/>
    <w:basedOn w:val="Normal"/>
    <w:pPr>
      <w:spacing w:after="0"/>
      <w:ind w:left="5103"/>
    </w:pPr>
    <w:rPr>
      <w:rFonts w:ascii="Times New Roman" w:eastAsiaTheme="minorHAnsi" w:hAnsi="Times New Roman"/>
      <w:sz w:val="28"/>
    </w:rPr>
  </w:style>
  <w:style w:type="paragraph" w:customStyle="1" w:styleId="DateMarking">
    <w:name w:val="DateMarking"/>
    <w:basedOn w:val="Normal"/>
    <w:pPr>
      <w:spacing w:after="0"/>
      <w:ind w:left="5103"/>
    </w:pPr>
    <w:rPr>
      <w:rFonts w:ascii="Times New Roman" w:eastAsiaTheme="minorHAnsi" w:hAnsi="Times New Roman"/>
      <w:i/>
      <w:sz w:val="28"/>
    </w:rPr>
  </w:style>
  <w:style w:type="paragraph" w:customStyle="1" w:styleId="ReleasableTo">
    <w:name w:val="ReleasableTo"/>
    <w:basedOn w:val="Normal"/>
    <w:pPr>
      <w:spacing w:after="0"/>
      <w:ind w:left="5103"/>
    </w:pPr>
    <w:rPr>
      <w:rFonts w:ascii="Times New Roman" w:eastAsiaTheme="minorHAnsi" w:hAnsi="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sz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959">
      <w:bodyDiv w:val="1"/>
      <w:marLeft w:val="0"/>
      <w:marRight w:val="0"/>
      <w:marTop w:val="0"/>
      <w:marBottom w:val="0"/>
      <w:divBdr>
        <w:top w:val="none" w:sz="0" w:space="0" w:color="auto"/>
        <w:left w:val="none" w:sz="0" w:space="0" w:color="auto"/>
        <w:bottom w:val="none" w:sz="0" w:space="0" w:color="auto"/>
        <w:right w:val="none" w:sz="0" w:space="0" w:color="auto"/>
      </w:divBdr>
    </w:div>
    <w:div w:id="1614089501">
      <w:bodyDiv w:val="1"/>
      <w:marLeft w:val="0"/>
      <w:marRight w:val="0"/>
      <w:marTop w:val="0"/>
      <w:marBottom w:val="0"/>
      <w:divBdr>
        <w:top w:val="none" w:sz="0" w:space="0" w:color="auto"/>
        <w:left w:val="none" w:sz="0" w:space="0" w:color="auto"/>
        <w:bottom w:val="none" w:sz="0" w:space="0" w:color="auto"/>
        <w:right w:val="none" w:sz="0" w:space="0" w:color="auto"/>
      </w:divBdr>
    </w:div>
    <w:div w:id="21237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economic-and-fiscal-policy-coordination/eu-economic-governance-monitoring-prevention-correction/european-semester_hr" TargetMode="External"/><Relationship Id="rId2" Type="http://schemas.openxmlformats.org/officeDocument/2006/relationships/hyperlink" Target="https://ec.europa.eu/info/policies/justice-and-fundamental-rights/upholding-rule-law/eu-justice-scoreboard_en" TargetMode="External"/><Relationship Id="rId1" Type="http://schemas.openxmlformats.org/officeDocument/2006/relationships/hyperlink" Target="https://rsf.org/en/bulgaria" TargetMode="External"/><Relationship Id="rId5" Type="http://schemas.openxmlformats.org/officeDocument/2006/relationships/hyperlink" Target="https://search.coe.int/cm/Pages/result_details.aspx?ObjectID=09000016809372d5" TargetMode="External"/><Relationship Id="rId4" Type="http://schemas.openxmlformats.org/officeDocument/2006/relationships/hyperlink" Target="https://ec.europa.eu/commission/sites/beta-political/files/political-guidelines-next-commission_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EA85-02A1-4067-B324-C176CD04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5007</Words>
  <Characters>29243</Characters>
  <Application>Microsoft Office Word</Application>
  <DocSecurity>0</DocSecurity>
  <Lines>423</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34181</CharactersWithSpaces>
  <SharedDoc>false</SharedDoc>
  <HLinks>
    <vt:vector size="24" baseType="variant">
      <vt:variant>
        <vt:i4>7012448</vt:i4>
      </vt:variant>
      <vt:variant>
        <vt:i4>9</vt:i4>
      </vt:variant>
      <vt:variant>
        <vt:i4>0</vt:i4>
      </vt:variant>
      <vt:variant>
        <vt:i4>5</vt:i4>
      </vt:variant>
      <vt:variant>
        <vt:lpwstr>http://www.google.be/url?sa=t&amp;rct=j&amp;q=&amp;esrc=s&amp;source=web&amp;cd=1&amp;ved=0ahUKEwiHt6TFyJLKAhWDORoKHSGVDoEQFggcMAA&amp;url=http%3A%2F%2Fhudoc.echr.coe.int%2Fapp%2Fconversion%2Fpdf%2F%3Flibrary%3DECHR%26id%3D003-5027227-6176041%26filename%3D003-5027227-6176041.pdf&amp;usg=AFQjCNFjUumZwXhiQyVwaOKzSUHhIFSs2w</vt:lpwstr>
      </vt:variant>
      <vt:variant>
        <vt:lpwstr/>
      </vt:variant>
      <vt:variant>
        <vt:i4>7143538</vt:i4>
      </vt:variant>
      <vt:variant>
        <vt:i4>6</vt:i4>
      </vt:variant>
      <vt:variant>
        <vt:i4>0</vt:i4>
      </vt:variant>
      <vt:variant>
        <vt:i4>5</vt:i4>
      </vt:variant>
      <vt:variant>
        <vt:lpwstr>https://rsf.org/en/ranking</vt:lpwstr>
      </vt:variant>
      <vt:variant>
        <vt:lpwstr/>
      </vt:variant>
      <vt:variant>
        <vt:i4>851970</vt:i4>
      </vt:variant>
      <vt:variant>
        <vt:i4>3</vt:i4>
      </vt:variant>
      <vt:variant>
        <vt:i4>0</vt:i4>
      </vt:variant>
      <vt:variant>
        <vt:i4>5</vt:i4>
      </vt:variant>
      <vt:variant>
        <vt:lpwstr>http://ec.europa.eu/cvm/key_documents_en.htm</vt:lpwstr>
      </vt:variant>
      <vt:variant>
        <vt:lpwstr/>
      </vt:variant>
      <vt:variant>
        <vt:i4>589841</vt:i4>
      </vt:variant>
      <vt:variant>
        <vt:i4>0</vt:i4>
      </vt:variant>
      <vt:variant>
        <vt:i4>0</vt:i4>
      </vt:variant>
      <vt:variant>
        <vt:i4>5</vt:i4>
      </vt:variant>
      <vt:variant>
        <vt:lpwstr>http://data.consilium.europa.eu/doc/document/ST-7118-2016-INIT/en/pdf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2019-10-21T12:40:00Z</dcterms:created>
  <dcterms:modified xsi:type="dcterms:W3CDTF">2019-10-28T09:27:00Z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