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EE" w:rsidRPr="00B2264F" w:rsidRDefault="002E60C7" w:rsidP="002E60C7">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A906AC4-956D-493B-83C1-B82305978ED0" style="width:450.75pt;height:325.5pt">
            <v:imagedata r:id="rId8" o:title=""/>
          </v:shape>
        </w:pict>
      </w:r>
    </w:p>
    <w:p w:rsidR="00524AEE" w:rsidRPr="00B2264F" w:rsidRDefault="00524AEE">
      <w:pPr>
        <w:sectPr w:rsidR="00524AEE" w:rsidRPr="00B2264F" w:rsidSect="002E60C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2"/>
          <w:cols w:space="720"/>
          <w:docGrid w:linePitch="360"/>
        </w:sectPr>
      </w:pPr>
    </w:p>
    <w:p w:rsidR="00524AEE" w:rsidRPr="00B2264F" w:rsidRDefault="003E1C21">
      <w:pPr>
        <w:pStyle w:val="Exposdesmotifstitre"/>
      </w:pPr>
      <w:bookmarkStart w:id="0" w:name="_GoBack"/>
      <w:bookmarkEnd w:id="0"/>
      <w:r w:rsidRPr="00B2264F">
        <w:lastRenderedPageBreak/>
        <w:t>MOTIVERING</w:t>
      </w:r>
    </w:p>
    <w:p w:rsidR="00524AEE" w:rsidRPr="00B2264F" w:rsidRDefault="003E1C21">
      <w:pPr>
        <w:pStyle w:val="ManualHeading1"/>
      </w:pPr>
      <w:r w:rsidRPr="00B2264F">
        <w:t>1.</w:t>
      </w:r>
      <w:r w:rsidRPr="00B2264F">
        <w:tab/>
        <w:t>Bakgrund till förslaget</w:t>
      </w:r>
    </w:p>
    <w:p w:rsidR="00524AEE" w:rsidRPr="00B2264F" w:rsidRDefault="003E1C21">
      <w:r w:rsidRPr="00B2264F">
        <w:t>Detta beslut gäller ianspråktagande av medel ur Europeiska unionens solidaritetsfond i enlighet med rådets förordning (EG) nr 2012/2002 av den 11 november 2002</w:t>
      </w:r>
      <w:r w:rsidRPr="00B2264F">
        <w:rPr>
          <w:rStyle w:val="FootnoteReference"/>
        </w:rPr>
        <w:footnoteReference w:id="1"/>
      </w:r>
      <w:r w:rsidRPr="00B2264F">
        <w:t xml:space="preserve"> (nedan kallad </w:t>
      </w:r>
      <w:r w:rsidRPr="00B2264F">
        <w:rPr>
          <w:i/>
          <w:iCs/>
        </w:rPr>
        <w:t>förordningen</w:t>
      </w:r>
      <w:r w:rsidRPr="00B2264F">
        <w:t xml:space="preserve">) till ett belopp av 4 552 517 euro för att ge stöd till Grekland med anledning av de översvämningar och jordskred som ägde rum i Grekland under 2019. Detta ianspråktagande kommer att finansieras helt via delvis utnyttjande av åtagande- och betalningsbemyndiganden som redan förts in i 2019 års budget för att täcka förskott, efter avdrag med det redan utbetalade förskottet på 455 252 euro. En ändringsbudget krävs således inte. </w:t>
      </w:r>
    </w:p>
    <w:p w:rsidR="00524AEE" w:rsidRPr="00B2264F" w:rsidRDefault="003E1C21">
      <w:pPr>
        <w:pStyle w:val="ManualHeading1"/>
      </w:pPr>
      <w:r w:rsidRPr="00B2264F">
        <w:t>2.</w:t>
      </w:r>
      <w:r w:rsidRPr="00B2264F">
        <w:tab/>
        <w:t>Information och omständigheter</w:t>
      </w:r>
    </w:p>
    <w:p w:rsidR="00524AEE" w:rsidRPr="00B2264F" w:rsidRDefault="003E1C21">
      <w:r w:rsidRPr="00B2264F">
        <w:t>Mellan den 23 och den 26 februari 2019 drabbades Kreta, särskilt öns västra delar, av extremt kraftigt regn och stormvindar. De därpå följande översvämningarna och jordskreden orsakade dödsfall och fick katastrofala följder för infrastrukturer och den ekonomiska verksamheten, i synnerhet med avseende på vägar och jordbruket.</w:t>
      </w:r>
    </w:p>
    <w:p w:rsidR="00524AEE" w:rsidRPr="00B2264F" w:rsidRDefault="003E1C21">
      <w:pPr>
        <w:pStyle w:val="Point0number"/>
        <w:numPr>
          <w:ilvl w:val="0"/>
          <w:numId w:val="1"/>
        </w:numPr>
        <w:spacing w:before="240" w:after="0"/>
      </w:pPr>
      <w:r w:rsidRPr="00B2264F">
        <w:t>Grekland ansökte om stöd från Europeiska unionens solidaritetsfond den 15 maj 2018, vilket låg inom tidsfristen på tolv veckor från det att de första skadorna registrerades. Ansökan grundades på kriteriet en ”regional naturkatastrof” i enlighet med artikel 2.3 i förordningen.</w:t>
      </w:r>
    </w:p>
    <w:p w:rsidR="00524AEE" w:rsidRPr="00B2264F" w:rsidRDefault="003E1C21">
      <w:pPr>
        <w:pStyle w:val="Point0number"/>
        <w:numPr>
          <w:ilvl w:val="0"/>
          <w:numId w:val="1"/>
        </w:numPr>
        <w:spacing w:before="240" w:after="0"/>
      </w:pPr>
      <w:r w:rsidRPr="00B2264F">
        <w:t>Katastrofen utgör en naturkatastrof och faller därför inom solidaritetsfondens tillämpningsområde.</w:t>
      </w:r>
    </w:p>
    <w:p w:rsidR="00524AEE" w:rsidRPr="00B2264F" w:rsidRDefault="003E1C21">
      <w:pPr>
        <w:pStyle w:val="Point0number"/>
        <w:numPr>
          <w:ilvl w:val="0"/>
          <w:numId w:val="1"/>
        </w:numPr>
        <w:spacing w:before="240"/>
      </w:pPr>
      <w:r w:rsidRPr="00B2264F">
        <w:t>Grekland uppskattade det totala värdet på de direkta skadorna till 182,1 miljoner euro. Skadorna på Kreta motsvarar 2,1 % av BNP i den berörda Nuts 2-regionen (Kriti) och överstiger därmed förordningens tröskelvärde på 129,8 miljoner euro, vilket motsvarar 1,5 % av regionens BNP.</w:t>
      </w:r>
    </w:p>
    <w:p w:rsidR="00524AEE" w:rsidRPr="00B2264F" w:rsidRDefault="003E1C21">
      <w:pPr>
        <w:pStyle w:val="Point0number"/>
        <w:numPr>
          <w:ilvl w:val="0"/>
          <w:numId w:val="1"/>
        </w:numPr>
        <w:spacing w:before="240" w:after="0"/>
      </w:pPr>
      <w:r w:rsidRPr="00B2264F">
        <w:t>I sin ansökan begärde Grekland en förskottsbetalning med stöd av artikel 4a i förordningen. Den 19 juli 2019 antog kommissionen genomförandebeslut C(2019) 5514 varigenom 10 % av det förväntade finansiella stödet från solidaritetsfonden, motsvarande 455 252 euro, beviljades i förskott och därefter betalades ut i sin helhet till Grekland.</w:t>
      </w:r>
    </w:p>
    <w:p w:rsidR="00524AEE" w:rsidRPr="00B2264F" w:rsidRDefault="003E1C21">
      <w:pPr>
        <w:pStyle w:val="Point0number"/>
        <w:numPr>
          <w:ilvl w:val="0"/>
          <w:numId w:val="1"/>
        </w:numPr>
        <w:rPr>
          <w:rFonts w:cs="Arial"/>
        </w:rPr>
      </w:pPr>
      <w:r w:rsidRPr="00B2264F">
        <w:t xml:space="preserve">I sin ansökan beskriver de grekiska myndigheterna utförligt situationen efter ovädret och de ansträngningar som gjordes för att hjälpa den drabbade befolkningen. Den cyklon som drabbade Kreta den 23 februari dödade en person som drunknade i en ström och orsakade omfattande materiella skador, huvudsakligen i distrikten Chania och Rethymnon där de största kumulativa regnmängderna uppmättes. De största skadorna uppkom på kommunala och regionala vägnät, däribland den norra motorvägen på Kreta, landsbygdsproduktion på grödor och boskap samt på privatbostäder. Sju broar skadades, varav en kollapsade helt. Dussintals jordskred och fallna träd blockerade vägar och isolerade stora områden. Erosionen ledde till </w:t>
      </w:r>
      <w:r w:rsidRPr="00B2264F">
        <w:lastRenderedPageBreak/>
        <w:t>problem med vallar och vägbankar samt förstörda avloppssystem. Även elnätet skadades.</w:t>
      </w:r>
    </w:p>
    <w:p w:rsidR="00524AEE" w:rsidRPr="00B2264F" w:rsidRDefault="003E1C21">
      <w:pPr>
        <w:pStyle w:val="Point0number"/>
        <w:numPr>
          <w:ilvl w:val="0"/>
          <w:numId w:val="1"/>
        </w:numPr>
        <w:spacing w:before="240" w:after="0"/>
      </w:pPr>
      <w:r w:rsidRPr="00B2264F">
        <w:t>Grekland uppskattade kostnaderna för nöd- och återställningsinsatser som är stödberättigande i enlighet med artikel 3.2 i förordningen till 173,9 miljoner euro och redovisade dessa fördelade efter typ av insats. Den största delen (över 145 miljoner euro) avser kostnader för att återuppbygga transportinfrastruktur (vägar och broar), följt av röjning till en kostnad på över 20 miljoner euro.</w:t>
      </w:r>
    </w:p>
    <w:p w:rsidR="00524AEE" w:rsidRPr="00B2264F" w:rsidRDefault="003E1C21">
      <w:pPr>
        <w:pStyle w:val="Point0number"/>
        <w:numPr>
          <w:ilvl w:val="0"/>
          <w:numId w:val="1"/>
        </w:numPr>
        <w:spacing w:before="240" w:after="0"/>
      </w:pPr>
      <w:r w:rsidRPr="00B2264F">
        <w:t>Enligt de grekiska myndigheterna finns det inte någon försäkring som täcker de stödberättigande kostnaderna.</w:t>
      </w:r>
    </w:p>
    <w:p w:rsidR="00524AEE" w:rsidRPr="00B2264F" w:rsidRDefault="003E1C21">
      <w:pPr>
        <w:pStyle w:val="Point0number"/>
        <w:numPr>
          <w:ilvl w:val="0"/>
          <w:numId w:val="1"/>
        </w:numPr>
        <w:spacing w:before="240" w:after="0"/>
      </w:pPr>
      <w:r w:rsidRPr="00B2264F">
        <w:t>Den drabbade regionen ingår i kategorin ”övergångsregioner” inom ramen för de europeiska struktur- och investeringsfonderna för perioden 2014–2020. I sin ansökan till kommissionen meddelade de grekiska myndigheterna inte att de hade för avsikt att omfördela medel från struktur- och investeringsfonderna till återställningsåtgärder.</w:t>
      </w:r>
    </w:p>
    <w:p w:rsidR="00524AEE" w:rsidRPr="00B2264F" w:rsidRDefault="003E1C21">
      <w:pPr>
        <w:pStyle w:val="Point0number"/>
        <w:numPr>
          <w:ilvl w:val="0"/>
          <w:numId w:val="1"/>
        </w:numPr>
        <w:spacing w:before="240" w:after="0"/>
      </w:pPr>
      <w:r w:rsidRPr="00B2264F">
        <w:t xml:space="preserve">Grekland aktiverade inte unionens civilskyddsmekanism. </w:t>
      </w:r>
    </w:p>
    <w:p w:rsidR="00524AEE" w:rsidRPr="00B2264F" w:rsidRDefault="003E1C21">
      <w:pPr>
        <w:pStyle w:val="Point0number"/>
        <w:numPr>
          <w:ilvl w:val="0"/>
          <w:numId w:val="1"/>
        </w:numPr>
        <w:spacing w:before="240" w:after="0"/>
      </w:pPr>
      <w:r w:rsidRPr="00B2264F">
        <w:t>När det gäller genomförandet av unionslagstiftningen om förebyggande och hantering av katastrofrisker finns det för närvarande inget pågående överträdelseförfarande.</w:t>
      </w:r>
    </w:p>
    <w:p w:rsidR="00524AEE" w:rsidRPr="00B2264F" w:rsidRDefault="003E1C21">
      <w:pPr>
        <w:pStyle w:val="Point0number"/>
        <w:numPr>
          <w:ilvl w:val="0"/>
          <w:numId w:val="1"/>
        </w:numPr>
        <w:spacing w:before="240" w:after="0"/>
      </w:pPr>
      <w:r w:rsidRPr="00B2264F">
        <w:t xml:space="preserve">Följande åtgärder vidtogs inom ramen för genomförandet av direktiv 2007/60/EG om bedömning och hantering av översvämningsrisker: Utarbetande av en preliminär rapport om översvämningsrisk (mars 2012), kartläggning av områden med hög risk för översvämning i landets 14 vattenområden och en uppdatering av den preliminära rapporten om översvämningsrisk (november 2012). Den preliminära bedömningen av översvämningsrisken för Evros flodbädd uppdaterades (november 2014). Bedömningen färdigställdes av översvämning och andra risker för landets 14 vattenbassänger (mars 2017). Planer utarbetades för hantering av översvämningsrisk i alla landets vattenförekomster, däribland Kretas plan för hantering av översvämningsrisk i flodbäddar. </w:t>
      </w:r>
    </w:p>
    <w:p w:rsidR="00524AEE" w:rsidRPr="00B2264F" w:rsidRDefault="003E1C21">
      <w:pPr>
        <w:pStyle w:val="ManualHeading2"/>
        <w:spacing w:before="240"/>
        <w:ind w:left="851" w:hanging="851"/>
      </w:pPr>
      <w:r w:rsidRPr="00B2264F">
        <w:t>2.5</w:t>
      </w:r>
      <w:r w:rsidRPr="00B2264F">
        <w:tab/>
        <w:t>Slutsats</w:t>
      </w:r>
    </w:p>
    <w:p w:rsidR="00524AEE" w:rsidRPr="00B2264F" w:rsidRDefault="003E1C21">
      <w:pPr>
        <w:spacing w:before="360"/>
      </w:pPr>
      <w:r w:rsidRPr="00B2264F">
        <w:t>Av ovan anförda skäl kan den katastrof som beskrivs i Greklands ansökan anses uppfylla förordningens villkor för utnyttjande av Europeiska unionens solidaritetsfond.</w:t>
      </w:r>
    </w:p>
    <w:p w:rsidR="00524AEE" w:rsidRPr="00B2264F" w:rsidRDefault="003E1C21">
      <w:pPr>
        <w:pStyle w:val="ManualHeading1"/>
      </w:pPr>
      <w:r w:rsidRPr="00B2264F">
        <w:t>3.</w:t>
      </w:r>
      <w:r w:rsidRPr="00B2264F">
        <w:tab/>
        <w:t>Finansiering via Europeiska unionens solidaritetsfond 2019</w:t>
      </w:r>
    </w:p>
    <w:p w:rsidR="00524AEE" w:rsidRPr="00B2264F" w:rsidRDefault="003E1C21">
      <w:r w:rsidRPr="00B2264F">
        <w:t>Enligt rådets förordning (EU, Euratom) nr 1311/2013 av den 2 december 2013 om den fleråriga budgetramen för 2014–2020</w:t>
      </w:r>
      <w:r w:rsidRPr="00B2264F">
        <w:rPr>
          <w:rStyle w:val="FootnoteReference"/>
        </w:rPr>
        <w:footnoteReference w:id="2"/>
      </w:r>
      <w:r w:rsidRPr="00B2264F">
        <w:t xml:space="preserve"> (nedan kallad </w:t>
      </w:r>
      <w:r w:rsidRPr="00B2264F">
        <w:rPr>
          <w:i/>
          <w:iCs/>
        </w:rPr>
        <w:t>förordningen om den fleråriga budgetramen</w:t>
      </w:r>
      <w:r w:rsidRPr="00B2264F">
        <w:t>), särskilt artikel 10, får Europeiska unionens solidaritetsfond utnyttjas upp till ett årligt tak på 500 000 000 euro (i 2011 års priser). I punkt 11 i det interinstitutionella avtalet av den 2 december 2013 mellan Europaparlamentet, rådet och kommissionen om budgetdisciplin, samarbete i budgetfrågor och sund ekonomisk förvaltning</w:t>
      </w:r>
      <w:r w:rsidRPr="00B2264F">
        <w:rPr>
          <w:rStyle w:val="FootnoteReference"/>
        </w:rPr>
        <w:footnoteReference w:id="3"/>
      </w:r>
      <w:r w:rsidRPr="00B2264F">
        <w:t xml:space="preserve"> (nedan kallat </w:t>
      </w:r>
      <w:r w:rsidRPr="00B2264F">
        <w:rPr>
          <w:i/>
          <w:iCs/>
        </w:rPr>
        <w:t xml:space="preserve">det </w:t>
      </w:r>
      <w:r w:rsidRPr="00B2264F">
        <w:rPr>
          <w:i/>
          <w:iCs/>
        </w:rPr>
        <w:lastRenderedPageBreak/>
        <w:t>interinstitutionella avtalet</w:t>
      </w:r>
      <w:r w:rsidRPr="00B2264F">
        <w:t>) fastställs reglerna för ianspråktagande av medel ur solidaritetsfonden.</w:t>
      </w:r>
    </w:p>
    <w:p w:rsidR="00524AEE" w:rsidRPr="00B2264F" w:rsidRDefault="003E1C21">
      <w:pPr>
        <w:rPr>
          <w:snapToGrid w:val="0"/>
        </w:rPr>
      </w:pPr>
      <w:r w:rsidRPr="00B2264F">
        <w:t>Eftersom Europeiska unionens solidaritetsfond främst inrättades med anledning av solidaritetstanken anser kommissionen att stödet från fonden bör vara progressivt. Detta innebär, enligt tidigare praxis, att den del av skadorna som överstiger tröskelvärdet för en ”större naturkatastrof” (dvs. 0,6 % av landets BNI eller 3 miljarder euro i 2011 års priser, beroende på vad som är lägst) bör föranleda en högre stödnivå än skador under detta tröskelvärde. Tidigare har stödnivån i samband med större katastrofer varit 2,5 % för de totala direkta skadorna under tröskelvärdet och 6 % för skador över tröskelvärdet. För regionala katastrofer och katastrofer som godtagits enligt den så kallade grannlandsbestämmelsen är stödnivån 2,5 %.</w:t>
      </w:r>
    </w:p>
    <w:p w:rsidR="00524AEE" w:rsidRPr="00B2264F" w:rsidRDefault="003E1C21">
      <w:pPr>
        <w:rPr>
          <w:snapToGrid w:val="0"/>
        </w:rPr>
      </w:pPr>
      <w:r w:rsidRPr="00B2264F">
        <w:t>Stödet får inte överstiga de totala uppskattade kostnaderna för stödberättigande insatser. Metoden för beräkning av stödet fastställdes i årsrapporten om solidaritetsfonden 2002–2003 och har godkänts av rådet och Europaparlamentet.</w:t>
      </w:r>
    </w:p>
    <w:p w:rsidR="00524AEE" w:rsidRPr="00B2264F" w:rsidRDefault="003E1C21">
      <w:r w:rsidRPr="00B2264F">
        <w:t>Beräkningen av det finansiella stödet från solidaritetsfonden på grundval av Greklands ansökan baserad på en skattning av den totala direkta skadan är som följer:</w:t>
      </w:r>
    </w:p>
    <w:tbl>
      <w:tblPr>
        <w:tblW w:w="1028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248"/>
        <w:gridCol w:w="1329"/>
        <w:gridCol w:w="1320"/>
        <w:gridCol w:w="1370"/>
        <w:gridCol w:w="1290"/>
        <w:gridCol w:w="1239"/>
        <w:gridCol w:w="1385"/>
        <w:gridCol w:w="1108"/>
      </w:tblGrid>
      <w:tr w:rsidR="00524AEE" w:rsidRPr="00B2264F">
        <w:trPr>
          <w:trHeight w:val="788"/>
          <w:jc w:val="center"/>
        </w:trPr>
        <w:tc>
          <w:tcPr>
            <w:tcW w:w="1248" w:type="dxa"/>
            <w:tcBorders>
              <w:bottom w:val="dotted" w:sz="4" w:space="0" w:color="auto"/>
            </w:tcBorders>
            <w:shd w:val="clear" w:color="auto" w:fill="EEECE1"/>
            <w:vAlign w:val="center"/>
            <w:hideMark/>
          </w:tcPr>
          <w:p w:rsidR="00524AEE" w:rsidRPr="00B2264F" w:rsidRDefault="003E1C21">
            <w:pPr>
              <w:keepNext/>
              <w:keepLines/>
              <w:spacing w:after="0"/>
              <w:rPr>
                <w:b/>
                <w:snapToGrid w:val="0"/>
                <w:sz w:val="18"/>
                <w:szCs w:val="18"/>
              </w:rPr>
            </w:pPr>
            <w:r w:rsidRPr="00B2264F">
              <w:rPr>
                <w:b/>
                <w:sz w:val="18"/>
                <w:szCs w:val="18"/>
              </w:rPr>
              <w:t>Medlemsstater</w:t>
            </w:r>
          </w:p>
        </w:tc>
        <w:tc>
          <w:tcPr>
            <w:tcW w:w="1329" w:type="dxa"/>
            <w:tcBorders>
              <w:bottom w:val="dotted" w:sz="4" w:space="0" w:color="auto"/>
            </w:tcBorders>
            <w:shd w:val="clear" w:color="auto" w:fill="EEECE1"/>
          </w:tcPr>
          <w:p w:rsidR="00524AEE" w:rsidRPr="00B2264F" w:rsidRDefault="003E1C21">
            <w:pPr>
              <w:keepNext/>
              <w:keepLines/>
              <w:spacing w:after="0"/>
              <w:ind w:right="59"/>
              <w:jc w:val="center"/>
              <w:rPr>
                <w:i/>
                <w:snapToGrid w:val="0"/>
                <w:sz w:val="18"/>
                <w:szCs w:val="18"/>
              </w:rPr>
            </w:pPr>
            <w:r w:rsidRPr="00B2264F">
              <w:rPr>
                <w:i/>
                <w:sz w:val="18"/>
                <w:szCs w:val="18"/>
              </w:rPr>
              <w:t>Typ av katastrof</w:t>
            </w:r>
          </w:p>
        </w:tc>
        <w:tc>
          <w:tcPr>
            <w:tcW w:w="1320" w:type="dxa"/>
            <w:tcBorders>
              <w:bottom w:val="dotted" w:sz="4" w:space="0" w:color="auto"/>
            </w:tcBorders>
            <w:shd w:val="clear" w:color="auto" w:fill="EEECE1"/>
          </w:tcPr>
          <w:p w:rsidR="00524AEE" w:rsidRPr="00B2264F" w:rsidRDefault="003E1C21">
            <w:pPr>
              <w:keepNext/>
              <w:keepLines/>
              <w:spacing w:after="0"/>
              <w:ind w:right="59"/>
              <w:jc w:val="center"/>
              <w:rPr>
                <w:i/>
                <w:snapToGrid w:val="0"/>
                <w:sz w:val="18"/>
                <w:szCs w:val="18"/>
              </w:rPr>
            </w:pPr>
            <w:r w:rsidRPr="00B2264F">
              <w:rPr>
                <w:i/>
                <w:sz w:val="18"/>
                <w:szCs w:val="18"/>
              </w:rPr>
              <w:t>Direkta skador - totalt</w:t>
            </w:r>
          </w:p>
          <w:p w:rsidR="00524AEE" w:rsidRPr="00B2264F" w:rsidRDefault="00524AEE">
            <w:pPr>
              <w:keepNext/>
              <w:keepLines/>
              <w:spacing w:before="0" w:after="0"/>
              <w:ind w:right="59"/>
              <w:rPr>
                <w:i/>
                <w:snapToGrid w:val="0"/>
                <w:sz w:val="18"/>
                <w:szCs w:val="18"/>
              </w:rPr>
            </w:pPr>
          </w:p>
          <w:p w:rsidR="00524AEE" w:rsidRPr="00B2264F" w:rsidRDefault="003E1C21">
            <w:pPr>
              <w:keepNext/>
              <w:keepLines/>
              <w:spacing w:after="0"/>
              <w:ind w:right="59"/>
              <w:rPr>
                <w:i/>
                <w:snapToGrid w:val="0"/>
                <w:sz w:val="18"/>
                <w:szCs w:val="18"/>
              </w:rPr>
            </w:pPr>
            <w:r w:rsidRPr="00B2264F">
              <w:rPr>
                <w:i/>
                <w:sz w:val="18"/>
                <w:szCs w:val="18"/>
              </w:rPr>
              <w:t>(miljoner euro)</w:t>
            </w:r>
          </w:p>
        </w:tc>
        <w:tc>
          <w:tcPr>
            <w:tcW w:w="1370" w:type="dxa"/>
            <w:tcBorders>
              <w:bottom w:val="dotted" w:sz="4" w:space="0" w:color="auto"/>
            </w:tcBorders>
            <w:shd w:val="clear" w:color="auto" w:fill="EEECE1"/>
          </w:tcPr>
          <w:p w:rsidR="00524AEE" w:rsidRPr="00B2264F" w:rsidRDefault="003E1C21">
            <w:pPr>
              <w:keepNext/>
              <w:keepLines/>
              <w:spacing w:after="0"/>
              <w:jc w:val="center"/>
              <w:rPr>
                <w:i/>
                <w:snapToGrid w:val="0"/>
                <w:sz w:val="18"/>
                <w:szCs w:val="18"/>
              </w:rPr>
            </w:pPr>
            <w:r w:rsidRPr="00B2264F">
              <w:rPr>
                <w:i/>
                <w:sz w:val="18"/>
                <w:szCs w:val="18"/>
              </w:rPr>
              <w:t>Tröskelvärde för större katastrof</w:t>
            </w:r>
          </w:p>
          <w:p w:rsidR="00524AEE" w:rsidRPr="00B2264F" w:rsidRDefault="00524AEE">
            <w:pPr>
              <w:keepNext/>
              <w:keepLines/>
              <w:spacing w:before="0" w:after="0"/>
              <w:jc w:val="center"/>
              <w:rPr>
                <w:i/>
                <w:snapToGrid w:val="0"/>
                <w:sz w:val="18"/>
                <w:szCs w:val="18"/>
              </w:rPr>
            </w:pPr>
          </w:p>
          <w:p w:rsidR="00524AEE" w:rsidRPr="00B2264F" w:rsidRDefault="003E1C21">
            <w:pPr>
              <w:keepNext/>
              <w:keepLines/>
              <w:spacing w:after="0"/>
              <w:jc w:val="center"/>
              <w:rPr>
                <w:i/>
                <w:snapToGrid w:val="0"/>
                <w:sz w:val="18"/>
                <w:szCs w:val="18"/>
              </w:rPr>
            </w:pPr>
            <w:r w:rsidRPr="00B2264F">
              <w:rPr>
                <w:i/>
                <w:sz w:val="18"/>
                <w:szCs w:val="18"/>
              </w:rPr>
              <w:t>(miljoner euro)</w:t>
            </w:r>
          </w:p>
        </w:tc>
        <w:tc>
          <w:tcPr>
            <w:tcW w:w="1290" w:type="dxa"/>
            <w:tcBorders>
              <w:bottom w:val="dotted" w:sz="4" w:space="0" w:color="auto"/>
            </w:tcBorders>
            <w:shd w:val="clear" w:color="auto" w:fill="EEECE1"/>
          </w:tcPr>
          <w:p w:rsidR="00524AEE" w:rsidRPr="00B2264F" w:rsidRDefault="003E1C21">
            <w:pPr>
              <w:keepNext/>
              <w:keepLines/>
              <w:spacing w:after="0"/>
              <w:jc w:val="center"/>
              <w:rPr>
                <w:i/>
                <w:snapToGrid w:val="0"/>
                <w:sz w:val="18"/>
                <w:szCs w:val="18"/>
              </w:rPr>
            </w:pPr>
            <w:r w:rsidRPr="00B2264F">
              <w:rPr>
                <w:i/>
                <w:sz w:val="18"/>
                <w:szCs w:val="18"/>
              </w:rPr>
              <w:t xml:space="preserve">2,5 % av de direkta skadorna upp till tröskelvärdet </w:t>
            </w:r>
          </w:p>
          <w:p w:rsidR="00524AEE" w:rsidRPr="00B2264F" w:rsidRDefault="003E1C21">
            <w:pPr>
              <w:keepNext/>
              <w:keepLines/>
              <w:spacing w:after="0"/>
              <w:jc w:val="center"/>
              <w:rPr>
                <w:i/>
                <w:snapToGrid w:val="0"/>
                <w:sz w:val="18"/>
                <w:szCs w:val="18"/>
              </w:rPr>
            </w:pPr>
            <w:r w:rsidRPr="00B2264F">
              <w:rPr>
                <w:i/>
                <w:sz w:val="18"/>
                <w:szCs w:val="18"/>
              </w:rPr>
              <w:t>(euro)</w:t>
            </w:r>
          </w:p>
        </w:tc>
        <w:tc>
          <w:tcPr>
            <w:tcW w:w="1239" w:type="dxa"/>
            <w:tcBorders>
              <w:bottom w:val="dotted" w:sz="4" w:space="0" w:color="auto"/>
            </w:tcBorders>
            <w:shd w:val="clear" w:color="auto" w:fill="EEECE1"/>
          </w:tcPr>
          <w:p w:rsidR="00524AEE" w:rsidRPr="00B2264F" w:rsidRDefault="003E1C21">
            <w:pPr>
              <w:keepNext/>
              <w:keepLines/>
              <w:spacing w:after="0"/>
              <w:jc w:val="center"/>
              <w:rPr>
                <w:i/>
                <w:snapToGrid w:val="0"/>
                <w:sz w:val="18"/>
                <w:szCs w:val="18"/>
              </w:rPr>
            </w:pPr>
            <w:r w:rsidRPr="00B2264F">
              <w:rPr>
                <w:i/>
                <w:sz w:val="18"/>
                <w:szCs w:val="18"/>
              </w:rPr>
              <w:t>6 % av de direkta skadorna över tröskelvärdet</w:t>
            </w:r>
          </w:p>
          <w:p w:rsidR="00524AEE" w:rsidRPr="00B2264F" w:rsidRDefault="003E1C21">
            <w:pPr>
              <w:keepNext/>
              <w:keepLines/>
              <w:spacing w:after="0"/>
              <w:jc w:val="center"/>
              <w:rPr>
                <w:b/>
                <w:i/>
                <w:snapToGrid w:val="0"/>
                <w:sz w:val="18"/>
                <w:szCs w:val="18"/>
              </w:rPr>
            </w:pPr>
            <w:r w:rsidRPr="00B2264F">
              <w:rPr>
                <w:i/>
                <w:sz w:val="18"/>
                <w:szCs w:val="18"/>
              </w:rPr>
              <w:t>(euro)</w:t>
            </w:r>
          </w:p>
        </w:tc>
        <w:tc>
          <w:tcPr>
            <w:tcW w:w="1385" w:type="dxa"/>
            <w:tcBorders>
              <w:bottom w:val="dotted" w:sz="4" w:space="0" w:color="auto"/>
            </w:tcBorders>
            <w:shd w:val="clear" w:color="auto" w:fill="EEECE1"/>
          </w:tcPr>
          <w:p w:rsidR="00524AEE" w:rsidRPr="00B2264F" w:rsidRDefault="003E1C21">
            <w:pPr>
              <w:keepNext/>
              <w:keepLines/>
              <w:spacing w:after="0"/>
              <w:jc w:val="center"/>
              <w:rPr>
                <w:b/>
                <w:i/>
                <w:snapToGrid w:val="0"/>
                <w:sz w:val="18"/>
                <w:szCs w:val="18"/>
              </w:rPr>
            </w:pPr>
            <w:r w:rsidRPr="00B2264F">
              <w:rPr>
                <w:b/>
                <w:i/>
                <w:sz w:val="18"/>
                <w:szCs w:val="18"/>
              </w:rPr>
              <w:t>Totalt föreslaget stödbelopp</w:t>
            </w:r>
          </w:p>
          <w:p w:rsidR="00524AEE" w:rsidRPr="00B2264F" w:rsidRDefault="00524AEE">
            <w:pPr>
              <w:keepNext/>
              <w:keepLines/>
              <w:spacing w:before="0" w:after="0"/>
              <w:jc w:val="center"/>
              <w:rPr>
                <w:b/>
                <w:i/>
                <w:snapToGrid w:val="0"/>
                <w:sz w:val="18"/>
                <w:szCs w:val="18"/>
              </w:rPr>
            </w:pPr>
          </w:p>
          <w:p w:rsidR="00524AEE" w:rsidRPr="00B2264F" w:rsidRDefault="003E1C21">
            <w:pPr>
              <w:keepNext/>
              <w:keepLines/>
              <w:spacing w:after="0"/>
              <w:jc w:val="center"/>
              <w:rPr>
                <w:i/>
                <w:snapToGrid w:val="0"/>
                <w:sz w:val="18"/>
                <w:szCs w:val="18"/>
              </w:rPr>
            </w:pPr>
            <w:r w:rsidRPr="00B2264F">
              <w:rPr>
                <w:b/>
                <w:i/>
                <w:sz w:val="18"/>
                <w:szCs w:val="18"/>
              </w:rPr>
              <w:t>(euro)</w:t>
            </w:r>
          </w:p>
        </w:tc>
        <w:tc>
          <w:tcPr>
            <w:tcW w:w="1108" w:type="dxa"/>
            <w:tcBorders>
              <w:bottom w:val="dotted" w:sz="4" w:space="0" w:color="auto"/>
            </w:tcBorders>
            <w:shd w:val="clear" w:color="auto" w:fill="EEECE1"/>
          </w:tcPr>
          <w:p w:rsidR="00524AEE" w:rsidRPr="00B2264F" w:rsidRDefault="003E1C21">
            <w:pPr>
              <w:keepNext/>
              <w:keepLines/>
              <w:spacing w:after="0"/>
              <w:jc w:val="center"/>
              <w:rPr>
                <w:b/>
                <w:i/>
                <w:snapToGrid w:val="0"/>
                <w:sz w:val="18"/>
                <w:szCs w:val="18"/>
              </w:rPr>
            </w:pPr>
            <w:r w:rsidRPr="00B2264F">
              <w:rPr>
                <w:b/>
                <w:i/>
                <w:sz w:val="18"/>
                <w:szCs w:val="18"/>
              </w:rPr>
              <w:t>Utbetalda förskott</w:t>
            </w:r>
          </w:p>
          <w:p w:rsidR="00524AEE" w:rsidRPr="00B2264F" w:rsidRDefault="00524AEE">
            <w:pPr>
              <w:keepNext/>
              <w:keepLines/>
              <w:spacing w:before="0" w:after="0"/>
              <w:jc w:val="center"/>
              <w:rPr>
                <w:b/>
                <w:i/>
                <w:snapToGrid w:val="0"/>
                <w:sz w:val="18"/>
                <w:szCs w:val="18"/>
              </w:rPr>
            </w:pPr>
          </w:p>
          <w:p w:rsidR="00524AEE" w:rsidRPr="00B2264F" w:rsidRDefault="003E1C21">
            <w:pPr>
              <w:keepNext/>
              <w:keepLines/>
              <w:spacing w:after="0"/>
              <w:jc w:val="center"/>
              <w:rPr>
                <w:b/>
                <w:i/>
                <w:snapToGrid w:val="0"/>
                <w:sz w:val="18"/>
                <w:szCs w:val="18"/>
              </w:rPr>
            </w:pPr>
            <w:r w:rsidRPr="00B2264F">
              <w:rPr>
                <w:b/>
                <w:i/>
                <w:sz w:val="18"/>
                <w:szCs w:val="18"/>
              </w:rPr>
              <w:t>(euro)</w:t>
            </w:r>
          </w:p>
        </w:tc>
      </w:tr>
      <w:tr w:rsidR="00524AEE" w:rsidRPr="00B2264F">
        <w:trPr>
          <w:jc w:val="center"/>
        </w:trPr>
        <w:tc>
          <w:tcPr>
            <w:tcW w:w="1248" w:type="dxa"/>
            <w:tcBorders>
              <w:top w:val="dotted" w:sz="4" w:space="0" w:color="auto"/>
              <w:bottom w:val="dotted" w:sz="4" w:space="0" w:color="auto"/>
            </w:tcBorders>
            <w:shd w:val="clear" w:color="auto" w:fill="EEECE1"/>
            <w:vAlign w:val="center"/>
          </w:tcPr>
          <w:p w:rsidR="00524AEE" w:rsidRPr="00B2264F" w:rsidRDefault="003E1C21">
            <w:pPr>
              <w:keepNext/>
              <w:keepLines/>
              <w:spacing w:before="40" w:after="40"/>
              <w:jc w:val="left"/>
              <w:rPr>
                <w:snapToGrid w:val="0"/>
                <w:sz w:val="18"/>
                <w:szCs w:val="18"/>
              </w:rPr>
            </w:pPr>
            <w:r w:rsidRPr="00B2264F">
              <w:rPr>
                <w:sz w:val="18"/>
                <w:szCs w:val="18"/>
              </w:rPr>
              <w:t>GREKLAND</w:t>
            </w:r>
          </w:p>
        </w:tc>
        <w:tc>
          <w:tcPr>
            <w:tcW w:w="1329" w:type="dxa"/>
            <w:tcBorders>
              <w:top w:val="dotted" w:sz="4" w:space="0" w:color="auto"/>
              <w:bottom w:val="dotted" w:sz="4" w:space="0" w:color="auto"/>
            </w:tcBorders>
          </w:tcPr>
          <w:p w:rsidR="00524AEE" w:rsidRPr="00B2264F" w:rsidRDefault="003E1C21">
            <w:pPr>
              <w:keepNext/>
              <w:keepLines/>
              <w:spacing w:before="0" w:after="0"/>
              <w:jc w:val="center"/>
              <w:rPr>
                <w:i/>
                <w:iCs/>
                <w:sz w:val="18"/>
                <w:szCs w:val="18"/>
              </w:rPr>
            </w:pPr>
            <w:r w:rsidRPr="00B2264F">
              <w:rPr>
                <w:i/>
                <w:iCs/>
                <w:sz w:val="18"/>
                <w:szCs w:val="18"/>
              </w:rPr>
              <w:t>Regionalt</w:t>
            </w:r>
          </w:p>
          <w:p w:rsidR="00524AEE" w:rsidRPr="00B2264F" w:rsidRDefault="003E1C21">
            <w:pPr>
              <w:keepNext/>
              <w:keepLines/>
              <w:spacing w:before="0" w:after="0"/>
              <w:jc w:val="center"/>
              <w:rPr>
                <w:i/>
                <w:iCs/>
                <w:sz w:val="18"/>
                <w:szCs w:val="18"/>
              </w:rPr>
            </w:pPr>
            <w:r w:rsidRPr="00B2264F">
              <w:rPr>
                <w:i/>
                <w:iCs/>
                <w:sz w:val="18"/>
                <w:szCs w:val="18"/>
              </w:rPr>
              <w:t>(Artikel 2.3)</w:t>
            </w:r>
          </w:p>
        </w:tc>
        <w:tc>
          <w:tcPr>
            <w:tcW w:w="1320" w:type="dxa"/>
            <w:tcBorders>
              <w:top w:val="dotted" w:sz="4" w:space="0" w:color="auto"/>
              <w:bottom w:val="dotted" w:sz="4" w:space="0" w:color="auto"/>
            </w:tcBorders>
            <w:vAlign w:val="center"/>
          </w:tcPr>
          <w:p w:rsidR="00524AEE" w:rsidRPr="00B2264F" w:rsidRDefault="003E1C21">
            <w:pPr>
              <w:keepNext/>
              <w:keepLines/>
              <w:jc w:val="right"/>
              <w:rPr>
                <w:i/>
                <w:sz w:val="18"/>
                <w:szCs w:val="18"/>
              </w:rPr>
            </w:pPr>
            <w:r w:rsidRPr="00B2264F">
              <w:rPr>
                <w:i/>
                <w:sz w:val="20"/>
                <w:szCs w:val="18"/>
              </w:rPr>
              <w:t>182,1</w:t>
            </w:r>
          </w:p>
        </w:tc>
        <w:tc>
          <w:tcPr>
            <w:tcW w:w="1370" w:type="dxa"/>
            <w:tcBorders>
              <w:top w:val="dotted" w:sz="4" w:space="0" w:color="auto"/>
              <w:bottom w:val="dotted" w:sz="4" w:space="0" w:color="auto"/>
            </w:tcBorders>
            <w:vAlign w:val="center"/>
          </w:tcPr>
          <w:p w:rsidR="00524AEE" w:rsidRPr="00B2264F" w:rsidRDefault="003E1C21">
            <w:pPr>
              <w:keepNext/>
              <w:keepLines/>
              <w:jc w:val="right"/>
            </w:pPr>
            <w:r w:rsidRPr="00B2264F">
              <w:rPr>
                <w:i/>
                <w:iCs/>
                <w:sz w:val="20"/>
                <w:szCs w:val="18"/>
              </w:rPr>
              <w:t>1 086,1</w:t>
            </w:r>
          </w:p>
        </w:tc>
        <w:tc>
          <w:tcPr>
            <w:tcW w:w="1290" w:type="dxa"/>
            <w:tcBorders>
              <w:top w:val="dotted" w:sz="4" w:space="0" w:color="auto"/>
              <w:bottom w:val="dotted" w:sz="4" w:space="0" w:color="auto"/>
            </w:tcBorders>
            <w:vAlign w:val="center"/>
          </w:tcPr>
          <w:p w:rsidR="00524AEE" w:rsidRPr="00B2264F" w:rsidRDefault="003E1C21">
            <w:pPr>
              <w:keepNext/>
              <w:keepLines/>
              <w:jc w:val="right"/>
            </w:pPr>
            <w:r w:rsidRPr="00B2264F">
              <w:rPr>
                <w:i/>
                <w:iCs/>
                <w:sz w:val="20"/>
                <w:szCs w:val="18"/>
              </w:rPr>
              <w:t>4 552 517</w:t>
            </w:r>
          </w:p>
        </w:tc>
        <w:tc>
          <w:tcPr>
            <w:tcW w:w="1239" w:type="dxa"/>
            <w:tcBorders>
              <w:top w:val="dotted" w:sz="4" w:space="0" w:color="auto"/>
              <w:bottom w:val="dotted" w:sz="4" w:space="0" w:color="auto"/>
            </w:tcBorders>
            <w:shd w:val="clear" w:color="auto" w:fill="auto"/>
          </w:tcPr>
          <w:p w:rsidR="00524AEE" w:rsidRPr="00B2264F" w:rsidRDefault="003E1C21">
            <w:pPr>
              <w:keepNext/>
              <w:keepLines/>
              <w:jc w:val="right"/>
            </w:pPr>
            <w:r w:rsidRPr="00B2264F">
              <w:t>-</w:t>
            </w:r>
          </w:p>
        </w:tc>
        <w:tc>
          <w:tcPr>
            <w:tcW w:w="1385" w:type="dxa"/>
            <w:tcBorders>
              <w:top w:val="dotted" w:sz="4" w:space="0" w:color="auto"/>
              <w:bottom w:val="dotted" w:sz="4" w:space="0" w:color="auto"/>
            </w:tcBorders>
            <w:shd w:val="clear" w:color="auto" w:fill="auto"/>
            <w:vAlign w:val="center"/>
          </w:tcPr>
          <w:p w:rsidR="00524AEE" w:rsidRPr="00B2264F" w:rsidRDefault="003E1C21">
            <w:pPr>
              <w:keepNext/>
              <w:keepLines/>
              <w:jc w:val="right"/>
              <w:rPr>
                <w:b/>
                <w:bCs/>
                <w:i/>
                <w:iCs/>
                <w:sz w:val="18"/>
                <w:szCs w:val="18"/>
              </w:rPr>
            </w:pPr>
            <w:r w:rsidRPr="00B2264F">
              <w:rPr>
                <w:b/>
                <w:bCs/>
                <w:i/>
                <w:iCs/>
                <w:sz w:val="20"/>
                <w:szCs w:val="18"/>
              </w:rPr>
              <w:t>4 552 517</w:t>
            </w:r>
          </w:p>
        </w:tc>
        <w:tc>
          <w:tcPr>
            <w:tcW w:w="1108" w:type="dxa"/>
            <w:tcBorders>
              <w:top w:val="dotted" w:sz="4" w:space="0" w:color="auto"/>
              <w:bottom w:val="dotted" w:sz="4" w:space="0" w:color="auto"/>
            </w:tcBorders>
          </w:tcPr>
          <w:p w:rsidR="00524AEE" w:rsidRPr="00B2264F" w:rsidRDefault="003E1C21">
            <w:pPr>
              <w:keepNext/>
              <w:keepLines/>
              <w:jc w:val="right"/>
              <w:rPr>
                <w:b/>
                <w:bCs/>
                <w:i/>
                <w:iCs/>
                <w:sz w:val="18"/>
                <w:szCs w:val="18"/>
              </w:rPr>
            </w:pPr>
            <w:r w:rsidRPr="00B2264F">
              <w:rPr>
                <w:b/>
                <w:bCs/>
                <w:i/>
                <w:iCs/>
                <w:sz w:val="18"/>
                <w:szCs w:val="18"/>
              </w:rPr>
              <w:t>455 252</w:t>
            </w:r>
          </w:p>
        </w:tc>
      </w:tr>
      <w:tr w:rsidR="00524AEE" w:rsidRPr="00B2264F">
        <w:trPr>
          <w:jc w:val="center"/>
        </w:trPr>
        <w:tc>
          <w:tcPr>
            <w:tcW w:w="1248" w:type="dxa"/>
            <w:tcBorders>
              <w:top w:val="single" w:sz="4" w:space="0" w:color="auto"/>
              <w:bottom w:val="single" w:sz="4" w:space="0" w:color="auto"/>
            </w:tcBorders>
            <w:shd w:val="clear" w:color="auto" w:fill="EEECE1"/>
          </w:tcPr>
          <w:p w:rsidR="00524AEE" w:rsidRPr="00B2264F" w:rsidRDefault="00524AEE">
            <w:pPr>
              <w:keepNext/>
              <w:keepLines/>
              <w:jc w:val="left"/>
              <w:rPr>
                <w:b/>
                <w:snapToGrid w:val="0"/>
                <w:sz w:val="18"/>
                <w:szCs w:val="18"/>
              </w:rPr>
            </w:pPr>
          </w:p>
        </w:tc>
        <w:tc>
          <w:tcPr>
            <w:tcW w:w="6548" w:type="dxa"/>
            <w:gridSpan w:val="5"/>
            <w:tcBorders>
              <w:top w:val="single" w:sz="4" w:space="0" w:color="auto"/>
              <w:bottom w:val="single" w:sz="4" w:space="0" w:color="auto"/>
            </w:tcBorders>
            <w:shd w:val="clear" w:color="auto" w:fill="EEECE1"/>
            <w:vAlign w:val="center"/>
          </w:tcPr>
          <w:p w:rsidR="00524AEE" w:rsidRPr="00B2264F" w:rsidRDefault="003E1C21">
            <w:pPr>
              <w:keepNext/>
              <w:keepLines/>
              <w:jc w:val="left"/>
              <w:rPr>
                <w:i/>
                <w:iCs/>
                <w:sz w:val="18"/>
                <w:szCs w:val="18"/>
                <w:highlight w:val="yellow"/>
              </w:rPr>
            </w:pPr>
            <w:r w:rsidRPr="00B2264F">
              <w:rPr>
                <w:b/>
                <w:sz w:val="18"/>
                <w:szCs w:val="18"/>
              </w:rPr>
              <w:t>TOTALT</w:t>
            </w:r>
          </w:p>
        </w:tc>
        <w:tc>
          <w:tcPr>
            <w:tcW w:w="1385" w:type="dxa"/>
            <w:tcBorders>
              <w:top w:val="single" w:sz="4" w:space="0" w:color="auto"/>
              <w:bottom w:val="single" w:sz="4" w:space="0" w:color="auto"/>
            </w:tcBorders>
            <w:vAlign w:val="center"/>
          </w:tcPr>
          <w:p w:rsidR="00524AEE" w:rsidRPr="00B2264F" w:rsidRDefault="003E1C21">
            <w:pPr>
              <w:keepNext/>
              <w:keepLines/>
              <w:jc w:val="right"/>
              <w:rPr>
                <w:b/>
                <w:bCs/>
                <w:i/>
                <w:iCs/>
                <w:sz w:val="18"/>
                <w:szCs w:val="18"/>
              </w:rPr>
            </w:pPr>
            <w:r w:rsidRPr="00B2264F">
              <w:rPr>
                <w:b/>
                <w:bCs/>
                <w:i/>
                <w:iCs/>
                <w:sz w:val="20"/>
                <w:szCs w:val="18"/>
              </w:rPr>
              <w:t>4 552 517</w:t>
            </w:r>
          </w:p>
        </w:tc>
        <w:tc>
          <w:tcPr>
            <w:tcW w:w="1108" w:type="dxa"/>
            <w:tcBorders>
              <w:top w:val="single" w:sz="4" w:space="0" w:color="auto"/>
              <w:bottom w:val="single" w:sz="4" w:space="0" w:color="auto"/>
            </w:tcBorders>
          </w:tcPr>
          <w:p w:rsidR="00524AEE" w:rsidRPr="00B2264F" w:rsidRDefault="003E1C21">
            <w:pPr>
              <w:keepNext/>
              <w:keepLines/>
              <w:jc w:val="right"/>
              <w:rPr>
                <w:b/>
                <w:bCs/>
                <w:i/>
                <w:iCs/>
                <w:sz w:val="18"/>
                <w:szCs w:val="18"/>
              </w:rPr>
            </w:pPr>
            <w:r w:rsidRPr="00B2264F">
              <w:rPr>
                <w:b/>
                <w:bCs/>
                <w:i/>
                <w:iCs/>
                <w:sz w:val="18"/>
                <w:szCs w:val="18"/>
              </w:rPr>
              <w:t>455 252</w:t>
            </w:r>
          </w:p>
        </w:tc>
      </w:tr>
    </w:tbl>
    <w:p w:rsidR="00524AEE" w:rsidRPr="00B2264F" w:rsidRDefault="003E1C21">
      <w:pPr>
        <w:rPr>
          <w:rFonts w:eastAsia="Times New Roman"/>
          <w:szCs w:val="24"/>
        </w:rPr>
      </w:pPr>
      <w:r w:rsidRPr="00B2264F">
        <w:t>I enlighet med artikel 10.1 i förordningen om den fleråriga budgetramen uppgick det totala belopp som kunde tas i anspråk från Europeiska unionens solidaritetsfond i början av 2019 till 851 082 072 euro, vilket är summan av 2019 års anslag på 585 829 691 euro plus återstoden av 2018 års anslag på 265 252 381 euro, som inte utnyttjats och därför förts över till 2019.</w:t>
      </w:r>
    </w:p>
    <w:p w:rsidR="00524AEE" w:rsidRPr="00B2264F" w:rsidRDefault="003E1C21">
      <w:pPr>
        <w:rPr>
          <w:rFonts w:eastAsia="Times New Roman"/>
          <w:szCs w:val="24"/>
        </w:rPr>
      </w:pPr>
      <w:r w:rsidRPr="00B2264F">
        <w:t>Det belopp som kan utnyttjas i detta skede av 2019 är 557 530 278 euro. Detta motsvarar det sammanlagda belopp som är tillgängligt för ianspråktagande av Europeiska unionens solidaritetsfond i början av år 2019 (851 082 072 euro), minus det tidigare ianspråktagandet</w:t>
      </w:r>
      <w:r w:rsidRPr="00B2264F">
        <w:rPr>
          <w:rStyle w:val="FootnoteReference"/>
        </w:rPr>
        <w:footnoteReference w:id="4"/>
      </w:r>
      <w:r w:rsidRPr="00B2264F">
        <w:t xml:space="preserve"> (293 551 794 euro). I enlighet med artikel 10.1 i den fleråriga budgetramen bör 25 % av de ursprungliga anslagen för år 2019 hållas inne fram till och med oktober 2019. Men eftersom utbetalningen till Grekland ska göras efter den 1 oktober är bestämmelsen inte tillämplig på de föreliggande ärendet. </w:t>
      </w:r>
    </w:p>
    <w:p w:rsidR="00524AEE" w:rsidRPr="00B2264F" w:rsidRDefault="00524AEE">
      <w:pPr>
        <w:rPr>
          <w:rFonts w:eastAsia="Times New Roman"/>
          <w:szCs w:val="24"/>
        </w:rPr>
      </w:pPr>
    </w:p>
    <w:tbl>
      <w:tblPr>
        <w:tblW w:w="8885" w:type="dxa"/>
        <w:tblInd w:w="103" w:type="dxa"/>
        <w:tblLook w:val="04A0" w:firstRow="1" w:lastRow="0" w:firstColumn="1" w:lastColumn="0" w:noHBand="0" w:noVBand="1"/>
      </w:tblPr>
      <w:tblGrid>
        <w:gridCol w:w="6582"/>
        <w:gridCol w:w="2303"/>
      </w:tblGrid>
      <w:tr w:rsidR="00524AEE" w:rsidRPr="00B2264F" w:rsidTr="00A32CD5">
        <w:trPr>
          <w:trHeight w:val="452"/>
        </w:trPr>
        <w:tc>
          <w:tcPr>
            <w:tcW w:w="6582" w:type="dxa"/>
            <w:tcBorders>
              <w:top w:val="single" w:sz="4" w:space="0" w:color="auto"/>
              <w:left w:val="single" w:sz="4" w:space="0" w:color="auto"/>
              <w:bottom w:val="single" w:sz="4" w:space="0" w:color="auto"/>
              <w:right w:val="nil"/>
            </w:tcBorders>
            <w:shd w:val="clear" w:color="auto" w:fill="EEECE1" w:themeFill="background2"/>
            <w:vAlign w:val="bottom"/>
            <w:hideMark/>
          </w:tcPr>
          <w:p w:rsidR="00524AEE" w:rsidRPr="00B2264F" w:rsidRDefault="003E1C21">
            <w:pPr>
              <w:spacing w:line="276" w:lineRule="auto"/>
              <w:jc w:val="left"/>
              <w:rPr>
                <w:b/>
                <w:bCs/>
                <w:sz w:val="18"/>
                <w:szCs w:val="18"/>
              </w:rPr>
            </w:pPr>
            <w:r w:rsidRPr="00B2264F">
              <w:rPr>
                <w:b/>
                <w:bCs/>
                <w:sz w:val="18"/>
                <w:szCs w:val="18"/>
              </w:rPr>
              <w:t>Tillgängligt belopp via solidaritetsfonden</w:t>
            </w:r>
          </w:p>
        </w:tc>
        <w:tc>
          <w:tcPr>
            <w:tcW w:w="2303" w:type="dxa"/>
            <w:tcBorders>
              <w:top w:val="single" w:sz="4" w:space="0" w:color="auto"/>
              <w:left w:val="nil"/>
              <w:bottom w:val="single" w:sz="4" w:space="0" w:color="auto"/>
              <w:right w:val="single" w:sz="4" w:space="0" w:color="auto"/>
            </w:tcBorders>
            <w:shd w:val="clear" w:color="auto" w:fill="EEECE1" w:themeFill="background2"/>
            <w:vAlign w:val="bottom"/>
            <w:hideMark/>
          </w:tcPr>
          <w:p w:rsidR="00524AEE" w:rsidRPr="00B2264F" w:rsidRDefault="003E1C21">
            <w:pPr>
              <w:spacing w:line="276" w:lineRule="auto"/>
              <w:jc w:val="left"/>
              <w:rPr>
                <w:sz w:val="18"/>
                <w:szCs w:val="18"/>
              </w:rPr>
            </w:pPr>
            <w:r w:rsidRPr="00B2264F">
              <w:rPr>
                <w:sz w:val="18"/>
                <w:szCs w:val="18"/>
              </w:rPr>
              <w:t> </w:t>
            </w:r>
          </w:p>
        </w:tc>
      </w:tr>
      <w:tr w:rsidR="00524AEE" w:rsidRPr="00B2264F" w:rsidTr="00A32CD5">
        <w:trPr>
          <w:trHeight w:val="287"/>
        </w:trPr>
        <w:tc>
          <w:tcPr>
            <w:tcW w:w="6582" w:type="dxa"/>
            <w:tcBorders>
              <w:top w:val="single" w:sz="4" w:space="0" w:color="auto"/>
              <w:left w:val="single" w:sz="4" w:space="0" w:color="auto"/>
              <w:bottom w:val="single" w:sz="4" w:space="0" w:color="auto"/>
              <w:right w:val="single" w:sz="4" w:space="0" w:color="auto"/>
            </w:tcBorders>
            <w:noWrap/>
            <w:vAlign w:val="bottom"/>
            <w:hideMark/>
          </w:tcPr>
          <w:p w:rsidR="00524AEE" w:rsidRPr="00B2264F" w:rsidRDefault="003E1C21">
            <w:pPr>
              <w:spacing w:before="40" w:after="40" w:line="276" w:lineRule="auto"/>
              <w:jc w:val="left"/>
              <w:rPr>
                <w:color w:val="000000"/>
                <w:sz w:val="18"/>
                <w:szCs w:val="18"/>
              </w:rPr>
            </w:pPr>
            <w:r w:rsidRPr="00B2264F">
              <w:rPr>
                <w:sz w:val="18"/>
                <w:szCs w:val="18"/>
              </w:rPr>
              <w:t>Årligt anslag 2019  </w:t>
            </w:r>
          </w:p>
        </w:tc>
        <w:tc>
          <w:tcPr>
            <w:tcW w:w="2303" w:type="dxa"/>
            <w:tcBorders>
              <w:top w:val="single" w:sz="4" w:space="0" w:color="auto"/>
              <w:left w:val="nil"/>
              <w:bottom w:val="single" w:sz="4" w:space="0" w:color="auto"/>
              <w:right w:val="single" w:sz="4" w:space="0" w:color="auto"/>
            </w:tcBorders>
            <w:shd w:val="clear" w:color="auto" w:fill="EEECE1" w:themeFill="background2"/>
            <w:vAlign w:val="center"/>
            <w:hideMark/>
          </w:tcPr>
          <w:p w:rsidR="00524AEE" w:rsidRPr="00B2264F" w:rsidRDefault="003E1C21">
            <w:pPr>
              <w:spacing w:before="40" w:after="40" w:line="276" w:lineRule="auto"/>
              <w:jc w:val="center"/>
              <w:rPr>
                <w:bCs/>
                <w:i/>
                <w:iCs/>
                <w:sz w:val="18"/>
                <w:szCs w:val="18"/>
                <w:highlight w:val="yellow"/>
              </w:rPr>
            </w:pPr>
            <w:r w:rsidRPr="00B2264F">
              <w:rPr>
                <w:bCs/>
                <w:i/>
                <w:iCs/>
                <w:sz w:val="18"/>
                <w:szCs w:val="18"/>
              </w:rPr>
              <w:t>EUR 585 829 691</w:t>
            </w:r>
          </w:p>
        </w:tc>
      </w:tr>
      <w:tr w:rsidR="00524AEE" w:rsidRPr="00B2264F" w:rsidTr="00A32CD5">
        <w:trPr>
          <w:trHeight w:val="287"/>
        </w:trPr>
        <w:tc>
          <w:tcPr>
            <w:tcW w:w="6582" w:type="dxa"/>
            <w:tcBorders>
              <w:top w:val="single" w:sz="4" w:space="0" w:color="auto"/>
              <w:left w:val="single" w:sz="4" w:space="0" w:color="auto"/>
              <w:bottom w:val="single" w:sz="4" w:space="0" w:color="auto"/>
              <w:right w:val="single" w:sz="4" w:space="0" w:color="auto"/>
            </w:tcBorders>
            <w:vAlign w:val="center"/>
            <w:hideMark/>
          </w:tcPr>
          <w:p w:rsidR="00524AEE" w:rsidRPr="00B2264F" w:rsidRDefault="003E1C21">
            <w:pPr>
              <w:spacing w:before="40" w:after="40" w:line="276" w:lineRule="auto"/>
              <w:jc w:val="left"/>
              <w:rPr>
                <w:color w:val="000000"/>
                <w:sz w:val="18"/>
                <w:szCs w:val="18"/>
              </w:rPr>
            </w:pPr>
            <w:r w:rsidRPr="00B2264F">
              <w:rPr>
                <w:sz w:val="18"/>
                <w:szCs w:val="18"/>
              </w:rPr>
              <w:t>Plus outnyttjat anslag för 2018 som förts över till 2019</w:t>
            </w:r>
          </w:p>
        </w:tc>
        <w:tc>
          <w:tcPr>
            <w:tcW w:w="2303" w:type="dxa"/>
            <w:tcBorders>
              <w:top w:val="single" w:sz="4" w:space="0" w:color="auto"/>
              <w:left w:val="nil"/>
              <w:bottom w:val="single" w:sz="4" w:space="0" w:color="auto"/>
              <w:right w:val="single" w:sz="4" w:space="0" w:color="auto"/>
            </w:tcBorders>
            <w:shd w:val="clear" w:color="auto" w:fill="EEECE1" w:themeFill="background2"/>
            <w:vAlign w:val="center"/>
            <w:hideMark/>
          </w:tcPr>
          <w:p w:rsidR="00524AEE" w:rsidRPr="00B2264F" w:rsidRDefault="003E1C21">
            <w:pPr>
              <w:spacing w:before="40" w:after="40" w:line="276" w:lineRule="auto"/>
              <w:jc w:val="center"/>
              <w:rPr>
                <w:bCs/>
                <w:i/>
                <w:iCs/>
                <w:sz w:val="18"/>
                <w:szCs w:val="18"/>
                <w:highlight w:val="yellow"/>
              </w:rPr>
            </w:pPr>
            <w:r w:rsidRPr="00B2264F">
              <w:rPr>
                <w:bCs/>
                <w:i/>
                <w:iCs/>
                <w:sz w:val="18"/>
                <w:szCs w:val="18"/>
              </w:rPr>
              <w:t>+ EUR 265 252 381</w:t>
            </w:r>
          </w:p>
        </w:tc>
      </w:tr>
      <w:tr w:rsidR="00524AEE" w:rsidRPr="00B2264F" w:rsidTr="00A32CD5">
        <w:trPr>
          <w:trHeight w:val="287"/>
        </w:trPr>
        <w:tc>
          <w:tcPr>
            <w:tcW w:w="6582" w:type="dxa"/>
            <w:tcBorders>
              <w:top w:val="single" w:sz="4" w:space="0" w:color="auto"/>
              <w:left w:val="single" w:sz="4" w:space="0" w:color="auto"/>
              <w:bottom w:val="nil"/>
              <w:right w:val="single" w:sz="4" w:space="0" w:color="000000"/>
            </w:tcBorders>
            <w:noWrap/>
            <w:vAlign w:val="bottom"/>
            <w:hideMark/>
          </w:tcPr>
          <w:p w:rsidR="00524AEE" w:rsidRPr="00B2264F" w:rsidRDefault="003E1C21">
            <w:pPr>
              <w:spacing w:before="40" w:after="40" w:line="276" w:lineRule="auto"/>
              <w:jc w:val="left"/>
              <w:rPr>
                <w:color w:val="000000"/>
                <w:sz w:val="18"/>
                <w:szCs w:val="18"/>
              </w:rPr>
            </w:pPr>
            <w:r w:rsidRPr="00B2264F">
              <w:rPr>
                <w:sz w:val="18"/>
                <w:szCs w:val="18"/>
              </w:rPr>
              <w:t>Minus det belopp som ianspråktagits för Rumänien, Italien och Österrike (ÄB 3)</w:t>
            </w:r>
          </w:p>
        </w:tc>
        <w:tc>
          <w:tcPr>
            <w:tcW w:w="2303" w:type="dxa"/>
            <w:tcBorders>
              <w:top w:val="nil"/>
              <w:left w:val="nil"/>
              <w:bottom w:val="nil"/>
              <w:right w:val="single" w:sz="4" w:space="0" w:color="auto"/>
            </w:tcBorders>
            <w:shd w:val="clear" w:color="auto" w:fill="EEECE1" w:themeFill="background2"/>
            <w:vAlign w:val="center"/>
            <w:hideMark/>
          </w:tcPr>
          <w:p w:rsidR="00524AEE" w:rsidRPr="00B2264F" w:rsidRDefault="003E1C21">
            <w:pPr>
              <w:spacing w:before="40" w:after="40" w:line="276" w:lineRule="auto"/>
              <w:jc w:val="center"/>
              <w:rPr>
                <w:bCs/>
                <w:i/>
                <w:iCs/>
                <w:sz w:val="18"/>
                <w:szCs w:val="18"/>
              </w:rPr>
            </w:pPr>
            <w:r w:rsidRPr="00B2264F">
              <w:rPr>
                <w:bCs/>
                <w:i/>
                <w:iCs/>
                <w:sz w:val="18"/>
                <w:szCs w:val="18"/>
              </w:rPr>
              <w:t>- EUR 293 551 794</w:t>
            </w:r>
          </w:p>
        </w:tc>
      </w:tr>
      <w:tr w:rsidR="00524AEE" w:rsidRPr="00B2264F" w:rsidTr="00A32CD5">
        <w:trPr>
          <w:trHeight w:val="438"/>
        </w:trPr>
        <w:tc>
          <w:tcPr>
            <w:tcW w:w="658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524AEE" w:rsidRPr="00B2264F" w:rsidRDefault="003E1C21">
            <w:pPr>
              <w:spacing w:before="40" w:after="40" w:line="276" w:lineRule="auto"/>
              <w:jc w:val="left"/>
              <w:rPr>
                <w:b/>
                <w:bCs/>
                <w:sz w:val="18"/>
                <w:szCs w:val="18"/>
              </w:rPr>
            </w:pPr>
            <w:r w:rsidRPr="00B2264F">
              <w:rPr>
                <w:b/>
                <w:bCs/>
                <w:sz w:val="18"/>
                <w:szCs w:val="18"/>
              </w:rPr>
              <w:t>TOTALT tillgängligt fram till december 2019 </w:t>
            </w:r>
          </w:p>
        </w:tc>
        <w:tc>
          <w:tcPr>
            <w:tcW w:w="2303" w:type="dxa"/>
            <w:tcBorders>
              <w:top w:val="single" w:sz="4" w:space="0" w:color="auto"/>
              <w:left w:val="nil"/>
              <w:bottom w:val="single" w:sz="4" w:space="0" w:color="auto"/>
              <w:right w:val="single" w:sz="4" w:space="0" w:color="auto"/>
            </w:tcBorders>
            <w:shd w:val="clear" w:color="auto" w:fill="EEECE1" w:themeFill="background2"/>
            <w:vAlign w:val="bottom"/>
            <w:hideMark/>
          </w:tcPr>
          <w:p w:rsidR="00524AEE" w:rsidRPr="00B2264F" w:rsidRDefault="003E1C21">
            <w:pPr>
              <w:spacing w:before="40" w:after="40" w:line="276" w:lineRule="auto"/>
              <w:jc w:val="center"/>
              <w:rPr>
                <w:b/>
                <w:bCs/>
                <w:i/>
                <w:iCs/>
                <w:sz w:val="18"/>
                <w:szCs w:val="18"/>
                <w:highlight w:val="yellow"/>
              </w:rPr>
            </w:pPr>
            <w:r w:rsidRPr="00B2264F">
              <w:rPr>
                <w:b/>
                <w:bCs/>
                <w:i/>
                <w:iCs/>
                <w:sz w:val="18"/>
                <w:szCs w:val="18"/>
              </w:rPr>
              <w:t>EUR 557 530 278</w:t>
            </w:r>
          </w:p>
        </w:tc>
      </w:tr>
    </w:tbl>
    <w:p w:rsidR="00524AEE" w:rsidRPr="00B2264F" w:rsidRDefault="00524AEE">
      <w:pPr>
        <w:sectPr w:rsidR="00524AEE" w:rsidRPr="00B2264F" w:rsidSect="002E60C7">
          <w:footerReference w:type="default" r:id="rId15"/>
          <w:footerReference w:type="first" r:id="rId16"/>
          <w:pgSz w:w="11907" w:h="16839"/>
          <w:pgMar w:top="1134" w:right="1417" w:bottom="1134" w:left="1417" w:header="709" w:footer="709" w:gutter="0"/>
          <w:pgNumType w:start="2"/>
          <w:cols w:space="720"/>
          <w:docGrid w:linePitch="360"/>
        </w:sectPr>
      </w:pPr>
    </w:p>
    <w:p w:rsidR="00524AEE" w:rsidRPr="00B2264F" w:rsidRDefault="002E60C7" w:rsidP="002E60C7">
      <w:pPr>
        <w:pStyle w:val="Statut"/>
      </w:pPr>
      <w:r w:rsidRPr="002E60C7">
        <w:t>Förslag till</w:t>
      </w:r>
    </w:p>
    <w:p w:rsidR="00524AEE" w:rsidRPr="00B2264F" w:rsidRDefault="002E60C7" w:rsidP="002E60C7">
      <w:pPr>
        <w:pStyle w:val="Typedudocument"/>
      </w:pPr>
      <w:r w:rsidRPr="002E60C7">
        <w:t>EUROPAPARLAMENTETS OCH RÅDETS BESLUT</w:t>
      </w:r>
    </w:p>
    <w:p w:rsidR="00524AEE" w:rsidRPr="00B2264F" w:rsidRDefault="002E60C7" w:rsidP="002E60C7">
      <w:pPr>
        <w:pStyle w:val="Titreobjet"/>
      </w:pPr>
      <w:r w:rsidRPr="002E60C7">
        <w:t>om utnyttjande av Europeiska unionens solidaritetsfond för att ge stöd till Grekland</w:t>
      </w:r>
    </w:p>
    <w:p w:rsidR="00524AEE" w:rsidRPr="00B2264F" w:rsidRDefault="003E1C21">
      <w:pPr>
        <w:pStyle w:val="Institutionquiagit"/>
        <w:spacing w:before="480" w:after="360"/>
      </w:pPr>
      <w:r w:rsidRPr="00B2264F">
        <w:t>EUROPAPARLAMENTET OCH EUROPEISKA UNIONENS RÅD HAR ANTAGIT DETTA BESLUT</w:t>
      </w:r>
    </w:p>
    <w:p w:rsidR="00524AEE" w:rsidRPr="00B2264F" w:rsidRDefault="003E1C21">
      <w:r w:rsidRPr="00B2264F">
        <w:t>med beaktande av fördraget om Europeiska unionens funktionssätt,</w:t>
      </w:r>
    </w:p>
    <w:p w:rsidR="00524AEE" w:rsidRPr="00B2264F" w:rsidRDefault="003E1C21">
      <w:r w:rsidRPr="00B2264F">
        <w:t>med beaktande av rådets förordning (EG) nr 2012/2002 av den 11 november 2002 om inrättande av Europeiska unionens solidaritetsfond</w:t>
      </w:r>
      <w:r w:rsidRPr="00B2264F">
        <w:rPr>
          <w:rStyle w:val="FootnoteReference"/>
        </w:rPr>
        <w:footnoteReference w:id="5"/>
      </w:r>
      <w:r w:rsidRPr="00B2264F">
        <w:t>, särskilt artikel 4.3,</w:t>
      </w:r>
    </w:p>
    <w:p w:rsidR="00524AEE" w:rsidRPr="00B2264F" w:rsidRDefault="003E1C21">
      <w:r w:rsidRPr="00B2264F">
        <w:t>med beaktande av det interinstitutionella avtalet av den 2 december 2013 mellan Europaparlamentet, rådet och kommissionen om budgetdisciplin, samarbete i budgetfrågor och sund ekonomisk förvaltning</w:t>
      </w:r>
      <w:r w:rsidRPr="00B2264F">
        <w:rPr>
          <w:rStyle w:val="FootnoteReference"/>
        </w:rPr>
        <w:footnoteReference w:id="6"/>
      </w:r>
      <w:r w:rsidRPr="00B2264F">
        <w:t>, särskilt punkt 11,</w:t>
      </w:r>
    </w:p>
    <w:p w:rsidR="00524AEE" w:rsidRPr="00B2264F" w:rsidRDefault="003E1C21">
      <w:r w:rsidRPr="00B2264F">
        <w:t>med beaktande av Europeiska kommissionens förslag, och</w:t>
      </w:r>
    </w:p>
    <w:p w:rsidR="00524AEE" w:rsidRPr="00B2264F" w:rsidRDefault="003E1C21">
      <w:pPr>
        <w:spacing w:after="360"/>
      </w:pPr>
      <w:r w:rsidRPr="00B2264F">
        <w:t>av följande skäl:</w:t>
      </w:r>
    </w:p>
    <w:p w:rsidR="00524AEE" w:rsidRPr="00B2264F" w:rsidRDefault="003E1C21">
      <w:pPr>
        <w:pStyle w:val="ManualConsidrant"/>
      </w:pPr>
      <w:r w:rsidRPr="00B2264F">
        <w:t>1)</w:t>
      </w:r>
      <w:r w:rsidRPr="00B2264F">
        <w:tab/>
        <w:t xml:space="preserve">Europeiska unionens solidaritetsfond (nedan kallad </w:t>
      </w:r>
      <w:r w:rsidRPr="00B2264F">
        <w:rPr>
          <w:i/>
          <w:iCs/>
        </w:rPr>
        <w:t>fonden</w:t>
      </w:r>
      <w:r w:rsidRPr="00B2264F">
        <w:t>) syftar till att ge unionen möjlighet att på ett snabbt, effektivt och flexibelt sätt vidta åtgärder i nödsituationer för att visa solidaritet med befolkningen i regioner som drabbats av naturkatastrofer.</w:t>
      </w:r>
    </w:p>
    <w:p w:rsidR="00524AEE" w:rsidRPr="00B2264F" w:rsidRDefault="003E1C21">
      <w:pPr>
        <w:pStyle w:val="ManualConsidrant"/>
      </w:pPr>
      <w:r w:rsidRPr="00B2264F">
        <w:t>2)</w:t>
      </w:r>
      <w:r w:rsidRPr="00B2264F">
        <w:tab/>
        <w:t>I enlighet med artikel 10 i rådets förordning (EU, Euratom) nr 1311/2013</w:t>
      </w:r>
      <w:r w:rsidRPr="00B2264F">
        <w:rPr>
          <w:rStyle w:val="FootnoteReference"/>
        </w:rPr>
        <w:footnoteReference w:id="7"/>
      </w:r>
      <w:r w:rsidRPr="00B2264F">
        <w:t xml:space="preserve"> får det högsta årliga beloppet för fonden inte överskrida 500 000 000 euro per år (i 2011 års priser).</w:t>
      </w:r>
    </w:p>
    <w:p w:rsidR="00524AEE" w:rsidRPr="00B2264F" w:rsidRDefault="003E1C21">
      <w:pPr>
        <w:pStyle w:val="ManualConsidrant"/>
      </w:pPr>
      <w:r w:rsidRPr="00B2264F">
        <w:t>3)</w:t>
      </w:r>
      <w:r w:rsidRPr="00B2264F">
        <w:tab/>
        <w:t>Den 15 maj 2019 lämnade Grekland in en ansökan om ianspråktagande av fonden efter det att de exceptionellt kraftiga regn och stormar som drabbade Kreta mellan den 23 och 26 februari 2019 lett till översvämningar och jordskred.</w:t>
      </w:r>
    </w:p>
    <w:p w:rsidR="00524AEE" w:rsidRPr="00B2264F" w:rsidRDefault="003E1C21">
      <w:pPr>
        <w:pStyle w:val="ManualConsidrant"/>
        <w:rPr>
          <w:sz w:val="22"/>
        </w:rPr>
      </w:pPr>
      <w:r w:rsidRPr="00B2264F">
        <w:t>4)</w:t>
      </w:r>
      <w:r w:rsidRPr="00B2264F">
        <w:tab/>
        <w:t>Greklands ansökan uppfyller villkoren för finansiellt stöd från fonden i enlighet med artikel 4 i förordning (EG) nr 2012/2002.</w:t>
      </w:r>
    </w:p>
    <w:p w:rsidR="00524AEE" w:rsidRPr="00B2264F" w:rsidRDefault="003E1C21">
      <w:pPr>
        <w:pStyle w:val="ManualConsidrant"/>
      </w:pPr>
      <w:r w:rsidRPr="00B2264F">
        <w:t>5)</w:t>
      </w:r>
      <w:r w:rsidRPr="00B2264F">
        <w:tab/>
        <w:t>Fonden bör därför utnyttjas för att ge finansiellt stöd till Grekland.</w:t>
      </w:r>
    </w:p>
    <w:p w:rsidR="00524AEE" w:rsidRPr="00B2264F" w:rsidRDefault="008914EC">
      <w:pPr>
        <w:pStyle w:val="ManualConsidrant"/>
      </w:pPr>
      <w:r w:rsidRPr="00B2264F">
        <w:t>6)</w:t>
      </w:r>
      <w:r w:rsidRPr="00B2264F">
        <w:tab/>
        <w:t>Genom Europaparlamentets och rådets beslut (EU) 2019/277</w:t>
      </w:r>
      <w:r w:rsidRPr="00B2264F">
        <w:rPr>
          <w:rStyle w:val="FootnoteReference"/>
        </w:rPr>
        <w:footnoteReference w:id="8"/>
      </w:r>
      <w:r w:rsidRPr="00B2264F">
        <w:t xml:space="preserve"> togs Europeiska unionens solidaritetsfond i anspråk för att tillhandahålla 50 000 000 euro i åtagande- och betalningsbemyndiganden för utbetalning av förskott för budgetåret 2019. Dessa anslag har använts i mycket liten utsträckning. Det finns alltså utrymme för finansiering av det fulla beloppet för detta utnyttjande genom omfördelning av tillgängliga anslag för utbetalning av förskott i Europeiska unionens allmänna budget för budgetåret 2019.</w:t>
      </w:r>
    </w:p>
    <w:p w:rsidR="00524AEE" w:rsidRPr="00B2264F" w:rsidRDefault="008914EC">
      <w:pPr>
        <w:pStyle w:val="ManualConsidrant"/>
      </w:pPr>
      <w:r w:rsidRPr="00B2264F">
        <w:t>7)</w:t>
      </w:r>
      <w:r w:rsidRPr="00B2264F">
        <w:tab/>
        <w:t>För att minimera den tid det tar att ta fonden i anspråk bör detta beslut tillämpas från och med den dag då det antas.</w:t>
      </w:r>
    </w:p>
    <w:p w:rsidR="00524AEE" w:rsidRPr="00B2264F" w:rsidRDefault="003E1C21">
      <w:pPr>
        <w:pStyle w:val="Formuledadoption"/>
      </w:pPr>
      <w:r w:rsidRPr="00B2264F">
        <w:t>HÄRIGENOM FÖRESKRIVS FÖLJANDE.</w:t>
      </w:r>
    </w:p>
    <w:p w:rsidR="00524AEE" w:rsidRPr="00B2264F" w:rsidRDefault="003E1C21">
      <w:pPr>
        <w:pStyle w:val="Titrearticle"/>
        <w:spacing w:before="240"/>
      </w:pPr>
      <w:r w:rsidRPr="00B2264F">
        <w:t>Artikel 1</w:t>
      </w:r>
    </w:p>
    <w:p w:rsidR="00524AEE" w:rsidRPr="00B2264F" w:rsidRDefault="003E1C21">
      <w:pPr>
        <w:spacing w:before="0" w:after="0"/>
      </w:pPr>
      <w:r w:rsidRPr="00B2264F">
        <w:t>Inom ramen för unionens allmänna budget för budgetåret 2019 ska Europeiska unionens solidaritetsfond tas i anspråk för att förse Grekland med 4 552 517 euro i åtagande- och betalningsbemyndiganden.</w:t>
      </w:r>
    </w:p>
    <w:p w:rsidR="00524AEE" w:rsidRPr="00B2264F" w:rsidRDefault="00524AEE">
      <w:pPr>
        <w:spacing w:before="0" w:after="0"/>
      </w:pPr>
    </w:p>
    <w:p w:rsidR="00524AEE" w:rsidRPr="00B2264F" w:rsidRDefault="003E1C21">
      <w:pPr>
        <w:spacing w:before="0" w:after="0"/>
      </w:pPr>
      <w:r w:rsidRPr="00B2264F">
        <w:t>Det belopp som avses i första stycket ska finansieras via de anslag som får tas i anspråk för utbetalning av förskott i unionens allmänna budget för 2019. De anslag som finns tillgängliga för förskottsutbetalningar ska minskas med motsvarande belopp.</w:t>
      </w:r>
    </w:p>
    <w:p w:rsidR="00524AEE" w:rsidRPr="00B2264F" w:rsidRDefault="003E1C21">
      <w:pPr>
        <w:pStyle w:val="Titrearticle"/>
      </w:pPr>
      <w:r w:rsidRPr="00B2264F">
        <w:t>Artikel 2</w:t>
      </w:r>
    </w:p>
    <w:p w:rsidR="00524AEE" w:rsidRPr="00B2264F" w:rsidRDefault="003E1C21">
      <w:r w:rsidRPr="00B2264F">
        <w:t xml:space="preserve">Detta beslut träder i kraft samma dag som det offentliggörs i </w:t>
      </w:r>
      <w:r w:rsidRPr="00B2264F">
        <w:rPr>
          <w:i/>
        </w:rPr>
        <w:t>Europeiska unionens officiella tidning</w:t>
      </w:r>
      <w:r w:rsidRPr="00B2264F">
        <w:t>.</w:t>
      </w:r>
    </w:p>
    <w:p w:rsidR="00524AEE" w:rsidRPr="00B2264F" w:rsidRDefault="003E1C21">
      <w:pPr>
        <w:rPr>
          <w:i/>
        </w:rPr>
      </w:pPr>
      <w:r w:rsidRPr="00B2264F">
        <w:t>Det ska tillämpas från och med … [</w:t>
      </w:r>
      <w:r w:rsidRPr="00B2264F">
        <w:rPr>
          <w:i/>
        </w:rPr>
        <w:t>dagen för antagandet</w:t>
      </w:r>
      <w:r w:rsidRPr="00B2264F">
        <w:t>]</w:t>
      </w:r>
      <w:r w:rsidRPr="00B2264F">
        <w:footnoteReference w:customMarkFollows="1" w:id="9"/>
        <w:sym w:font="Symbol" w:char="F02A"/>
      </w:r>
      <w:r w:rsidRPr="00B2264F">
        <w:sym w:font="Symbol" w:char="F02A"/>
      </w:r>
      <w:r w:rsidRPr="00B2264F">
        <w:rPr>
          <w:i/>
        </w:rPr>
        <w:t>.</w:t>
      </w:r>
    </w:p>
    <w:p w:rsidR="00524AEE" w:rsidRPr="00B2264F" w:rsidRDefault="002E60C7" w:rsidP="002E60C7">
      <w:pPr>
        <w:pStyle w:val="Fait"/>
      </w:pPr>
      <w:r w:rsidRPr="002E60C7">
        <w:t>Utfärdat i Bryssel den</w:t>
      </w:r>
    </w:p>
    <w:p w:rsidR="00524AEE" w:rsidRPr="00B2264F" w:rsidRDefault="003E1C21">
      <w:pPr>
        <w:pStyle w:val="Institutionquisigne"/>
      </w:pPr>
      <w:r w:rsidRPr="00B2264F">
        <w:t>På Europaparlamentets vägnar</w:t>
      </w:r>
      <w:r w:rsidRPr="00B2264F">
        <w:tab/>
        <w:t>På rådets vägnar</w:t>
      </w:r>
    </w:p>
    <w:sectPr w:rsidR="00524AEE" w:rsidRPr="00B2264F" w:rsidSect="002E60C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EE" w:rsidRDefault="003E1C21">
      <w:pPr>
        <w:spacing w:before="0" w:after="0"/>
      </w:pPr>
      <w:r>
        <w:separator/>
      </w:r>
    </w:p>
  </w:endnote>
  <w:endnote w:type="continuationSeparator" w:id="0">
    <w:p w:rsidR="00524AEE" w:rsidRDefault="003E1C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C7" w:rsidRPr="002E60C7" w:rsidRDefault="002E60C7" w:rsidP="002E6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86" w:rsidRPr="002E60C7" w:rsidRDefault="002E60C7" w:rsidP="002E60C7">
    <w:pPr>
      <w:pStyle w:val="Footer"/>
      <w:rPr>
        <w:rFonts w:ascii="Arial" w:hAnsi="Arial" w:cs="Arial"/>
        <w:b/>
        <w:sz w:val="48"/>
      </w:rPr>
    </w:pPr>
    <w:r w:rsidRPr="002E60C7">
      <w:rPr>
        <w:rFonts w:ascii="Arial" w:hAnsi="Arial" w:cs="Arial"/>
        <w:b/>
        <w:sz w:val="48"/>
      </w:rPr>
      <w:t>SV</w:t>
    </w:r>
    <w:r w:rsidRPr="002E60C7">
      <w:rPr>
        <w:rFonts w:ascii="Arial" w:hAnsi="Arial" w:cs="Arial"/>
        <w:b/>
        <w:sz w:val="48"/>
      </w:rPr>
      <w:tab/>
    </w:r>
    <w:r w:rsidRPr="002E60C7">
      <w:rPr>
        <w:rFonts w:ascii="Arial" w:hAnsi="Arial" w:cs="Arial"/>
        <w:b/>
        <w:sz w:val="48"/>
      </w:rPr>
      <w:tab/>
    </w:r>
    <w:r w:rsidRPr="002E60C7">
      <w:tab/>
    </w:r>
    <w:r w:rsidRPr="002E60C7">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C7" w:rsidRPr="002E60C7" w:rsidRDefault="002E60C7" w:rsidP="002E6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C7" w:rsidRPr="002E60C7" w:rsidRDefault="002E60C7" w:rsidP="002E60C7">
    <w:pPr>
      <w:pStyle w:val="Footer"/>
      <w:rPr>
        <w:rFonts w:ascii="Arial" w:hAnsi="Arial" w:cs="Arial"/>
        <w:b/>
        <w:sz w:val="48"/>
      </w:rPr>
    </w:pPr>
    <w:r w:rsidRPr="002E60C7">
      <w:rPr>
        <w:rFonts w:ascii="Arial" w:hAnsi="Arial" w:cs="Arial"/>
        <w:b/>
        <w:sz w:val="48"/>
      </w:rPr>
      <w:t>SV</w:t>
    </w:r>
    <w:r w:rsidRPr="002E60C7">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2E60C7">
      <w:tab/>
    </w:r>
    <w:r w:rsidRPr="002E60C7">
      <w:rPr>
        <w:rFonts w:ascii="Arial" w:hAnsi="Arial" w:cs="Arial"/>
        <w:b/>
        <w:sz w:val="48"/>
      </w:rPr>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C7" w:rsidRPr="002E60C7" w:rsidRDefault="002E60C7" w:rsidP="002E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EE" w:rsidRDefault="003E1C21">
      <w:pPr>
        <w:spacing w:before="0" w:after="0"/>
      </w:pPr>
      <w:r>
        <w:separator/>
      </w:r>
    </w:p>
  </w:footnote>
  <w:footnote w:type="continuationSeparator" w:id="0">
    <w:p w:rsidR="00524AEE" w:rsidRDefault="003E1C21">
      <w:pPr>
        <w:spacing w:before="0" w:after="0"/>
      </w:pPr>
      <w:r>
        <w:continuationSeparator/>
      </w:r>
    </w:p>
  </w:footnote>
  <w:footnote w:id="1">
    <w:p w:rsidR="00524AEE" w:rsidRPr="00B2264F" w:rsidRDefault="003E1C21">
      <w:pPr>
        <w:pStyle w:val="FootnoteText"/>
      </w:pPr>
      <w:r>
        <w:rPr>
          <w:rStyle w:val="FootnoteReference"/>
        </w:rPr>
        <w:footnoteRef/>
      </w:r>
      <w:r w:rsidRPr="00B2264F">
        <w:tab/>
        <w:t>Rådets förordning (EG) nr 2012/2002 av den 11 november 2002 om inrättande av Europeiska unionens solidaritetsfond (EGT L 311, 14.11.2002, s. 3), ändrad genom Europaparlamentets och rådets förordning (EU) nr 661/2014 av den 15 maj 2014 (EUT L 189, 27.6.2014, s. 143).</w:t>
      </w:r>
    </w:p>
  </w:footnote>
  <w:footnote w:id="2">
    <w:p w:rsidR="00524AEE" w:rsidRPr="00B2264F" w:rsidRDefault="003E1C21">
      <w:pPr>
        <w:pStyle w:val="FootnoteText"/>
      </w:pPr>
      <w:r>
        <w:rPr>
          <w:rStyle w:val="FootnoteReference"/>
        </w:rPr>
        <w:footnoteRef/>
      </w:r>
      <w:r w:rsidRPr="00B2264F">
        <w:tab/>
        <w:t>Rådets förordning (EU, Euratom) nr 1311/2013 av den 2 december 2013 om den fleråriga budgetramen för 2014–2020 (EUT L 347, 20.12.2013, s. 884).</w:t>
      </w:r>
    </w:p>
  </w:footnote>
  <w:footnote w:id="3">
    <w:p w:rsidR="00524AEE" w:rsidRPr="00B2264F" w:rsidRDefault="003E1C21">
      <w:pPr>
        <w:pStyle w:val="FootnoteText"/>
      </w:pPr>
      <w:r>
        <w:rPr>
          <w:rStyle w:val="FootnoteReference"/>
        </w:rPr>
        <w:footnoteRef/>
      </w:r>
      <w:r w:rsidRPr="00B2264F">
        <w:tab/>
        <w:t>EUT C 373, 20.12.2013, s. 1.</w:t>
      </w:r>
    </w:p>
  </w:footnote>
  <w:footnote w:id="4">
    <w:p w:rsidR="00524AEE" w:rsidRPr="00B2264F" w:rsidRDefault="003E1C21">
      <w:pPr>
        <w:pStyle w:val="FootnoteText"/>
      </w:pPr>
      <w:r>
        <w:rPr>
          <w:rStyle w:val="FootnoteReference"/>
        </w:rPr>
        <w:footnoteRef/>
      </w:r>
      <w:r w:rsidRPr="00B2264F">
        <w:tab/>
        <w:t>Texter antagna genom P9_TA-PROV(2019)0013 och P9_TA-PROV(2019)0014</w:t>
      </w:r>
      <w:r w:rsidRPr="00B2264F">
        <w:rPr>
          <w:sz w:val="18"/>
          <w:szCs w:val="18"/>
        </w:rPr>
        <w:t>.</w:t>
      </w:r>
    </w:p>
  </w:footnote>
  <w:footnote w:id="5">
    <w:p w:rsidR="00524AEE" w:rsidRPr="00B2264F" w:rsidRDefault="003E1C21">
      <w:pPr>
        <w:pStyle w:val="FootnoteText"/>
      </w:pPr>
      <w:r>
        <w:rPr>
          <w:rStyle w:val="FootnoteReference"/>
        </w:rPr>
        <w:footnoteRef/>
      </w:r>
      <w:r w:rsidRPr="00B2264F">
        <w:tab/>
      </w:r>
      <w:r w:rsidRPr="00B2264F">
        <w:rPr>
          <w:shd w:val="clear" w:color="auto" w:fill="FFFFFF"/>
        </w:rPr>
        <w:t>EGT L 311, 14.11.2002, s. 3.</w:t>
      </w:r>
    </w:p>
  </w:footnote>
  <w:footnote w:id="6">
    <w:p w:rsidR="00524AEE" w:rsidRPr="00B2264F" w:rsidRDefault="003E1C21">
      <w:pPr>
        <w:pStyle w:val="FootnoteText"/>
      </w:pPr>
      <w:r>
        <w:rPr>
          <w:rStyle w:val="FootnoteReference"/>
        </w:rPr>
        <w:footnoteRef/>
      </w:r>
      <w:r w:rsidRPr="00B2264F">
        <w:tab/>
        <w:t>EUT C 373, 20.12.2013, s. 1.</w:t>
      </w:r>
    </w:p>
  </w:footnote>
  <w:footnote w:id="7">
    <w:p w:rsidR="00524AEE" w:rsidRPr="00B2264F" w:rsidRDefault="003E1C21">
      <w:pPr>
        <w:pStyle w:val="FootnoteText"/>
      </w:pPr>
      <w:r>
        <w:rPr>
          <w:rStyle w:val="FootnoteReference"/>
        </w:rPr>
        <w:footnoteRef/>
      </w:r>
      <w:r w:rsidRPr="00B2264F">
        <w:tab/>
        <w:t>Rådets förordning (EU, Euratom) nr 1311/2013 av den 2 december 2013 om den fleråriga budgetramen för 2014–2020 (EUT L 347, 20.12.2013, s. 884).</w:t>
      </w:r>
    </w:p>
  </w:footnote>
  <w:footnote w:id="8">
    <w:p w:rsidR="00524AEE" w:rsidRPr="00B2264F" w:rsidRDefault="003E1C21">
      <w:pPr>
        <w:pStyle w:val="FootnoteText"/>
      </w:pPr>
      <w:r>
        <w:rPr>
          <w:rStyle w:val="FootnoteReference"/>
        </w:rPr>
        <w:footnoteRef/>
      </w:r>
      <w:r w:rsidRPr="00B2264F">
        <w:tab/>
        <w:t>EUT L 54, 22.2.2019, s. 5.</w:t>
      </w:r>
    </w:p>
  </w:footnote>
  <w:footnote w:id="9">
    <w:p w:rsidR="00524AEE" w:rsidRPr="00B2264F" w:rsidRDefault="003E1C21">
      <w:pPr>
        <w:pStyle w:val="FootnoteText"/>
      </w:pPr>
      <w:r>
        <w:sym w:font="Symbol" w:char="F02A"/>
      </w:r>
      <w:r>
        <w:sym w:font="Symbol" w:char="F02A"/>
      </w:r>
      <w:r w:rsidRPr="00B2264F">
        <w:t xml:space="preserve"> </w:t>
      </w:r>
      <w:r w:rsidRPr="00B2264F">
        <w:rPr>
          <w:i/>
        </w:rPr>
        <w:t>Datum förs in av parlamentet före offentliggörandet i EUT.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C7" w:rsidRPr="002E60C7" w:rsidRDefault="002E60C7" w:rsidP="002E6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C7" w:rsidRPr="002E60C7" w:rsidRDefault="002E60C7" w:rsidP="002E6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C7" w:rsidRPr="002E60C7" w:rsidRDefault="002E60C7" w:rsidP="002E6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93E3D4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57C2E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3E095F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B14E41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956E09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1B06E1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24AD14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4FCD1B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1:33:23"/>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1A906AC4-956D-493B-83C1-B82305978ED0"/>
    <w:docVar w:name="LW_COVERPAGE_TYPE" w:val="1"/>
    <w:docVar w:name="LW_CROSSREFERENCE" w:val="&lt;UNUSED&gt;"/>
    <w:docVar w:name="LW_DocType" w:val="COM"/>
    <w:docVar w:name="LW_EMISSION" w:val="18.10.2019"/>
    <w:docVar w:name="LW_EMISSION_ISODATE" w:val="2019-10-18"/>
    <w:docVar w:name="LW_EMISSION_LOCATION" w:val="BRX"/>
    <w:docVar w:name="LW_EMISSION_PREFIX" w:val="Bryssel den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utnyttjande av Europeiska unionens solidaritetsfond för att ge stöd till Grekland"/>
    <w:docVar w:name="LW_TYPE.DOC.CP" w:val="EUROPAPARLAMENTETS OCH RÅDETS BESLUT"/>
  </w:docVars>
  <w:rsids>
    <w:rsidRoot w:val="00531862"/>
    <w:rsid w:val="00075208"/>
    <w:rsid w:val="00254016"/>
    <w:rsid w:val="0028658E"/>
    <w:rsid w:val="002E60C7"/>
    <w:rsid w:val="003620D5"/>
    <w:rsid w:val="00362C86"/>
    <w:rsid w:val="003E1C21"/>
    <w:rsid w:val="004652D6"/>
    <w:rsid w:val="004F4EDE"/>
    <w:rsid w:val="00524AEE"/>
    <w:rsid w:val="00531862"/>
    <w:rsid w:val="006065DD"/>
    <w:rsid w:val="006F31F3"/>
    <w:rsid w:val="006F7327"/>
    <w:rsid w:val="008914EC"/>
    <w:rsid w:val="00936FD0"/>
    <w:rsid w:val="00971FE1"/>
    <w:rsid w:val="009D50E5"/>
    <w:rsid w:val="00A26707"/>
    <w:rsid w:val="00AA1692"/>
    <w:rsid w:val="00B2264F"/>
    <w:rsid w:val="00C94514"/>
    <w:rsid w:val="00CE063A"/>
    <w:rsid w:val="00D77CBD"/>
    <w:rsid w:val="00DC6894"/>
    <w:rsid w:val="00FE5ED9"/>
    <w:rsid w:val="00FE639E"/>
    <w:rsid w:val="00FF0A7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rsid w:val="009B713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2E60C7"/>
    <w:pPr>
      <w:tabs>
        <w:tab w:val="center" w:pos="4535"/>
        <w:tab w:val="right" w:pos="9071"/>
      </w:tabs>
      <w:spacing w:before="0"/>
    </w:pPr>
  </w:style>
  <w:style w:type="character" w:customStyle="1" w:styleId="HeaderChar">
    <w:name w:val="Header Char"/>
    <w:basedOn w:val="DefaultParagraphFont"/>
    <w:link w:val="Header"/>
    <w:uiPriority w:val="99"/>
    <w:rsid w:val="002E60C7"/>
    <w:rPr>
      <w:rFonts w:ascii="Times New Roman" w:hAnsi="Times New Roman" w:cs="Times New Roman"/>
      <w:sz w:val="24"/>
      <w:lang w:val="sv-SE"/>
    </w:rPr>
  </w:style>
  <w:style w:type="paragraph" w:styleId="Footer">
    <w:name w:val="footer"/>
    <w:basedOn w:val="Normal"/>
    <w:link w:val="FooterChar"/>
    <w:uiPriority w:val="99"/>
    <w:unhideWhenUsed/>
    <w:rsid w:val="002E60C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E60C7"/>
    <w:rPr>
      <w:rFonts w:ascii="Times New Roman" w:hAnsi="Times New Roman" w:cs="Times New Roman"/>
      <w:sz w:val="24"/>
      <w:lang w:val="sv-SE"/>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2E60C7"/>
    <w:pPr>
      <w:tabs>
        <w:tab w:val="center" w:pos="7285"/>
        <w:tab w:val="right" w:pos="14003"/>
      </w:tabs>
      <w:spacing w:before="0"/>
    </w:pPr>
  </w:style>
  <w:style w:type="paragraph" w:customStyle="1" w:styleId="FooterLandscape">
    <w:name w:val="FooterLandscape"/>
    <w:basedOn w:val="Normal"/>
    <w:rsid w:val="002E60C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2E60C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2E60C7"/>
    <w:pPr>
      <w:spacing w:before="0"/>
      <w:jc w:val="right"/>
    </w:pPr>
    <w:rPr>
      <w:sz w:val="28"/>
    </w:rPr>
  </w:style>
  <w:style w:type="paragraph" w:customStyle="1" w:styleId="FooterSensitivity">
    <w:name w:val="Footer Sensitivity"/>
    <w:basedOn w:val="Normal"/>
    <w:rsid w:val="002E60C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5"/>
      </w:numPr>
    </w:pPr>
  </w:style>
  <w:style w:type="paragraph" w:customStyle="1" w:styleId="NumPar2">
    <w:name w:val="NumPar 2"/>
    <w:basedOn w:val="Normal"/>
    <w:next w:val="Text1"/>
    <w:rsid w:val="009B7138"/>
    <w:pPr>
      <w:numPr>
        <w:ilvl w:val="1"/>
        <w:numId w:val="15"/>
      </w:numPr>
    </w:pPr>
  </w:style>
  <w:style w:type="paragraph" w:customStyle="1" w:styleId="NumPar3">
    <w:name w:val="NumPar 3"/>
    <w:basedOn w:val="Normal"/>
    <w:next w:val="Text1"/>
    <w:rsid w:val="009B7138"/>
    <w:pPr>
      <w:numPr>
        <w:ilvl w:val="2"/>
        <w:numId w:val="15"/>
      </w:numPr>
    </w:pPr>
  </w:style>
  <w:style w:type="paragraph" w:customStyle="1" w:styleId="NumPar4">
    <w:name w:val="NumPar 4"/>
    <w:basedOn w:val="Normal"/>
    <w:next w:val="Text1"/>
    <w:rsid w:val="009B7138"/>
    <w:pPr>
      <w:numPr>
        <w:ilvl w:val="3"/>
        <w:numId w:val="1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7"/>
      </w:numPr>
    </w:pPr>
  </w:style>
  <w:style w:type="paragraph" w:customStyle="1" w:styleId="Point1number">
    <w:name w:val="Point 1 (number)"/>
    <w:basedOn w:val="Normal"/>
    <w:rsid w:val="009B7138"/>
    <w:pPr>
      <w:numPr>
        <w:ilvl w:val="2"/>
        <w:numId w:val="17"/>
      </w:numPr>
    </w:pPr>
  </w:style>
  <w:style w:type="paragraph" w:customStyle="1" w:styleId="Point2number">
    <w:name w:val="Point 2 (number)"/>
    <w:basedOn w:val="Normal"/>
    <w:rsid w:val="009B7138"/>
    <w:pPr>
      <w:numPr>
        <w:ilvl w:val="4"/>
        <w:numId w:val="17"/>
      </w:numPr>
    </w:pPr>
  </w:style>
  <w:style w:type="paragraph" w:customStyle="1" w:styleId="Point3number">
    <w:name w:val="Point 3 (number)"/>
    <w:basedOn w:val="Normal"/>
    <w:rsid w:val="009B7138"/>
    <w:pPr>
      <w:numPr>
        <w:ilvl w:val="6"/>
        <w:numId w:val="17"/>
      </w:numPr>
    </w:pPr>
  </w:style>
  <w:style w:type="paragraph" w:customStyle="1" w:styleId="Point0letter">
    <w:name w:val="Point 0 (letter)"/>
    <w:basedOn w:val="Normal"/>
    <w:rsid w:val="009B7138"/>
    <w:pPr>
      <w:numPr>
        <w:ilvl w:val="1"/>
        <w:numId w:val="17"/>
      </w:numPr>
    </w:pPr>
  </w:style>
  <w:style w:type="paragraph" w:customStyle="1" w:styleId="Point1letter">
    <w:name w:val="Point 1 (letter)"/>
    <w:basedOn w:val="Normal"/>
    <w:rsid w:val="009B7138"/>
    <w:pPr>
      <w:numPr>
        <w:ilvl w:val="3"/>
        <w:numId w:val="17"/>
      </w:numPr>
    </w:pPr>
  </w:style>
  <w:style w:type="paragraph" w:customStyle="1" w:styleId="Point2letter">
    <w:name w:val="Point 2 (letter)"/>
    <w:basedOn w:val="Normal"/>
    <w:rsid w:val="009B7138"/>
    <w:pPr>
      <w:numPr>
        <w:ilvl w:val="5"/>
        <w:numId w:val="17"/>
      </w:numPr>
    </w:pPr>
  </w:style>
  <w:style w:type="paragraph" w:customStyle="1" w:styleId="Point3letter">
    <w:name w:val="Point 3 (letter)"/>
    <w:basedOn w:val="Normal"/>
    <w:rsid w:val="009B7138"/>
    <w:pPr>
      <w:numPr>
        <w:ilvl w:val="7"/>
        <w:numId w:val="17"/>
      </w:numPr>
    </w:pPr>
  </w:style>
  <w:style w:type="paragraph" w:customStyle="1" w:styleId="Point4letter">
    <w:name w:val="Point 4 (letter)"/>
    <w:basedOn w:val="Normal"/>
    <w:rsid w:val="009B7138"/>
    <w:pPr>
      <w:numPr>
        <w:ilvl w:val="8"/>
        <w:numId w:val="17"/>
      </w:numPr>
    </w:pPr>
  </w:style>
  <w:style w:type="paragraph" w:customStyle="1" w:styleId="Bullet0">
    <w:name w:val="Bullet 0"/>
    <w:basedOn w:val="Normal"/>
    <w:rsid w:val="009B7138"/>
    <w:pPr>
      <w:numPr>
        <w:numId w:val="18"/>
      </w:numPr>
    </w:pPr>
  </w:style>
  <w:style w:type="paragraph" w:customStyle="1" w:styleId="Bullet1">
    <w:name w:val="Bullet 1"/>
    <w:basedOn w:val="Normal"/>
    <w:rsid w:val="009B7138"/>
    <w:pPr>
      <w:numPr>
        <w:numId w:val="19"/>
      </w:numPr>
    </w:pPr>
  </w:style>
  <w:style w:type="paragraph" w:customStyle="1" w:styleId="Bullet2">
    <w:name w:val="Bullet 2"/>
    <w:basedOn w:val="Normal"/>
    <w:rsid w:val="009B7138"/>
    <w:pPr>
      <w:numPr>
        <w:numId w:val="20"/>
      </w:numPr>
    </w:pPr>
  </w:style>
  <w:style w:type="paragraph" w:customStyle="1" w:styleId="Bullet3">
    <w:name w:val="Bullet 3"/>
    <w:basedOn w:val="Normal"/>
    <w:rsid w:val="009B7138"/>
    <w:pPr>
      <w:numPr>
        <w:numId w:val="21"/>
      </w:numPr>
    </w:pPr>
  </w:style>
  <w:style w:type="paragraph" w:customStyle="1" w:styleId="Bullet4">
    <w:name w:val="Bullet 4"/>
    <w:basedOn w:val="Normal"/>
    <w:rsid w:val="009B7138"/>
    <w:pPr>
      <w:numPr>
        <w:numId w:val="22"/>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3"/>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5304">
      <w:bodyDiv w:val="1"/>
      <w:marLeft w:val="0"/>
      <w:marRight w:val="0"/>
      <w:marTop w:val="0"/>
      <w:marBottom w:val="0"/>
      <w:divBdr>
        <w:top w:val="none" w:sz="0" w:space="0" w:color="auto"/>
        <w:left w:val="none" w:sz="0" w:space="0" w:color="auto"/>
        <w:bottom w:val="none" w:sz="0" w:space="0" w:color="auto"/>
        <w:right w:val="none" w:sz="0" w:space="0" w:color="auto"/>
      </w:divBdr>
    </w:div>
    <w:div w:id="281229382">
      <w:bodyDiv w:val="1"/>
      <w:marLeft w:val="0"/>
      <w:marRight w:val="0"/>
      <w:marTop w:val="0"/>
      <w:marBottom w:val="0"/>
      <w:divBdr>
        <w:top w:val="none" w:sz="0" w:space="0" w:color="auto"/>
        <w:left w:val="none" w:sz="0" w:space="0" w:color="auto"/>
        <w:bottom w:val="none" w:sz="0" w:space="0" w:color="auto"/>
        <w:right w:val="none" w:sz="0" w:space="0" w:color="auto"/>
      </w:divBdr>
    </w:div>
    <w:div w:id="302009955">
      <w:bodyDiv w:val="1"/>
      <w:marLeft w:val="0"/>
      <w:marRight w:val="0"/>
      <w:marTop w:val="0"/>
      <w:marBottom w:val="0"/>
      <w:divBdr>
        <w:top w:val="none" w:sz="0" w:space="0" w:color="auto"/>
        <w:left w:val="none" w:sz="0" w:space="0" w:color="auto"/>
        <w:bottom w:val="none" w:sz="0" w:space="0" w:color="auto"/>
        <w:right w:val="none" w:sz="0" w:space="0" w:color="auto"/>
      </w:divBdr>
    </w:div>
    <w:div w:id="483743024">
      <w:bodyDiv w:val="1"/>
      <w:marLeft w:val="0"/>
      <w:marRight w:val="0"/>
      <w:marTop w:val="0"/>
      <w:marBottom w:val="0"/>
      <w:divBdr>
        <w:top w:val="none" w:sz="0" w:space="0" w:color="auto"/>
        <w:left w:val="none" w:sz="0" w:space="0" w:color="auto"/>
        <w:bottom w:val="none" w:sz="0" w:space="0" w:color="auto"/>
        <w:right w:val="none" w:sz="0" w:space="0" w:color="auto"/>
      </w:divBdr>
    </w:div>
    <w:div w:id="565840724">
      <w:bodyDiv w:val="1"/>
      <w:marLeft w:val="0"/>
      <w:marRight w:val="0"/>
      <w:marTop w:val="0"/>
      <w:marBottom w:val="0"/>
      <w:divBdr>
        <w:top w:val="none" w:sz="0" w:space="0" w:color="auto"/>
        <w:left w:val="none" w:sz="0" w:space="0" w:color="auto"/>
        <w:bottom w:val="none" w:sz="0" w:space="0" w:color="auto"/>
        <w:right w:val="none" w:sz="0" w:space="0" w:color="auto"/>
      </w:divBdr>
    </w:div>
    <w:div w:id="18681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8EE1-BA1A-4130-8303-CD84AD56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6</Pages>
  <Words>1631</Words>
  <Characters>9596</Characters>
  <Application>Microsoft Office Word</Application>
  <DocSecurity>0</DocSecurity>
  <Lines>218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2019-10-28T10:33:00Z</dcterms:created>
  <dcterms:modified xsi:type="dcterms:W3CDTF">2019-10-29T15:42:00Z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SJ-026</vt:lpwstr>
  </property>
  <property fmtid="{D5CDD505-2E9C-101B-9397-08002B2CF9AE}" pid="8" name="DQCStatus">
    <vt:lpwstr>Yellow (DQC version 03)</vt:lpwstr>
  </property>
</Properties>
</file>