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2842CAC-FB7B-4CCC-8F12-CE166CD33EB7" style="width:450.75pt;height:351.7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rFonts w:eastAsia="Arial Unicode MS"/>
          <w:noProof/>
        </w:rPr>
      </w:pPr>
      <w:r>
        <w:t>1.</w:t>
      </w:r>
      <w:r>
        <w:tab/>
      </w:r>
      <w:r>
        <w:rPr>
          <w:noProof/>
        </w:rPr>
        <w:t>Ehdotuksen kohde</w:t>
      </w:r>
    </w:p>
    <w:p>
      <w:pPr>
        <w:rPr>
          <w:rFonts w:eastAsia="Arial Unicode MS"/>
          <w:noProof/>
        </w:rPr>
      </w:pPr>
      <w:r>
        <w:rPr>
          <w:noProof/>
        </w:rPr>
        <w:t>Tämä ehdotus koskee päätöstä, jolla vahvistetaan Maailman kauppajärjestön (WTO) yleisneuvostossa unionin puolesta otettava kanta maataloussopimuksen 2 artiklassa määriteltyjen maataloustuotteiden tariffikiintiöiden hallinnoinnista tehdyn sopimuksen (Understanding on Tariff Rate Quota Administration Provisions of Agricultural Products, as defined in Article 2 of the Agreement on Agriculture) tarkastelusta annettavan päätöksen suunniteltuun hyväksymiseen.</w:t>
      </w:r>
    </w:p>
    <w:p>
      <w:pPr>
        <w:pStyle w:val="ManualHeading1"/>
        <w:rPr>
          <w:noProof/>
        </w:rPr>
      </w:pPr>
      <w:r>
        <w:t>2.</w:t>
      </w:r>
      <w:r>
        <w:tab/>
      </w:r>
      <w:r>
        <w:rPr>
          <w:noProof/>
        </w:rPr>
        <w:t>Ehdotuksen tausta</w:t>
      </w:r>
    </w:p>
    <w:p>
      <w:pPr>
        <w:pStyle w:val="ManualHeading2"/>
        <w:rPr>
          <w:noProof/>
        </w:rPr>
      </w:pPr>
      <w:r>
        <w:t>2.1.</w:t>
      </w:r>
      <w:r>
        <w:tab/>
      </w:r>
      <w:r>
        <w:rPr>
          <w:noProof/>
          <w:u w:color="000000"/>
          <w:bdr w:val="nil"/>
        </w:rPr>
        <w:t>Marrakeshin sopimus Maailman kauppajärjestön perustamisesta</w:t>
      </w:r>
    </w:p>
    <w:p>
      <w:pPr>
        <w:rPr>
          <w:rFonts w:eastAsia="Arial Unicode MS"/>
          <w:noProof/>
        </w:rPr>
      </w:pPr>
      <w:r>
        <w:rPr>
          <w:noProof/>
        </w:rPr>
        <w:t>Ehdotetun neuvoston päätöksen tarkoituksena on valtuuttaa Euroopan komissio puoltamaan Maailman kauppajärjestön (WTO) yleisneuvostossa annettavaa päätöstä unionin puolesta. Maailman kauppajärjestö on perustettu Marrakeshin sopimuksella, jäljempänä ’WTO-sopimus’, joka tuli voimaan 1. tammikuuta 1995.</w:t>
      </w:r>
    </w:p>
    <w:p>
      <w:pPr>
        <w:rPr>
          <w:noProof/>
        </w:rPr>
      </w:pPr>
      <w:r>
        <w:rPr>
          <w:noProof/>
        </w:rPr>
        <w:t xml:space="preserve">Euroopan unioni on sopimuksen osapuoli. </w:t>
      </w:r>
    </w:p>
    <w:p>
      <w:pPr>
        <w:pStyle w:val="ManualHeading2"/>
        <w:rPr>
          <w:noProof/>
        </w:rPr>
      </w:pPr>
      <w:r>
        <w:t>2.2.</w:t>
      </w:r>
      <w:r>
        <w:tab/>
      </w:r>
      <w:r>
        <w:rPr>
          <w:noProof/>
        </w:rPr>
        <w:t>Maailman kauppajärjestön ministerikokous ja yleisneuvosto</w:t>
      </w:r>
    </w:p>
    <w:p>
      <w:pPr>
        <w:rPr>
          <w:noProof/>
          <w:u w:color="000000"/>
          <w:bdr w:val="nil"/>
        </w:rPr>
      </w:pPr>
      <w:r>
        <w:rPr>
          <w:noProof/>
          <w:u w:color="000000"/>
          <w:bdr w:val="nil"/>
        </w:rPr>
        <w:t>WTO-sopimuksen IV artiklan 1 kohdan mukaan ministerikokouksella on valta tehdä päätöksiä kaikista monenkeskisten kauppasopimusten alaisista asioista.</w:t>
      </w:r>
    </w:p>
    <w:p>
      <w:pPr>
        <w:rPr>
          <w:noProof/>
          <w:u w:color="000000"/>
          <w:bdr w:val="nil"/>
        </w:rPr>
      </w:pPr>
      <w:r>
        <w:rPr>
          <w:noProof/>
          <w:u w:color="000000"/>
          <w:bdr w:val="nil"/>
        </w:rPr>
        <w:t>WTO-sopimuksen IV artiklan 2 kohdan mukaan ministerikokouksen istuntojen välisenä aikana yleisneuvosto kuitenkin huolehtii ministerineuvoston tehtävistä.</w:t>
      </w:r>
    </w:p>
    <w:p>
      <w:pPr>
        <w:rPr>
          <w:noProof/>
          <w:u w:color="000000"/>
          <w:bdr w:val="nil"/>
        </w:rPr>
      </w:pPr>
      <w:r>
        <w:rPr>
          <w:noProof/>
          <w:u w:color="000000"/>
          <w:bdr w:val="nil"/>
        </w:rPr>
        <w:t>WTO-sopimuksen IX artiklan 1 kohdan mukaan päätökset pyritään tekemään WTO:ssa yleensä konsensuksella.</w:t>
      </w:r>
    </w:p>
    <w:p>
      <w:pPr>
        <w:pStyle w:val="ManualHeading2"/>
        <w:rPr>
          <w:noProof/>
        </w:rPr>
      </w:pPr>
      <w:r>
        <w:t>2.3.</w:t>
      </w:r>
      <w:r>
        <w:tab/>
      </w:r>
      <w:r>
        <w:rPr>
          <w:noProof/>
        </w:rPr>
        <w:t>WTO:n yleisneuvoston suunniteltu säädös</w:t>
      </w:r>
    </w:p>
    <w:p>
      <w:pPr>
        <w:rPr>
          <w:noProof/>
        </w:rPr>
      </w:pPr>
      <w:r>
        <w:rPr>
          <w:noProof/>
        </w:rPr>
        <w:t xml:space="preserve">WTO:n ministerikokouksen yhdeksännessä istunnossa joulukuussa 2013 (kauppa)ministerit hyväksyivät maataloussopimuksen 2 artiklassa määriteltyjen maataloustuotteiden tariffikiintiöiden hallinnointia koskevasta sopimuksesta annetun päätöksen (WT/MIN(13)/39), jäljempänä ’tariffikiintiöitä koskeva sopimus’. </w:t>
      </w:r>
    </w:p>
    <w:p>
      <w:pPr>
        <w:rPr>
          <w:noProof/>
        </w:rPr>
      </w:pPr>
      <w:r>
        <w:rPr>
          <w:noProof/>
        </w:rPr>
        <w:t xml:space="preserve">Tariffikiintiöitä koskevan sopimuksen tarkoituksena on yksinkertaistaa maataloustuotteiden tariffikiintiöiden hallinnointia. Tariffikiintiöitä koskevan sopimuksen 13 kohtaan sisältyy sopimuksen tarkastelu, jossa otetaan huomioon sopimuksen siihenastisesta toiminnasta saadut kokemukset. Tarkastelu oli määrä aloittaa viimeistään neljän vuoden kuluttua tariffikiintiöitä koskevan sopimuksen hyväksymisen jälkeen. Maatalouskomitea aloitti tarkastelumenettelyn vuonna 2018. Vuoden 2019 alussa maatalouskomitean sihteeristö antoi WTO:n yleisneuvostolle raporttiluonnoksen, jossa kerrottiin tuohon mennessä tapahtuneesta kehitystä. </w:t>
      </w:r>
    </w:p>
    <w:p>
      <w:pPr>
        <w:rPr>
          <w:noProof/>
        </w:rPr>
      </w:pPr>
      <w:r>
        <w:rPr>
          <w:noProof/>
        </w:rPr>
        <w:t xml:space="preserve">Koska WTO:n jäsenet eivät ole yksimielisiä tariffikiintiöitä koskevan sopimuksen sisältöä koskevista tuntuvista muutoksista, komitea suosittaa, että yleisneuvosto pidentää tarkastelujaksoa vuoden 2021 loppuun ja parantaa tariffikiintiöiden hallinnoinnin läpinäkyvyyttä (ks. raportin liite 2). </w:t>
      </w:r>
    </w:p>
    <w:p>
      <w:pPr>
        <w:rPr>
          <w:noProof/>
        </w:rPr>
      </w:pPr>
      <w:r>
        <w:rPr>
          <w:noProof/>
        </w:rPr>
        <w:t xml:space="preserve">Nämä suositukset (raportin liite 2) on tarkoitus esittää yleisneuvostolle joulukuussa 2019. Yleisneuvoston on tarkoitus hyväksyä nämä suositukset päätöksellä, joka koskee tariffikiintiöitä koskevan sopimuksen tarkastelua. </w:t>
      </w:r>
    </w:p>
    <w:p>
      <w:pPr>
        <w:pStyle w:val="ManualHeading1"/>
        <w:rPr>
          <w:rFonts w:eastAsia="Arial Unicode MS"/>
          <w:noProof/>
        </w:rPr>
      </w:pPr>
      <w:r>
        <w:lastRenderedPageBreak/>
        <w:t>3.</w:t>
      </w:r>
      <w:r>
        <w:tab/>
      </w:r>
      <w:r>
        <w:rPr>
          <w:noProof/>
        </w:rPr>
        <w:t>Unionin puolesta otettava kanta</w:t>
      </w:r>
    </w:p>
    <w:p>
      <w:pPr>
        <w:rPr>
          <w:noProof/>
        </w:rPr>
      </w:pPr>
      <w:r>
        <w:rPr>
          <w:noProof/>
        </w:rPr>
        <w:t>Tällä ehdotuksella unioni pyrkii varmistamaan, että WTO:n yleisneuvoston joulukuussa 2019 pidettävässä kokouksessa hyväksytään päätös tariffikiintiöitä koskevan sopimuksen tarkastelusta.</w:t>
      </w:r>
    </w:p>
    <w:p>
      <w:pPr>
        <w:rPr>
          <w:noProof/>
        </w:rPr>
      </w:pPr>
      <w:r>
        <w:rPr>
          <w:noProof/>
        </w:rPr>
        <w:t>Unionin näkökulmasta tarkastelujakson pidentäminen vuoden 2021 loppuun asti on ratkaisevan tärkeää, koska se mahdollistaa voimassa olevan tariffikiintiöitä koskevan sopimuksen soveltamisen jatkamisen ja antaa WTO:n jäsenille mahdollisuuden jatkaa keskusteluja kyseisen tariffikiintiöitä koskevan sopimuksen tarkastelusta.</w:t>
      </w:r>
    </w:p>
    <w:p>
      <w:pPr>
        <w:pStyle w:val="ManualHeading1"/>
        <w:rPr>
          <w:noProof/>
        </w:rPr>
      </w:pPr>
      <w:r>
        <w:t>4.</w:t>
      </w:r>
      <w:r>
        <w:tab/>
      </w:r>
      <w:r>
        <w:rPr>
          <w:noProof/>
        </w:rPr>
        <w:t>Oikeusperusta</w:t>
      </w:r>
    </w:p>
    <w:p>
      <w:pPr>
        <w:pStyle w:val="ManualHeading2"/>
        <w:rPr>
          <w:noProof/>
        </w:rPr>
      </w:pPr>
      <w:r>
        <w:t>4.1.</w:t>
      </w:r>
      <w:r>
        <w:tab/>
      </w:r>
      <w:r>
        <w:rPr>
          <w:noProof/>
        </w:rPr>
        <w:t>Menettelyllinen oikeusperusta</w:t>
      </w:r>
    </w:p>
    <w:p>
      <w:pPr>
        <w:pStyle w:val="ManualHeading3"/>
        <w:rPr>
          <w:noProof/>
        </w:rPr>
      </w:pPr>
      <w:r>
        <w:t>4.1.1.</w:t>
      </w:r>
      <w:r>
        <w:tab/>
      </w:r>
      <w:r>
        <w:rPr>
          <w:noProof/>
        </w:rPr>
        <w:t>Periaatteet</w:t>
      </w:r>
    </w:p>
    <w:p>
      <w:pPr>
        <w:rPr>
          <w:noProof/>
        </w:rPr>
      </w:pPr>
      <w:r>
        <w:rPr>
          <w:noProof/>
        </w:rPr>
        <w:t>Euroopan unionin toiminnasta tehdyn sopimuksen, jäljempänä ’SEUT-sopimus’, 218 artiklan 9 kohdassa määrätään päätöksistä ”sopimuksella perustetussa elimessä unionin puolesta esitettävien kantojen vahvistamisesta, silloin kun tämän elimen on annettava säädöksiä, joilla on oikeusvaikutuksia, lukuun ottamatta säädöksiä, joilla täydennetään tai muutetaan sopimuksen institutionaalisia rakenteita”.</w:t>
      </w:r>
    </w:p>
    <w:p>
      <w:pPr>
        <w:rPr>
          <w:noProof/>
        </w:rPr>
      </w:pPr>
      <w:r>
        <w:rPr>
          <w:noProof/>
        </w:rPr>
        <w:t>Ilmaisu ’säädökset, joilla on oikeusvaikutuksia’ käsittää myös sellaiset säädökset, joilla on oikeusvaikutuksia kyseiseen elimeen sovellettavan kansainvälisen oikeuden nojalla. Se kattaa myös välineet, joilla ei ole sitovaa vaikutusta kansainvälisen oikeuden nojalla mutta jotka ”voivat vaikuttaa ratkaisevasti sen säännöstön sisältöön, jonka unionin lainsäätäjä antaa”</w:t>
      </w:r>
      <w:r>
        <w:rPr>
          <w:rStyle w:val="FootnoteReference"/>
          <w:noProof/>
        </w:rPr>
        <w:footnoteReference w:id="1"/>
      </w:r>
      <w:r>
        <w:rPr>
          <w:noProof/>
        </w:rPr>
        <w:t>.</w:t>
      </w:r>
    </w:p>
    <w:p>
      <w:pPr>
        <w:pStyle w:val="ManualHeading3"/>
        <w:rPr>
          <w:noProof/>
        </w:rPr>
      </w:pPr>
      <w:r>
        <w:t>4.1.2.</w:t>
      </w:r>
      <w:r>
        <w:tab/>
      </w:r>
      <w:r>
        <w:rPr>
          <w:noProof/>
        </w:rPr>
        <w:t>Soveltaminen tässä asiassa</w:t>
      </w:r>
    </w:p>
    <w:p>
      <w:pPr>
        <w:rPr>
          <w:noProof/>
        </w:rPr>
      </w:pPr>
      <w:r>
        <w:rPr>
          <w:noProof/>
        </w:rPr>
        <w:t>WTO:n yleisneuvosto on sopimuksella eli WTO-sopimuksella perustettu elin.</w:t>
      </w:r>
    </w:p>
    <w:p>
      <w:pPr>
        <w:rPr>
          <w:noProof/>
        </w:rPr>
      </w:pPr>
      <w:r>
        <w:rPr>
          <w:noProof/>
        </w:rPr>
        <w:t xml:space="preserve">Säädös, joka yleisneuvoston on määrä antaa, on säädös, jolla on oikeusvaikutuksia. Suunniteltu säädös on sitova kansainvälisen oikeuden nojalla WTO-sopimuksen II artiklan 2 kohdan ja IX artiklan 3 kohdan mukaisesti. </w:t>
      </w:r>
    </w:p>
    <w:p>
      <w:pPr>
        <w:rPr>
          <w:noProof/>
        </w:rPr>
      </w:pPr>
      <w:r>
        <w:rPr>
          <w:noProof/>
        </w:rPr>
        <w:t>Suunnitelluilla säädöksillä ei täydennetä eikä muuteta sopimuksen institutionaalisia rakenteita.</w:t>
      </w:r>
    </w:p>
    <w:p>
      <w:pPr>
        <w:rPr>
          <w:noProof/>
        </w:rPr>
      </w:pPr>
      <w:r>
        <w:rPr>
          <w:noProof/>
        </w:rPr>
        <w:t>Tämän vuoksi ehdotetun päätöksen menettelyllinen oikeusperusta on SEUT-sopimuksen 218 artiklan 9 kohta.</w:t>
      </w:r>
    </w:p>
    <w:p>
      <w:pPr>
        <w:pStyle w:val="ManualHeading2"/>
        <w:rPr>
          <w:noProof/>
        </w:rPr>
      </w:pPr>
      <w:r>
        <w:t>4.2.</w:t>
      </w:r>
      <w:r>
        <w:tab/>
      </w:r>
      <w:r>
        <w:rPr>
          <w:noProof/>
        </w:rPr>
        <w:t>Aineellinen oikeusperusta</w:t>
      </w:r>
    </w:p>
    <w:p>
      <w:pPr>
        <w:pStyle w:val="ManualHeading3"/>
        <w:rPr>
          <w:noProof/>
        </w:rPr>
      </w:pPr>
      <w:r>
        <w:t>4.2.1.</w:t>
      </w:r>
      <w:r>
        <w:tab/>
      </w:r>
      <w:r>
        <w:rPr>
          <w:noProof/>
        </w:rPr>
        <w:t>Periaatteet</w:t>
      </w:r>
    </w:p>
    <w:p>
      <w:pPr>
        <w:rPr>
          <w:noProof/>
        </w:rPr>
      </w:pPr>
      <w:r>
        <w:rPr>
          <w:noProof/>
        </w:rPr>
        <w:t>SEUT-sopimuksen 218 artiklan 9 kohdan nojalla annettavan päätöksen aineellinen oikeusperusta määräytyy ensisijaisesti sen suunnitellun säädöksen tavoitteen ja sisällön perusteella, jota unionin puolesta otettava kanta koskee. Jos suunnitellulla säädöksellä on kaksi tavoitetta tai siihen sisältyy kaksi osatekijää ja jos näistä tavoitteista tai osatekijöistä toinen on mahdollista määritellä pääasialliseksi tavoitteeksi tai osatekijäksi, johon nähden toinen tavoite tai osatekijä on liitännäinen, SEUT-sopimuksen 218 artiklan 9 kohdan nojalla hyväksyttävällä päätöksellä on oltava vain yksi aineellinen oikeusperusta, eli se, jota pääasiallinen tai ensisijainen tavoite tai osatekijä edellyttää.</w:t>
      </w:r>
    </w:p>
    <w:p>
      <w:pPr>
        <w:pStyle w:val="ManualHeading3"/>
        <w:rPr>
          <w:noProof/>
        </w:rPr>
      </w:pPr>
      <w:r>
        <w:lastRenderedPageBreak/>
        <w:t>4.2.2.</w:t>
      </w:r>
      <w:r>
        <w:tab/>
      </w:r>
      <w:r>
        <w:rPr>
          <w:noProof/>
        </w:rPr>
        <w:t>Soveltaminen tässä asiassa</w:t>
      </w:r>
    </w:p>
    <w:p>
      <w:pPr>
        <w:pBdr>
          <w:top w:val="nil"/>
          <w:left w:val="nil"/>
          <w:bottom w:val="nil"/>
          <w:right w:val="nil"/>
          <w:between w:val="nil"/>
          <w:bar w:val="nil"/>
        </w:pBdr>
        <w:spacing w:before="0" w:after="240"/>
        <w:rPr>
          <w:noProof/>
        </w:rPr>
      </w:pPr>
      <w:r>
        <w:rPr>
          <w:noProof/>
        </w:rPr>
        <w:t>Suunnitellun säädöksen pääasiallinen tarkoitus ja sisältö liittyvät yhteiseen kauppapolitiikkaan.</w:t>
      </w:r>
    </w:p>
    <w:p>
      <w:pPr>
        <w:pBdr>
          <w:top w:val="nil"/>
          <w:left w:val="nil"/>
          <w:bottom w:val="nil"/>
          <w:right w:val="nil"/>
          <w:between w:val="nil"/>
          <w:bar w:val="nil"/>
        </w:pBdr>
        <w:spacing w:before="0" w:after="240"/>
        <w:rPr>
          <w:rFonts w:eastAsia="Arial Unicode MS"/>
          <w:noProof/>
        </w:rPr>
      </w:pPr>
      <w:r>
        <w:rPr>
          <w:noProof/>
        </w:rPr>
        <w:t>Sen vuoksi ehdotetun päätöksen aineellinen oikeusperusta on SEUT-sopimuksen 207 artikla.</w:t>
      </w:r>
    </w:p>
    <w:p>
      <w:pPr>
        <w:pStyle w:val="ManualHeading2"/>
        <w:rPr>
          <w:noProof/>
        </w:rPr>
      </w:pPr>
      <w:r>
        <w:t>4.3.</w:t>
      </w:r>
      <w:r>
        <w:tab/>
      </w:r>
      <w:r>
        <w:rPr>
          <w:noProof/>
        </w:rPr>
        <w:t>Päätelmät</w:t>
      </w:r>
    </w:p>
    <w:p>
      <w:pPr>
        <w:rPr>
          <w:noProof/>
        </w:rPr>
      </w:pPr>
      <w:r>
        <w:rPr>
          <w:noProof/>
        </w:rPr>
        <w:t>Ehdotetun päätöksen oikeusperustana olisi oltava SEUT-sopimuksen 207 artiklan 4 kohdan ensimmäinen alakohta yhdessä sen 218 artiklan 9 kohdan kanssa.</w:t>
      </w:r>
    </w:p>
    <w:p>
      <w:pPr>
        <w:pStyle w:val="ManualHeading1"/>
        <w:rPr>
          <w:noProof/>
        </w:rPr>
      </w:pPr>
      <w:r>
        <w:t>5.</w:t>
      </w:r>
      <w:r>
        <w:tab/>
      </w:r>
      <w:r>
        <w:rPr>
          <w:noProof/>
        </w:rPr>
        <w:t>Suunnitellun säädöksen julkaiseminen</w:t>
      </w:r>
    </w:p>
    <w:p>
      <w:pPr>
        <w:rPr>
          <w:noProof/>
        </w:rPr>
      </w:pPr>
      <w:r>
        <w:rPr>
          <w:noProof/>
        </w:rPr>
        <w:t xml:space="preserve">Koska WTO:n yleisneuvosto täydentää WTO-sopimusta pidentämällä tariffikiintiöitä koskevan sopimuksen soveltamista ja antamalla sääntöjä tariffikiintiöiden paremmasta käytöstä, säädös on aiheellista julkaista </w:t>
      </w:r>
      <w:r>
        <w:rPr>
          <w:i/>
          <w:iCs/>
          <w:noProof/>
        </w:rPr>
        <w:t>Euroopan unionin virallisessa lehdessä</w:t>
      </w:r>
      <w:r>
        <w:rPr>
          <w:noProof/>
        </w:rPr>
        <w:t xml:space="preserve"> sen jälkeen kun se on hyväksytty.</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2019/0245 (NLE)</w:t>
      </w:r>
    </w:p>
    <w:p>
      <w:pPr>
        <w:pStyle w:val="Statut"/>
        <w:rPr>
          <w:noProof/>
        </w:rPr>
      </w:pPr>
      <w:r>
        <w:rPr>
          <w:noProof/>
        </w:rPr>
        <w:t>Ehdotus</w:t>
      </w:r>
    </w:p>
    <w:p>
      <w:pPr>
        <w:pStyle w:val="Typedudocument"/>
        <w:rPr>
          <w:noProof/>
        </w:rPr>
      </w:pPr>
      <w:r>
        <w:rPr>
          <w:noProof/>
        </w:rPr>
        <w:t>NEUVOSTON PÄÄTÖS</w:t>
      </w:r>
    </w:p>
    <w:p>
      <w:pPr>
        <w:pStyle w:val="Titreobjet"/>
        <w:rPr>
          <w:noProof/>
        </w:rPr>
      </w:pPr>
      <w:r>
        <w:rPr>
          <w:noProof/>
        </w:rPr>
        <w:t>maailman kauppajärjestön yleisneuvostossa Euroopan unionin puolesta otettavasta kannasta</w:t>
      </w:r>
    </w:p>
    <w:p>
      <w:pPr>
        <w:pStyle w:val="Institutionquiagit"/>
        <w:rPr>
          <w:b/>
          <w:noProof/>
        </w:rPr>
      </w:pPr>
      <w:r>
        <w:rPr>
          <w:b/>
          <w:noProof/>
        </w:rPr>
        <w:t>EUROOPAN UNIONIN NEUVOSTO, joka</w:t>
      </w:r>
    </w:p>
    <w:p>
      <w:pPr>
        <w:rPr>
          <w:noProof/>
        </w:rPr>
      </w:pPr>
      <w:r>
        <w:rPr>
          <w:noProof/>
        </w:rPr>
        <w:t>ottaa huomioon Euroopan unionin toiminnasta tehdyn sopimuksen ja erityisesti sen 207 artiklan 4 kohdan ensimmäisen alakohdan yhdessä sen 218 artiklan 9 kohdan kanssa,</w:t>
      </w:r>
    </w:p>
    <w:p>
      <w:pPr>
        <w:rPr>
          <w:noProof/>
        </w:rPr>
      </w:pPr>
      <w:r>
        <w:rPr>
          <w:noProof/>
        </w:rPr>
        <w:t>ottaa huomioon Euroopan komission ehdotuksen,</w:t>
      </w:r>
    </w:p>
    <w:p>
      <w:pPr>
        <w:rPr>
          <w:noProof/>
        </w:rPr>
      </w:pPr>
      <w:r>
        <w:rPr>
          <w:noProof/>
        </w:rPr>
        <w:t>sekä katsoo seuraavaa:</w:t>
      </w:r>
    </w:p>
    <w:p>
      <w:pPr>
        <w:pStyle w:val="ManualConsidrant"/>
        <w:rPr>
          <w:noProof/>
        </w:rPr>
      </w:pPr>
      <w:r>
        <w:t>(1)</w:t>
      </w:r>
      <w:r>
        <w:tab/>
      </w:r>
      <w:r>
        <w:rPr>
          <w:noProof/>
        </w:rPr>
        <w:t>Unioni hyväksyi Marrakeshin sopimuksen Maailman kauppajärjestön perustamisesta, jäljempänä ’WTO-sopimus’, 22 päivänä joulukuuta 1994 tehdyllä neuvoston päätöksellä 94/800/EY</w:t>
      </w:r>
      <w:r>
        <w:rPr>
          <w:rStyle w:val="FootnoteReference"/>
          <w:noProof/>
        </w:rPr>
        <w:footnoteReference w:id="2"/>
      </w:r>
      <w:r>
        <w:rPr>
          <w:noProof/>
        </w:rPr>
        <w:t xml:space="preserve">, ja sopimus tuli voimaan 1 päivänä tammikuuta 1995. </w:t>
      </w:r>
    </w:p>
    <w:p>
      <w:pPr>
        <w:pStyle w:val="ManualConsidrant"/>
        <w:rPr>
          <w:noProof/>
        </w:rPr>
      </w:pPr>
      <w:r>
        <w:t>(2)</w:t>
      </w:r>
      <w:r>
        <w:tab/>
      </w:r>
      <w:r>
        <w:rPr>
          <w:noProof/>
        </w:rPr>
        <w:t xml:space="preserve">WTO-sopimuksen IV artiklan 1 kohdan mukaan Maailman kauppajärjestön (WTO) ministerikokouksella on valta tehdä päätöksiä kaikista monenkeskisten kauppasopimusten alaisista asioista. </w:t>
      </w:r>
    </w:p>
    <w:p>
      <w:pPr>
        <w:pStyle w:val="ManualConsidrant"/>
        <w:rPr>
          <w:noProof/>
        </w:rPr>
      </w:pPr>
      <w:r>
        <w:t>(3)</w:t>
      </w:r>
      <w:r>
        <w:tab/>
      </w:r>
      <w:r>
        <w:rPr>
          <w:noProof/>
        </w:rPr>
        <w:t>WTO-sopimuksen IV artiklan 2 kohdan mukaan ministerikokouksen istuntojen välisenä aikana WTO:n yleisneuvosto huolehtii ministerikokouksen tehtävistä.</w:t>
      </w:r>
    </w:p>
    <w:p>
      <w:pPr>
        <w:pStyle w:val="ManualConsidrant"/>
        <w:rPr>
          <w:noProof/>
        </w:rPr>
      </w:pPr>
      <w:r>
        <w:t>(4)</w:t>
      </w:r>
      <w:r>
        <w:tab/>
      </w:r>
      <w:r>
        <w:rPr>
          <w:noProof/>
        </w:rPr>
        <w:t>WTO-sopimuksen IX artiklan 1 kohdan mukaan päätökset WTO:ssa tehdään yleensä konsensuksella.</w:t>
      </w:r>
    </w:p>
    <w:p>
      <w:pPr>
        <w:pStyle w:val="ManualConsidrant"/>
        <w:rPr>
          <w:noProof/>
        </w:rPr>
      </w:pPr>
      <w:r>
        <w:t>(5)</w:t>
      </w:r>
      <w:r>
        <w:tab/>
      </w:r>
      <w:r>
        <w:rPr>
          <w:noProof/>
        </w:rPr>
        <w:t>WTO:n ministerikokouksen yhdeksännessä istunnossa (Bali, joulukuu 2013) ministerit hyväksyivät maataloussopimuksen 2 artiklassa määriteltyjen maataloustuotteiden tariffikiintiöiden hallinnointia koskevasta sopimuksesta (Understanding on Tariff Rate Quota Administration Provisions of Agricultural Products, as defined in Article 2 of the Agreement on Agriculture) annetun ministerikokouksen päätöksen (WT/MIN(13)/39), jäljempänä ’tariffikiintiöitä koskeva sopimus’, jolla säännellään maataloustuotteiden tariffikiintiöiden hallinnointia.</w:t>
      </w:r>
    </w:p>
    <w:p>
      <w:pPr>
        <w:pStyle w:val="ManualConsidrant"/>
        <w:rPr>
          <w:noProof/>
        </w:rPr>
      </w:pPr>
      <w:r>
        <w:t>(6)</w:t>
      </w:r>
      <w:r>
        <w:tab/>
      </w:r>
      <w:r>
        <w:rPr>
          <w:noProof/>
        </w:rPr>
        <w:t>Tariffikiintiöitä koskevan sopimuksen 13 kohdan mukaan sopimuksen toimintaa on tarkasteltava uudelleen viimeistään neljän vuoden kuluttua sopimuksen tekemisestä ottaen huomioon siihen mennessä saatu kokemus. Tarkastelun tavoitteena on edistää tariffikiintiöiden käytön jatkuvaa paranemista.</w:t>
      </w:r>
    </w:p>
    <w:p>
      <w:pPr>
        <w:pStyle w:val="ManualConsidrant"/>
        <w:rPr>
          <w:noProof/>
        </w:rPr>
      </w:pPr>
      <w:r>
        <w:t>(7)</w:t>
      </w:r>
      <w:r>
        <w:tab/>
      </w:r>
      <w:r>
        <w:rPr>
          <w:noProof/>
        </w:rPr>
        <w:t>Sopimuksen 13 kohdan mukaisesti maatalouskomitea aloitti tariffikiintiöitä koskevan sopimuksen tarkastelun vuonna 2018. Tarkastelun tulokset esitetään yleisneuvoston joulukuussa 2019 pidettävässä kokouksessa maatalouskomitean laatiman raportin muodossa (Raportti nro... ”Review of the Operation of the Bali Decision on TRQ Administration”, päivätty...).</w:t>
      </w:r>
    </w:p>
    <w:p>
      <w:pPr>
        <w:pStyle w:val="ManualConsidrant"/>
        <w:rPr>
          <w:noProof/>
        </w:rPr>
      </w:pPr>
      <w:r>
        <w:lastRenderedPageBreak/>
        <w:t>(8)</w:t>
      </w:r>
      <w:r>
        <w:tab/>
      </w:r>
      <w:r>
        <w:rPr>
          <w:noProof/>
        </w:rPr>
        <w:t>Koska WTO:n jäsenet eivät ole yksimielisiä tariffikiintiöitä koskevan sopimuksen sisältöä koskevista tuntuvista muutoksista, raportissa suositellaan, että tarkastelujaksoa pidennetään vuoden 2021 loppuun saakka, jotta tuntuvista muutoksista voitaisiin saavuttaa konsensus. Raporttiin sisältyy myös suosituksia, joiden tarkoituksena on parantaa tariffikiintiöiden hallinnoinnin läpinäkyvyyttä.</w:t>
      </w:r>
    </w:p>
    <w:p>
      <w:pPr>
        <w:pStyle w:val="ManualConsidrant"/>
        <w:rPr>
          <w:noProof/>
        </w:rPr>
      </w:pPr>
      <w:r>
        <w:t>(9)</w:t>
      </w:r>
      <w:r>
        <w:tab/>
      </w:r>
      <w:r>
        <w:rPr>
          <w:noProof/>
        </w:rPr>
        <w:t>WTO:n yleisneuvostoa olisi kehotettava joulukuussa 2019 pidettävässä kokouksessaan harkitsemaan raportin nro... liitteessä 2 vahvistettujen suositusten hyväksymistä tariffikiintiöitä koskevan sopimuksen tarkastelusta annettavan päätöksen muodossa.</w:t>
      </w:r>
    </w:p>
    <w:p>
      <w:pPr>
        <w:pStyle w:val="ManualConsidrant"/>
        <w:rPr>
          <w:noProof/>
        </w:rPr>
      </w:pPr>
      <w:r>
        <w:t>(10)</w:t>
      </w:r>
      <w:r>
        <w:tab/>
      </w:r>
      <w:r>
        <w:rPr>
          <w:noProof/>
        </w:rPr>
        <w:t>On aiheellista vahvistaa WTO:n yleisneuvostossa unionin puolesta otettava kanta, sillä annettava päätös on unionia sitova.</w:t>
      </w:r>
    </w:p>
    <w:p>
      <w:pPr>
        <w:pStyle w:val="ManualConsidrant"/>
        <w:rPr>
          <w:noProof/>
        </w:rPr>
      </w:pPr>
      <w:r>
        <w:t>(11)</w:t>
      </w:r>
      <w:r>
        <w:tab/>
      </w:r>
      <w:r>
        <w:rPr>
          <w:noProof/>
        </w:rPr>
        <w:t>WTO:n yleisneuvostossa unionia edustaa Euroopan unionista tehdyn sopimuksen 17 artiklan 1 kohdan mukaisesti komissio,</w:t>
      </w:r>
    </w:p>
    <w:p>
      <w:pPr>
        <w:pStyle w:val="Formuledadoption"/>
        <w:rPr>
          <w:noProof/>
        </w:rPr>
      </w:pPr>
      <w:r>
        <w:rPr>
          <w:noProof/>
        </w:rPr>
        <w:t>ON HYVÄKSYNYT TÄMÄN PÄÄTÖKSEN:</w:t>
      </w:r>
    </w:p>
    <w:p>
      <w:pPr>
        <w:pStyle w:val="Titrearticle"/>
        <w:rPr>
          <w:noProof/>
        </w:rPr>
      </w:pPr>
      <w:r>
        <w:rPr>
          <w:noProof/>
        </w:rPr>
        <w:t>1 artikla</w:t>
      </w:r>
    </w:p>
    <w:p>
      <w:pPr>
        <w:rPr>
          <w:noProof/>
        </w:rPr>
      </w:pPr>
      <w:r>
        <w:rPr>
          <w:noProof/>
        </w:rPr>
        <w:t>Kanta, jonka Euroopan komissio ottaa Maailman kauppajärjestön yleisneuvoston joulukuussa 2019 pidettävässä kokouksessa unionin puolesta, perustuu luonnokseen päätöksestä, jolla hyväksytään maatalouskomitean yleisneuvostolle ... päivänä... kuuta ... antaman raportin nro ... liitteessä 2 esitetyt, tähän päätökseen liitetyt suositukset.</w:t>
      </w:r>
    </w:p>
    <w:p>
      <w:pPr>
        <w:rPr>
          <w:noProof/>
        </w:rPr>
      </w:pPr>
      <w:r>
        <w:rPr>
          <w:noProof/>
        </w:rPr>
        <w:t>Unionin edustajat Maailman kauppajärjestön yleisneuvostossa voivat sopia päätösluonnokseen tehtävistä vähäisistä muutoksista ilman uutta neuvoston päätöstä.</w:t>
      </w:r>
    </w:p>
    <w:p>
      <w:pPr>
        <w:pStyle w:val="Titrearticle"/>
        <w:rPr>
          <w:noProof/>
        </w:rPr>
      </w:pPr>
      <w:r>
        <w:rPr>
          <w:noProof/>
        </w:rPr>
        <w:t>2 artikla</w:t>
      </w:r>
    </w:p>
    <w:p>
      <w:pPr>
        <w:rPr>
          <w:noProof/>
        </w:rPr>
      </w:pPr>
      <w:r>
        <w:rPr>
          <w:noProof/>
        </w:rPr>
        <w:t>Tämä päätös on osoitettu komissiolle.</w:t>
      </w:r>
    </w:p>
    <w:p>
      <w:pPr>
        <w:pStyle w:val="Fait"/>
        <w:rPr>
          <w:noProof/>
        </w:rPr>
      </w:pPr>
      <w:r>
        <w:t>Tehty Brysselissä</w:t>
      </w:r>
    </w:p>
    <w:p>
      <w:pPr>
        <w:pStyle w:val="Institutionquisigne"/>
        <w:rPr>
          <w:noProof/>
        </w:rPr>
      </w:pPr>
      <w:r>
        <w:rPr>
          <w:noProof/>
        </w:rPr>
        <w:tab/>
        <w:t>Neuvoston puolesta</w:t>
      </w:r>
    </w:p>
    <w:p>
      <w:pPr>
        <w:pStyle w:val="Personnequisigne"/>
        <w:rPr>
          <w:noProof/>
        </w:rPr>
      </w:pP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Unionin tuomioistuimen tuomio, 7. lokakuuta 2014, C-399/12, Saksa v. neuvosto, EU:C:2014:2258, 61–64 kohta. </w:t>
      </w:r>
    </w:p>
  </w:footnote>
  <w:footnote w:id="2">
    <w:p>
      <w:pPr>
        <w:pStyle w:val="FootnoteText"/>
      </w:pPr>
      <w:r>
        <w:rPr>
          <w:rStyle w:val="FootnoteReference"/>
        </w:rPr>
        <w:footnoteRef/>
      </w:r>
      <w:r>
        <w:tab/>
        <w:t>Neuvoston päätös 94/800/EY, tehty 22 päivänä joulukuuta 1994, Uruguayn kierroksen monenvälisissä kauppaneuvotteluissa (1986–1994) laadittujen sopimusten tekemisestä Euroopan yhteisön puolesta yhteisön toimivaltaan kuuluvissa asioissa (EYVL L 336, 23.12.1994,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605A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C68C0F6"/>
    <w:lvl w:ilvl="0">
      <w:start w:val="1"/>
      <w:numFmt w:val="decimal"/>
      <w:pStyle w:val="ListNumber3"/>
      <w:lvlText w:val="%1."/>
      <w:lvlJc w:val="left"/>
      <w:pPr>
        <w:tabs>
          <w:tab w:val="num" w:pos="926"/>
        </w:tabs>
        <w:ind w:left="926" w:hanging="360"/>
      </w:pPr>
    </w:lvl>
  </w:abstractNum>
  <w:abstractNum w:abstractNumId="2">
    <w:nsid w:val="FFFFFF7F"/>
    <w:multiLevelType w:val="singleLevel"/>
    <w:tmpl w:val="43964886"/>
    <w:lvl w:ilvl="0">
      <w:start w:val="1"/>
      <w:numFmt w:val="decimal"/>
      <w:pStyle w:val="ListNumber2"/>
      <w:lvlText w:val="%1."/>
      <w:lvlJc w:val="left"/>
      <w:pPr>
        <w:tabs>
          <w:tab w:val="num" w:pos="643"/>
        </w:tabs>
        <w:ind w:left="643" w:hanging="360"/>
      </w:pPr>
    </w:lvl>
  </w:abstractNum>
  <w:abstractNum w:abstractNumId="3">
    <w:nsid w:val="FFFFFF81"/>
    <w:multiLevelType w:val="singleLevel"/>
    <w:tmpl w:val="08923A4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04A63A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6BC0DF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19A45E6"/>
    <w:lvl w:ilvl="0">
      <w:start w:val="1"/>
      <w:numFmt w:val="decimal"/>
      <w:pStyle w:val="ListNumber"/>
      <w:lvlText w:val="%1."/>
      <w:lvlJc w:val="left"/>
      <w:pPr>
        <w:tabs>
          <w:tab w:val="num" w:pos="360"/>
        </w:tabs>
        <w:ind w:left="360" w:hanging="360"/>
      </w:pPr>
    </w:lvl>
  </w:abstractNum>
  <w:abstractNum w:abstractNumId="7">
    <w:nsid w:val="FFFFFF89"/>
    <w:multiLevelType w:val="singleLevel"/>
    <w:tmpl w:val="7DF252F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0-28 15:49:5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2842CAC-FB7B-4CCC-8F12-CE166CD33EB7"/>
    <w:docVar w:name="LW_COVERPAGE_TYPE" w:val="1"/>
    <w:docVar w:name="LW_CROSSREFERENCE" w:val="&lt;UNUSED&gt;"/>
    <w:docVar w:name="LW_DocType" w:val="COM"/>
    <w:docVar w:name="LW_EMISSION" w:val="30.10.2019"/>
    <w:docVar w:name="LW_EMISSION_ISODATE" w:val="2019-10-30"/>
    <w:docVar w:name="LW_EMISSION_LOCATION" w:val="BRX"/>
    <w:docVar w:name="LW_EMISSION_PREFIX" w:val="Bryssel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NLE"/>
    <w:docVar w:name="LW_REF.II.NEW.CP_NUMBER" w:val="0245"/>
    <w:docVar w:name="LW_REF.II.NEW.CP_YEAR" w:val="2019"/>
    <w:docVar w:name="LW_REF.INST.NEW" w:val="COM"/>
    <w:docVar w:name="LW_REF.INST.NEW_ADOPTED" w:val="final"/>
    <w:docVar w:name="LW_REF.INST.NEW_TEXT" w:val="(2019) 5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hdotus"/>
    <w:docVar w:name="LW_SUPERTITRE" w:val="&lt;UNUSED&gt;"/>
    <w:docVar w:name="LW_TITRE.OBJ.CP" w:val="maailman kauppajärjestön yleisneuvostossa Euroopan unionin puolesta otettavasta kannasta"/>
    <w:docVar w:name="LW_TYPE.DOC.CP" w:val="NEUVOSTON PÄÄTÖ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6</Pages>
  <Words>1073</Words>
  <Characters>8974</Characters>
  <Application>Microsoft Office Word</Application>
  <DocSecurity>0</DocSecurity>
  <Lines>157</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2019-10-28T07:26:00Z</dcterms:created>
  <dcterms:modified xsi:type="dcterms:W3CDTF">2019-10-28T14:49:00Z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