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08BC68BB-8DE2-4276-BF08-97DE8F217A6C" style="width:450.75pt;height:411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szCs w:val="24"/>
          <w:u w:val="none"/>
        </w:rPr>
      </w:pPr>
      <w:bookmarkStart w:id="0" w:name="_GoBack"/>
      <w:bookmarkEnd w:id="0"/>
      <w:r>
        <w:rPr>
          <w:noProof/>
          <w:u w:val="none"/>
        </w:rPr>
        <w:lastRenderedPageBreak/>
        <w:t xml:space="preserve">PIELIKUMS </w:t>
      </w:r>
    </w:p>
    <w:p>
      <w:pPr>
        <w:spacing w:before="480" w:after="240"/>
        <w:contextualSpacing/>
        <w:jc w:val="center"/>
        <w:rPr>
          <w:rFonts w:eastAsiaTheme="majorEastAsia"/>
          <w:b/>
          <w:caps/>
          <w:noProof/>
          <w:kern w:val="28"/>
          <w:szCs w:val="24"/>
        </w:rPr>
      </w:pPr>
      <w:r>
        <w:rPr>
          <w:b/>
          <w:caps/>
          <w:noProof/>
        </w:rPr>
        <w:t>BALI LĒMUMA PAR TARIFA KVOTU PĀRVALDĪBU DARBĪBAS PĀRSKATĪŠANA</w:t>
      </w:r>
    </w:p>
    <w:p>
      <w:pPr>
        <w:spacing w:before="0" w:after="360"/>
        <w:jc w:val="center"/>
        <w:rPr>
          <w:rFonts w:eastAsia="Calibri"/>
          <w:caps/>
          <w:noProof/>
          <w:szCs w:val="24"/>
        </w:rPr>
      </w:pPr>
      <w:r>
        <w:rPr>
          <w:caps/>
          <w:noProof/>
        </w:rPr>
        <w:t xml:space="preserve">Ziņojums Vispārējai padomei </w:t>
      </w:r>
    </w:p>
    <w:p>
      <w:pPr>
        <w:pStyle w:val="Point0number"/>
        <w:numPr>
          <w:ilvl w:val="0"/>
          <w:numId w:val="3"/>
        </w:numPr>
        <w:rPr>
          <w:noProof/>
          <w:szCs w:val="24"/>
        </w:rPr>
      </w:pPr>
      <w:r>
        <w:rPr>
          <w:noProof/>
        </w:rPr>
        <w:t>Ministru konferences devītajā sesijā ministri pieņēma lēmumu “Vienošanos par tarifa kvotas pārvaldības noteikumiem attiecībā uz lauksaimniecības produktiem, kā noteikts Lauksaimniecības nolīguma 2. pantā” (WT/MIN(13)/39) (“Bali lēmums par TKP”). Ministri uzdeva Lauksaimniecības komitejai vēlākais no 2017. gada pārskatīt un uzraudzīt to, kā tiek pildīti dalībnieku pienākumi, kas izriet no Bali lēmuma par TKP. Šīs pārskatīšanas mērķis, ņemot vērā līdz šim gūto pieredzi, ir pastāvīgi uzlabot tarifa kvotu izmantošanu</w:t>
      </w:r>
      <w:r>
        <w:rPr>
          <w:rStyle w:val="FootnoteReference"/>
          <w:noProof/>
        </w:rPr>
        <w:footnoteReference w:id="1"/>
      </w:r>
      <w:r>
        <w:rPr>
          <w:noProof/>
        </w:rPr>
        <w:t>. Pārskatīšanas apspriedes tika uzsāktas Lauksaimniecības komitejas 2017. gada oktobra sanāksmē</w:t>
      </w:r>
      <w:r>
        <w:rPr>
          <w:rStyle w:val="FootnoteReference"/>
          <w:noProof/>
        </w:rPr>
        <w:footnoteReference w:id="2"/>
      </w:r>
      <w:r>
        <w:rPr>
          <w:noProof/>
        </w:rPr>
        <w:t>. Pārskatīšanas procesu un termiņus Lauksaimniecības komiteja apstiprināja 2018. gada februāra sanāksmē, izdarot attiecīgus ierakstus dokumentā G/AG/W/171</w:t>
      </w:r>
      <w:r>
        <w:rPr>
          <w:rStyle w:val="FootnoteReference"/>
          <w:noProof/>
        </w:rPr>
        <w:footnoteReference w:id="3"/>
      </w:r>
      <w:r>
        <w:rPr>
          <w:noProof/>
        </w:rPr>
        <w:t>. Atbilstoši saskaņotajai procedūrai pārskatīšana tika veikta Lauksaimniecības komitejas neformālajās atvērtas dalības sanāksmēs, kuras noritēja paralēli regulārajām sanāksmēm</w:t>
      </w:r>
      <w:r>
        <w:rPr>
          <w:rStyle w:val="FootnoteReference"/>
          <w:noProof/>
        </w:rPr>
        <w:footnoteReference w:id="4"/>
      </w:r>
      <w:r>
        <w:rPr>
          <w:noProof/>
        </w:rPr>
        <w:t xml:space="preserve">. </w:t>
      </w:r>
    </w:p>
    <w:p>
      <w:pPr>
        <w:pStyle w:val="Point0number"/>
        <w:rPr>
          <w:noProof/>
        </w:rPr>
      </w:pPr>
      <w:r>
        <w:rPr>
          <w:noProof/>
        </w:rPr>
        <w:t>Dalībnieki pārskatīšanu apsprieda četrās Lauksaimniecības komitejas neformālajās 2018. gada sanāksmēs: 20. februārī, 11. jūnijā, 25. septembrī un 26. novembrī. Novembra neoficiālajā sanāksmē, kurā piedalījās nozares pārstāvji, notika tematiska sesija par tarifa kvotu pārvaldību un nepietiekamu izpildi. Pārskatīšanas diskusijām par labu nāca arī dalībnieku rakstiskie ieguldījumi. Līdzīgā kārtā, atsaucoties uz dalībnieku lūgumiem un rīkojoties atbilstīgi pārskatīšanas procedūrai un termiņiem, par kādiem panākta vienošanās, sekretariāts sagatavoja informatīvu dokumentu</w:t>
      </w:r>
      <w:r>
        <w:rPr>
          <w:rStyle w:val="FootnoteReference"/>
          <w:noProof/>
        </w:rPr>
        <w:footnoteReference w:id="5"/>
      </w:r>
      <w:r>
        <w:rPr>
          <w:noProof/>
        </w:rPr>
        <w:t xml:space="preserve"> par tarifa kvotu pārvaldību un izpildes līmeni, lai atvieglotu pārskatīšanu. </w:t>
      </w:r>
      <w:r>
        <w:rPr>
          <w:b/>
          <w:bCs/>
          <w:noProof/>
        </w:rPr>
        <w:t>1. pielikumā</w:t>
      </w:r>
      <w:r>
        <w:rPr>
          <w:noProof/>
        </w:rPr>
        <w:t xml:space="preserve"> iekļauts visu to rakstisko dokumentu saraksts, kuri līdz šim ņemti vērā pārskatīšanā. </w:t>
      </w:r>
    </w:p>
    <w:p>
      <w:pPr>
        <w:pStyle w:val="Point0number"/>
        <w:rPr>
          <w:noProof/>
        </w:rPr>
      </w:pPr>
      <w:r>
        <w:rPr>
          <w:noProof/>
        </w:rPr>
        <w:t>Pārskatīšanas apspriedēs dalībnieki ir noteikuši šādus tematus: 1) no Bali lēmuma par TKP izrietošo pamatsaistību efektīva īstenošana un uzraudzība; 2) TKP pārredzamības prasības; 3) mehānisms nepietiekamas izpildes gadījumā. Turpmāk ir norādīti daži elementi</w:t>
      </w:r>
      <w:r>
        <w:rPr>
          <w:rStyle w:val="FootnoteReference"/>
          <w:noProof/>
        </w:rPr>
        <w:footnoteReference w:id="6"/>
      </w:r>
      <w:r>
        <w:rPr>
          <w:noProof/>
        </w:rPr>
        <w:t>, kas izvirzīti saistībā ar katru no trim tematiem, tostarp novembrī tematisko diskusiju laikā skaramie temati.</w:t>
      </w:r>
    </w:p>
    <w:p>
      <w:pPr>
        <w:spacing w:before="0" w:after="240"/>
        <w:outlineLvl w:val="1"/>
        <w:rPr>
          <w:b/>
          <w:noProof/>
          <w:szCs w:val="24"/>
        </w:rPr>
      </w:pPr>
      <w:r>
        <w:rPr>
          <w:b/>
          <w:noProof/>
        </w:rPr>
        <w:t xml:space="preserve">EFEKTĪVA ĪSTENOŠANA UN PĒCKONTROLE </w:t>
      </w:r>
    </w:p>
    <w:p>
      <w:pPr>
        <w:pStyle w:val="Point1"/>
        <w:rPr>
          <w:rFonts w:ascii="Verdana" w:hAnsi="Verdana"/>
          <w:noProof/>
          <w:sz w:val="16"/>
        </w:rPr>
      </w:pPr>
      <w:r>
        <w:rPr>
          <w:noProof/>
        </w:rPr>
        <w:t>i.</w:t>
      </w:r>
      <w:r>
        <w:rPr>
          <w:noProof/>
        </w:rPr>
        <w:tab/>
        <w:t>Neizmantoto licenču pārdale TKP satvarā.</w:t>
      </w:r>
      <w:r>
        <w:rPr>
          <w:noProof/>
          <w:vertAlign w:val="superscript"/>
        </w:rPr>
        <w:t xml:space="preserve"> </w:t>
      </w:r>
    </w:p>
    <w:p>
      <w:pPr>
        <w:pStyle w:val="Point1"/>
        <w:rPr>
          <w:noProof/>
        </w:rPr>
      </w:pPr>
      <w:r>
        <w:rPr>
          <w:noProof/>
        </w:rPr>
        <w:t>ii.</w:t>
      </w:r>
      <w:r>
        <w:rPr>
          <w:noProof/>
        </w:rPr>
        <w:tab/>
        <w:t>Pārdales procesi, ieskaitot arī piešķīrumus pa valstīm</w:t>
      </w:r>
      <w:r>
        <w:rPr>
          <w:rStyle w:val="FootnoteReference"/>
          <w:noProof/>
        </w:rPr>
        <w:footnoteReference w:id="7"/>
      </w:r>
      <w:r>
        <w:rPr>
          <w:noProof/>
        </w:rPr>
        <w:t>.</w:t>
      </w:r>
    </w:p>
    <w:p>
      <w:pPr>
        <w:pStyle w:val="Point1"/>
        <w:rPr>
          <w:noProof/>
        </w:rPr>
      </w:pPr>
      <w:r>
        <w:rPr>
          <w:noProof/>
        </w:rPr>
        <w:t>iii.</w:t>
      </w:r>
      <w:r>
        <w:rPr>
          <w:noProof/>
        </w:rPr>
        <w:tab/>
        <w:t>Pieredzes un paraugprakses apmaiņa par tarifa kvotu izpildes uzlabošanu, ieskaitot tarifa kvotu pārdali saskaņā ar reģionālajiem tirdzniecības režīmiem.</w:t>
      </w:r>
    </w:p>
    <w:p>
      <w:pPr>
        <w:rPr>
          <w:b/>
          <w:noProof/>
          <w:szCs w:val="24"/>
        </w:rPr>
      </w:pPr>
      <w:r>
        <w:rPr>
          <w:b/>
          <w:noProof/>
        </w:rPr>
        <w:t xml:space="preserve">TKP PĀRREDZAMĪBAS PRASĪBAS  </w:t>
      </w:r>
    </w:p>
    <w:p>
      <w:pPr>
        <w:pStyle w:val="Point1"/>
        <w:rPr>
          <w:noProof/>
        </w:rPr>
      </w:pPr>
      <w:r>
        <w:rPr>
          <w:noProof/>
        </w:rPr>
        <w:t>i.</w:t>
      </w:r>
      <w:r>
        <w:rPr>
          <w:noProof/>
        </w:rPr>
        <w:tab/>
        <w:t>Laikus un pilnīgā kārtā izdarīti paziņojumi par tarifa kvotām.</w:t>
      </w:r>
    </w:p>
    <w:p>
      <w:pPr>
        <w:pStyle w:val="Point1"/>
        <w:rPr>
          <w:noProof/>
        </w:rPr>
      </w:pPr>
      <w:r>
        <w:rPr>
          <w:noProof/>
        </w:rPr>
        <w:t>ii.</w:t>
      </w:r>
      <w:r>
        <w:rPr>
          <w:noProof/>
        </w:rPr>
        <w:tab/>
        <w:t>Tūlītēja ziņošana par izmaiņām tarifa kvotu pārvaldībā.</w:t>
      </w:r>
    </w:p>
    <w:p>
      <w:pPr>
        <w:pStyle w:val="Point1"/>
        <w:rPr>
          <w:noProof/>
        </w:rPr>
      </w:pPr>
      <w:r>
        <w:rPr>
          <w:noProof/>
        </w:rPr>
        <w:t>iii.</w:t>
      </w:r>
      <w:r>
        <w:rPr>
          <w:noProof/>
        </w:rPr>
        <w:tab/>
        <w:t>Tāda sistemātiska ziņošana par izpildes līmeni, ko veic visi dalībnieki, kuriem ir saistības tarifa kvotu jomā.</w:t>
      </w:r>
    </w:p>
    <w:p>
      <w:pPr>
        <w:pStyle w:val="Point1"/>
        <w:rPr>
          <w:noProof/>
        </w:rPr>
      </w:pPr>
      <w:r>
        <w:rPr>
          <w:noProof/>
        </w:rPr>
        <w:t>iv.</w:t>
      </w:r>
      <w:r>
        <w:rPr>
          <w:noProof/>
        </w:rPr>
        <w:tab/>
        <w:t>Saskaņota paziņošanas prakse (piemēram, attiecībā uz neatvērtajām vai plānotajām tarifa kvotām, kas nerada tarifa priekšrocības).</w:t>
      </w:r>
    </w:p>
    <w:p>
      <w:pPr>
        <w:pStyle w:val="Point1"/>
        <w:rPr>
          <w:noProof/>
        </w:rPr>
      </w:pPr>
      <w:r>
        <w:rPr>
          <w:noProof/>
        </w:rPr>
        <w:t>v.</w:t>
      </w:r>
      <w:r>
        <w:rPr>
          <w:noProof/>
        </w:rPr>
        <w:tab/>
        <w:t>Ziņošana par nepietiekamas izpildes iemesliem.</w:t>
      </w:r>
    </w:p>
    <w:p>
      <w:pPr>
        <w:pStyle w:val="Point1"/>
        <w:rPr>
          <w:noProof/>
        </w:rPr>
      </w:pPr>
      <w:r>
        <w:rPr>
          <w:noProof/>
        </w:rPr>
        <w:t>vi.</w:t>
      </w:r>
      <w:r>
        <w:rPr>
          <w:noProof/>
        </w:rPr>
        <w:tab/>
        <w:t>Valstu pieredzes un paraugprakses apmaiņa par tarifa kvotu pārvaldību.</w:t>
      </w:r>
    </w:p>
    <w:p>
      <w:pPr>
        <w:pStyle w:val="Point1"/>
        <w:rPr>
          <w:noProof/>
        </w:rPr>
      </w:pPr>
      <w:r>
        <w:rPr>
          <w:noProof/>
        </w:rPr>
        <w:t>vii.</w:t>
      </w:r>
      <w:r>
        <w:rPr>
          <w:noProof/>
        </w:rPr>
        <w:tab/>
        <w:t>Īpaša un diferencēta attieksme (paziņošanas prasību radītās neērtības).</w:t>
      </w:r>
    </w:p>
    <w:p>
      <w:pPr>
        <w:pStyle w:val="Point1"/>
        <w:rPr>
          <w:noProof/>
        </w:rPr>
      </w:pPr>
      <w:r>
        <w:rPr>
          <w:noProof/>
        </w:rPr>
        <w:t>viii.</w:t>
      </w:r>
      <w:r>
        <w:rPr>
          <w:noProof/>
        </w:rPr>
        <w:tab/>
        <w:t>Saikne ar paziņošanas prasībām importa licenču procedūru jomā.</w:t>
      </w:r>
    </w:p>
    <w:p>
      <w:pPr>
        <w:pStyle w:val="Point1"/>
        <w:rPr>
          <w:noProof/>
        </w:rPr>
      </w:pPr>
      <w:r>
        <w:rPr>
          <w:noProof/>
        </w:rPr>
        <w:t>ix.</w:t>
      </w:r>
      <w:r>
        <w:rPr>
          <w:noProof/>
        </w:rPr>
        <w:tab/>
        <w:t>Sekretariāta tehniskā palīdzība, lai dalībnieki varētu labāk pildīt paziņošanas prasības.</w:t>
      </w:r>
    </w:p>
    <w:p>
      <w:pPr>
        <w:rPr>
          <w:b/>
          <w:noProof/>
          <w:szCs w:val="24"/>
        </w:rPr>
      </w:pPr>
      <w:r>
        <w:rPr>
          <w:b/>
          <w:noProof/>
        </w:rPr>
        <w:t>MEHĀNISMS NEPIETIEKAMAS IZPILDES GADĪJUMĀ</w:t>
      </w:r>
    </w:p>
    <w:p>
      <w:pPr>
        <w:pStyle w:val="Point1"/>
        <w:rPr>
          <w:noProof/>
        </w:rPr>
      </w:pPr>
      <w:r>
        <w:rPr>
          <w:noProof/>
        </w:rPr>
        <w:t>i.</w:t>
      </w:r>
      <w:r>
        <w:rPr>
          <w:noProof/>
        </w:rPr>
        <w:tab/>
        <w:t>Dalībnieku atšķirīgie pienākumi (A pielikuma 4. punkts).</w:t>
      </w:r>
    </w:p>
    <w:p>
      <w:pPr>
        <w:pStyle w:val="Point1"/>
        <w:rPr>
          <w:noProof/>
        </w:rPr>
      </w:pPr>
      <w:r>
        <w:rPr>
          <w:noProof/>
        </w:rPr>
        <w:t>ii.</w:t>
      </w:r>
      <w:r>
        <w:rPr>
          <w:noProof/>
        </w:rPr>
        <w:tab/>
        <w:t>Īpaša un diferencēta attieksme.</w:t>
      </w:r>
    </w:p>
    <w:p>
      <w:pPr>
        <w:pStyle w:val="Point1"/>
        <w:rPr>
          <w:noProof/>
        </w:rPr>
      </w:pPr>
      <w:r>
        <w:rPr>
          <w:noProof/>
        </w:rPr>
        <w:t>iii.</w:t>
      </w:r>
      <w:r>
        <w:rPr>
          <w:noProof/>
        </w:rPr>
        <w:tab/>
        <w:t>Piemērojamība, kas nākotnē iespējami vairs nav vispārēja.</w:t>
      </w:r>
    </w:p>
    <w:p>
      <w:pPr>
        <w:pStyle w:val="Point1"/>
        <w:rPr>
          <w:noProof/>
        </w:rPr>
      </w:pPr>
      <w:r>
        <w:rPr>
          <w:noProof/>
        </w:rPr>
        <w:t>iv.</w:t>
      </w:r>
      <w:r>
        <w:rPr>
          <w:noProof/>
        </w:rPr>
        <w:tab/>
        <w:t>Saikne starp B pielikumu un A pielikuma 4. punktu.</w:t>
      </w:r>
    </w:p>
    <w:p>
      <w:pPr>
        <w:pStyle w:val="Point1"/>
        <w:rPr>
          <w:noProof/>
        </w:rPr>
      </w:pPr>
      <w:r>
        <w:rPr>
          <w:noProof/>
        </w:rPr>
        <w:t>v.</w:t>
      </w:r>
      <w:r>
        <w:rPr>
          <w:noProof/>
        </w:rPr>
        <w:tab/>
        <w:t>Nepietiekamas izpildes cēloņu izpēte.</w:t>
      </w:r>
    </w:p>
    <w:p>
      <w:pPr>
        <w:pStyle w:val="Point1"/>
        <w:rPr>
          <w:noProof/>
        </w:rPr>
      </w:pPr>
      <w:r>
        <w:rPr>
          <w:noProof/>
        </w:rPr>
        <w:t>vi.</w:t>
      </w:r>
      <w:r>
        <w:rPr>
          <w:noProof/>
        </w:rPr>
        <w:tab/>
        <w:t>Dažās īpašās nozarēs pastāvošās tarifa kvotu nepietiekamās izpildes mērķtiecīga izskatīšana.</w:t>
      </w:r>
    </w:p>
    <w:p>
      <w:pPr>
        <w:pStyle w:val="Point1"/>
        <w:rPr>
          <w:noProof/>
        </w:rPr>
      </w:pPr>
      <w:r>
        <w:rPr>
          <w:noProof/>
        </w:rPr>
        <w:t>vii.</w:t>
      </w:r>
      <w:r>
        <w:rPr>
          <w:noProof/>
        </w:rPr>
        <w:tab/>
        <w:t>Praktiskā piemērojamība, kāda ir mehānismam nepietiekamas izpildes gadījumā (to iemeslu – arī iespējamās sarežģītības – analīze, kuru dēļ tā likšana lietā vēl nav notikusi, pieredzes apmaiņa, procesuālo prasību vienkāršošana).</w:t>
      </w:r>
    </w:p>
    <w:p>
      <w:pPr>
        <w:pStyle w:val="Point1"/>
        <w:rPr>
          <w:noProof/>
        </w:rPr>
      </w:pPr>
      <w:r>
        <w:rPr>
          <w:noProof/>
        </w:rPr>
        <w:t>viii.</w:t>
      </w:r>
      <w:r>
        <w:rPr>
          <w:noProof/>
        </w:rPr>
        <w:tab/>
        <w:t>Nepietiekamas izpildes tarifa kvotu saraksts, ko kārto sekretariāts.</w:t>
      </w:r>
    </w:p>
    <w:p>
      <w:pPr>
        <w:pStyle w:val="Point0number"/>
        <w:rPr>
          <w:noProof/>
        </w:rPr>
      </w:pPr>
      <w:r>
        <w:rPr>
          <w:noProof/>
        </w:rPr>
        <w:t xml:space="preserve">Jautājumā par to, kā nākotnē darbosies mehānisma nepietiekamas izpildes gadījumā 4. punkts, un par saistīto īpašas un diferencētas attieksmes noteikumu dalībnieku nostājā bija vērojamas atšķirības. Daži jaunattīstībā esošie dalībnieki apgalvoja, ka Bali lēmuma par TKP noteikumi attiecībā uz īpašo un diferencēto attieksmi nebūtu vājināmi; daži citi dalībnieki savukārt apgalvoja, ka īpašā un diferencētā attieksme, kādu ievēro attiecībā uz jaunattīstības valstīm, nedrīkst novest pie izņēmumu ieviešanas un ka saņēmējām jaunattīstības valstīm drīzāk būtu jāuzņemas tādas saistības attiecībā uz tarifa kvotu pārvaldību, kurās ievērots to attīstības statuss. </w:t>
      </w:r>
    </w:p>
    <w:p>
      <w:pPr>
        <w:pStyle w:val="Point0number"/>
        <w:rPr>
          <w:noProof/>
        </w:rPr>
      </w:pPr>
      <w:r>
        <w:rPr>
          <w:noProof/>
        </w:rPr>
        <w:t>Vairāki dalībnieki uzskatīja, ka šīs pārskatīšanas tvērums ir ierobežots – tās mērķis ir vienīgi noteikt, kā uzlabot tarifa kvotu pārvaldību, lai atšķirtu šo aspektu no sarunām par piekļuvi tirgum. Daži citi neizslēdza iespēju, ka ar tarifa kvotām saistītie jautājumi būtu risināmi sarunās par piekļuvi tirgum.</w:t>
      </w:r>
    </w:p>
    <w:p>
      <w:pPr>
        <w:pStyle w:val="Point0number"/>
        <w:rPr>
          <w:noProof/>
        </w:rPr>
      </w:pPr>
      <w:r>
        <w:rPr>
          <w:noProof/>
        </w:rPr>
        <w:t>Daži dalībnieki uzskatīja, ka Lauksaimniecības komitejai, pamatojoties uz dalībnieku sniegto informāciju, būtu jāizskata iemesli, kuru dēļ mehānisms nepietiekamas izpildes gadījumā vēl nav likts lietā.</w:t>
      </w:r>
    </w:p>
    <w:p>
      <w:pPr>
        <w:pStyle w:val="Point0number"/>
        <w:rPr>
          <w:noProof/>
        </w:rPr>
      </w:pPr>
      <w:r>
        <w:rPr>
          <w:noProof/>
        </w:rPr>
        <w:t xml:space="preserve">Ievērojot Bali lēmuma par TKP (WT/MIN(13)/39) 13.–15. punktu, Lauksaimniecības komiteja savā 2019. gada 30. oktobra sanāksmē apstiprina turpmāk minētos ieteikumus, kas iekļauti šā ziņojuma </w:t>
      </w:r>
      <w:r>
        <w:rPr>
          <w:b/>
          <w:bCs/>
          <w:noProof/>
        </w:rPr>
        <w:t>2. pielikumā</w:t>
      </w:r>
      <w:r>
        <w:rPr>
          <w:noProof/>
        </w:rPr>
        <w:t xml:space="preserve">, lai tos izskatītu Vispārējā padome.  </w:t>
      </w:r>
    </w:p>
    <w:p>
      <w:pPr>
        <w:spacing w:before="0" w:after="200" w:line="276" w:lineRule="auto"/>
        <w:jc w:val="left"/>
        <w:rPr>
          <w:noProof/>
          <w:szCs w:val="24"/>
        </w:rPr>
      </w:pPr>
      <w:r>
        <w:rPr>
          <w:noProof/>
        </w:rPr>
        <w:br w:type="page"/>
      </w:r>
    </w:p>
    <w:p>
      <w:pPr>
        <w:spacing w:before="0" w:after="240"/>
        <w:jc w:val="center"/>
        <w:rPr>
          <w:noProof/>
          <w:szCs w:val="24"/>
        </w:rPr>
      </w:pPr>
      <w:r>
        <w:rPr>
          <w:b/>
          <w:noProof/>
        </w:rPr>
        <w:t>1. pielikums</w:t>
      </w:r>
    </w:p>
    <w:tbl>
      <w:tblPr>
        <w:tblStyle w:val="WTOTable1"/>
        <w:tblW w:w="5000" w:type="pct"/>
        <w:tblLook w:val="04A0" w:firstRow="1" w:lastRow="0" w:firstColumn="1" w:lastColumn="0" w:noHBand="0" w:noVBand="1"/>
      </w:tblPr>
      <w:tblGrid>
        <w:gridCol w:w="2332"/>
        <w:gridCol w:w="6957"/>
      </w:tblGrid>
      <w:tr>
        <w:trPr>
          <w:cnfStyle w:val="100000000000" w:firstRow="1" w:lastRow="0" w:firstColumn="0" w:lastColumn="0" w:oddVBand="0" w:evenVBand="0" w:oddHBand="0" w:evenHBand="0" w:firstRowFirstColumn="0" w:firstRowLastColumn="0" w:lastRowFirstColumn="0" w:lastRowLastColumn="0"/>
          <w:trHeight w:val="20"/>
        </w:trPr>
        <w:tc>
          <w:tcPr>
            <w:tcW w:w="9016" w:type="dxa"/>
            <w:gridSpan w:val="2"/>
          </w:tcPr>
          <w:p>
            <w:pPr>
              <w:spacing w:before="0" w:after="0" w:line="360" w:lineRule="auto"/>
              <w:jc w:val="center"/>
              <w:rPr>
                <w:b w:val="0"/>
                <w:noProof/>
                <w:color w:val="auto"/>
                <w:szCs w:val="24"/>
              </w:rPr>
            </w:pPr>
            <w:r>
              <w:rPr>
                <w:noProof/>
              </w:rPr>
              <w:t>Dokumentu saraksts</w:t>
            </w:r>
          </w:p>
        </w:tc>
      </w:tr>
      <w:tr>
        <w:trPr>
          <w:cnfStyle w:val="000000100000" w:firstRow="0" w:lastRow="0" w:firstColumn="0" w:lastColumn="0" w:oddVBand="0" w:evenVBand="0" w:oddHBand="1" w:evenHBand="0" w:firstRowFirstColumn="0" w:firstRowLastColumn="0" w:lastRowFirstColumn="0" w:lastRowLastColumn="0"/>
          <w:trHeight w:val="20"/>
        </w:trPr>
        <w:tc>
          <w:tcPr>
            <w:tcW w:w="2263" w:type="dxa"/>
          </w:tcPr>
          <w:p>
            <w:pPr>
              <w:spacing w:after="0"/>
              <w:jc w:val="left"/>
              <w:rPr>
                <w:rFonts w:eastAsia="Times New Roman"/>
                <w:bCs/>
                <w:noProof/>
                <w:szCs w:val="24"/>
              </w:rPr>
            </w:pPr>
            <w:r>
              <w:rPr>
                <w:noProof/>
              </w:rPr>
              <w:t>G/AG/W/169</w:t>
            </w:r>
          </w:p>
          <w:p>
            <w:pPr>
              <w:spacing w:before="0" w:after="0"/>
              <w:rPr>
                <w:noProof/>
                <w:szCs w:val="24"/>
              </w:rPr>
            </w:pPr>
            <w:r>
              <w:rPr>
                <w:noProof/>
              </w:rPr>
              <w:t>2017. gada 10. oktobris</w:t>
            </w:r>
          </w:p>
        </w:tc>
        <w:tc>
          <w:tcPr>
            <w:tcW w:w="6753" w:type="dxa"/>
          </w:tcPr>
          <w:p>
            <w:pPr>
              <w:tabs>
                <w:tab w:val="left" w:pos="1134"/>
              </w:tabs>
              <w:spacing w:after="0"/>
              <w:jc w:val="left"/>
              <w:rPr>
                <w:noProof/>
                <w:szCs w:val="24"/>
              </w:rPr>
            </w:pPr>
            <w:r>
              <w:rPr>
                <w:noProof/>
              </w:rPr>
              <w:t>Bali lēmumā par tarifa kvotu pārvaldību noteikto saistību izpildes uzraudzība un pārskatīšana.</w:t>
            </w:r>
          </w:p>
          <w:p>
            <w:pPr>
              <w:tabs>
                <w:tab w:val="left" w:pos="1134"/>
              </w:tabs>
              <w:spacing w:before="0" w:after="0"/>
              <w:jc w:val="left"/>
              <w:rPr>
                <w:noProof/>
                <w:szCs w:val="24"/>
              </w:rPr>
            </w:pPr>
          </w:p>
          <w:p>
            <w:pPr>
              <w:tabs>
                <w:tab w:val="left" w:pos="1134"/>
              </w:tabs>
              <w:spacing w:before="0"/>
              <w:rPr>
                <w:noProof/>
                <w:szCs w:val="24"/>
              </w:rPr>
            </w:pPr>
            <w:r>
              <w:rPr>
                <w:noProof/>
              </w:rPr>
              <w:t>Sekretariāta piezīme</w:t>
            </w:r>
          </w:p>
        </w:tc>
      </w:tr>
      <w:tr>
        <w:trPr>
          <w:cnfStyle w:val="000000010000" w:firstRow="0" w:lastRow="0" w:firstColumn="0" w:lastColumn="0" w:oddVBand="0" w:evenVBand="0" w:oddHBand="0" w:evenHBand="1" w:firstRowFirstColumn="0" w:firstRowLastColumn="0" w:lastRowFirstColumn="0" w:lastRowLastColumn="0"/>
          <w:trHeight w:val="20"/>
        </w:trPr>
        <w:tc>
          <w:tcPr>
            <w:tcW w:w="2263" w:type="dxa"/>
          </w:tcPr>
          <w:p>
            <w:pPr>
              <w:spacing w:after="0"/>
              <w:jc w:val="left"/>
              <w:rPr>
                <w:rFonts w:eastAsia="Times New Roman"/>
                <w:bCs/>
                <w:noProof/>
                <w:szCs w:val="24"/>
              </w:rPr>
            </w:pPr>
            <w:r>
              <w:rPr>
                <w:noProof/>
              </w:rPr>
              <w:t>G/AG/W/171</w:t>
            </w:r>
          </w:p>
          <w:p>
            <w:pPr>
              <w:spacing w:before="0" w:after="0"/>
              <w:rPr>
                <w:rFonts w:eastAsia="Times New Roman"/>
                <w:bCs/>
                <w:noProof/>
                <w:szCs w:val="24"/>
              </w:rPr>
            </w:pPr>
            <w:r>
              <w:rPr>
                <w:noProof/>
              </w:rPr>
              <w:t>2018. gada 9. februāris</w:t>
            </w:r>
          </w:p>
        </w:tc>
        <w:tc>
          <w:tcPr>
            <w:tcW w:w="6753" w:type="dxa"/>
          </w:tcPr>
          <w:p>
            <w:pPr>
              <w:tabs>
                <w:tab w:val="left" w:pos="1134"/>
              </w:tabs>
              <w:spacing w:after="0"/>
              <w:jc w:val="left"/>
              <w:rPr>
                <w:rFonts w:eastAsia="Times New Roman"/>
                <w:bCs/>
                <w:noProof/>
                <w:szCs w:val="24"/>
              </w:rPr>
            </w:pPr>
            <w:r>
              <w:rPr>
                <w:noProof/>
              </w:rPr>
              <w:t>Procesa priekšlikums Bali lēmuma par tarifa kvotu pārvaldību darbības pārskatīšanai</w:t>
            </w:r>
          </w:p>
          <w:p>
            <w:pPr>
              <w:tabs>
                <w:tab w:val="left" w:pos="1134"/>
              </w:tabs>
              <w:spacing w:before="0" w:after="0"/>
              <w:jc w:val="left"/>
              <w:rPr>
                <w:rFonts w:eastAsia="Times New Roman"/>
                <w:bCs/>
                <w:noProof/>
                <w:szCs w:val="24"/>
              </w:rPr>
            </w:pPr>
          </w:p>
          <w:p>
            <w:pPr>
              <w:tabs>
                <w:tab w:val="left" w:pos="1134"/>
              </w:tabs>
              <w:spacing w:before="0"/>
              <w:rPr>
                <w:rFonts w:eastAsia="Times New Roman"/>
                <w:bCs/>
                <w:noProof/>
                <w:szCs w:val="24"/>
              </w:rPr>
            </w:pPr>
            <w:r>
              <w:rPr>
                <w:noProof/>
              </w:rPr>
              <w:t>Sekretariāta piezīme</w:t>
            </w:r>
          </w:p>
        </w:tc>
      </w:tr>
      <w:tr>
        <w:trPr>
          <w:cnfStyle w:val="000000100000" w:firstRow="0" w:lastRow="0" w:firstColumn="0" w:lastColumn="0" w:oddVBand="0" w:evenVBand="0" w:oddHBand="1" w:evenHBand="0" w:firstRowFirstColumn="0" w:firstRowLastColumn="0" w:lastRowFirstColumn="0" w:lastRowLastColumn="0"/>
          <w:trHeight w:val="20"/>
        </w:trPr>
        <w:tc>
          <w:tcPr>
            <w:tcW w:w="2263" w:type="dxa"/>
          </w:tcPr>
          <w:p>
            <w:pPr>
              <w:spacing w:after="0"/>
              <w:jc w:val="left"/>
              <w:rPr>
                <w:rFonts w:eastAsia="Times New Roman"/>
                <w:bCs/>
                <w:noProof/>
                <w:szCs w:val="24"/>
              </w:rPr>
            </w:pPr>
            <w:r>
              <w:rPr>
                <w:noProof/>
              </w:rPr>
              <w:t>G/AG/W/175</w:t>
            </w:r>
          </w:p>
          <w:p>
            <w:pPr>
              <w:spacing w:before="0" w:after="0"/>
              <w:rPr>
                <w:noProof/>
                <w:szCs w:val="24"/>
              </w:rPr>
            </w:pPr>
            <w:r>
              <w:rPr>
                <w:noProof/>
              </w:rPr>
              <w:t>2018. gada 18. maijs</w:t>
            </w:r>
          </w:p>
          <w:p>
            <w:pPr>
              <w:spacing w:before="0" w:after="0"/>
              <w:rPr>
                <w:noProof/>
                <w:szCs w:val="24"/>
              </w:rPr>
            </w:pPr>
            <w:r>
              <w:rPr>
                <w:noProof/>
              </w:rPr>
              <w:t xml:space="preserve">       </w:t>
            </w:r>
          </w:p>
          <w:p>
            <w:pPr>
              <w:spacing w:before="0" w:after="0"/>
              <w:rPr>
                <w:noProof/>
                <w:szCs w:val="24"/>
              </w:rPr>
            </w:pPr>
            <w:r>
              <w:rPr>
                <w:noProof/>
              </w:rPr>
              <w:t xml:space="preserve">         un</w:t>
            </w:r>
          </w:p>
          <w:p>
            <w:pPr>
              <w:spacing w:after="0"/>
              <w:jc w:val="left"/>
              <w:rPr>
                <w:rFonts w:eastAsia="Times New Roman"/>
                <w:bCs/>
                <w:noProof/>
                <w:szCs w:val="24"/>
              </w:rPr>
            </w:pPr>
            <w:r>
              <w:rPr>
                <w:noProof/>
              </w:rPr>
              <w:t>G/AG/W/175/Add.1</w:t>
            </w:r>
          </w:p>
          <w:p>
            <w:pPr>
              <w:spacing w:before="0" w:after="0"/>
              <w:rPr>
                <w:noProof/>
                <w:szCs w:val="24"/>
              </w:rPr>
            </w:pPr>
            <w:r>
              <w:rPr>
                <w:noProof/>
              </w:rPr>
              <w:t>2019. gada 7. maijs</w:t>
            </w:r>
          </w:p>
          <w:p>
            <w:pPr>
              <w:spacing w:before="0" w:after="0"/>
              <w:rPr>
                <w:noProof/>
                <w:szCs w:val="24"/>
              </w:rPr>
            </w:pPr>
          </w:p>
        </w:tc>
        <w:tc>
          <w:tcPr>
            <w:tcW w:w="6753" w:type="dxa"/>
          </w:tcPr>
          <w:p>
            <w:pPr>
              <w:spacing w:after="0"/>
              <w:jc w:val="left"/>
              <w:rPr>
                <w:noProof/>
                <w:szCs w:val="24"/>
              </w:rPr>
            </w:pPr>
          </w:p>
          <w:p>
            <w:pPr>
              <w:spacing w:after="0"/>
              <w:jc w:val="left"/>
              <w:rPr>
                <w:noProof/>
                <w:szCs w:val="24"/>
              </w:rPr>
            </w:pPr>
            <w:r>
              <w:rPr>
                <w:noProof/>
              </w:rPr>
              <w:t>Eiropas Savienības paziņojums Lauksaimniecības komitejai par Procesa priekšlikumu Bali lēmuma par tarifa kvotu pārvaldību darbības pārskatīšanai</w:t>
            </w:r>
            <w:r>
              <w:rPr>
                <w:rStyle w:val="FootnoteReference"/>
                <w:noProof/>
              </w:rPr>
              <w:footnoteReference w:id="8"/>
            </w:r>
            <w:r>
              <w:rPr>
                <w:noProof/>
              </w:rPr>
              <w:t>.</w:t>
            </w:r>
          </w:p>
          <w:p>
            <w:pPr>
              <w:spacing w:before="0" w:after="0"/>
              <w:rPr>
                <w:noProof/>
                <w:szCs w:val="24"/>
              </w:rPr>
            </w:pPr>
          </w:p>
          <w:p>
            <w:pPr>
              <w:spacing w:before="0" w:after="0"/>
              <w:rPr>
                <w:noProof/>
                <w:szCs w:val="24"/>
              </w:rPr>
            </w:pPr>
          </w:p>
          <w:p>
            <w:pPr>
              <w:tabs>
                <w:tab w:val="left" w:pos="1134"/>
              </w:tabs>
              <w:spacing w:before="0"/>
              <w:rPr>
                <w:noProof/>
                <w:szCs w:val="24"/>
              </w:rPr>
            </w:pPr>
            <w:r>
              <w:rPr>
                <w:noProof/>
              </w:rPr>
              <w:t>Eiropas Savienības paziņojumi</w:t>
            </w:r>
          </w:p>
        </w:tc>
      </w:tr>
      <w:tr>
        <w:trPr>
          <w:cnfStyle w:val="000000010000" w:firstRow="0" w:lastRow="0" w:firstColumn="0" w:lastColumn="0" w:oddVBand="0" w:evenVBand="0" w:oddHBand="0" w:evenHBand="1" w:firstRowFirstColumn="0" w:firstRowLastColumn="0" w:lastRowFirstColumn="0" w:lastRowLastColumn="0"/>
          <w:trHeight w:val="20"/>
        </w:trPr>
        <w:tc>
          <w:tcPr>
            <w:tcW w:w="2263" w:type="dxa"/>
          </w:tcPr>
          <w:p>
            <w:pPr>
              <w:spacing w:after="0"/>
              <w:jc w:val="left"/>
              <w:rPr>
                <w:rFonts w:eastAsia="Times New Roman"/>
                <w:bCs/>
                <w:noProof/>
                <w:szCs w:val="24"/>
              </w:rPr>
            </w:pPr>
            <w:r>
              <w:rPr>
                <w:noProof/>
              </w:rPr>
              <w:t>G/AG/W/179</w:t>
            </w:r>
          </w:p>
          <w:p>
            <w:pPr>
              <w:spacing w:before="0" w:after="0"/>
              <w:rPr>
                <w:noProof/>
                <w:szCs w:val="24"/>
              </w:rPr>
            </w:pPr>
            <w:r>
              <w:rPr>
                <w:noProof/>
              </w:rPr>
              <w:t>2018. gada 6. jūnijs</w:t>
            </w:r>
          </w:p>
        </w:tc>
        <w:tc>
          <w:tcPr>
            <w:tcW w:w="6753" w:type="dxa"/>
          </w:tcPr>
          <w:p>
            <w:pPr>
              <w:spacing w:after="0"/>
              <w:jc w:val="left"/>
              <w:rPr>
                <w:rFonts w:eastAsiaTheme="majorEastAsia"/>
                <w:caps/>
                <w:noProof/>
                <w:kern w:val="28"/>
                <w:szCs w:val="24"/>
              </w:rPr>
            </w:pPr>
            <w:r>
              <w:rPr>
                <w:noProof/>
              </w:rPr>
              <w:t>Bali Ministru lēmuma “Vienošanās par tarifa kvotu pārvaldības noteikumiem attiecībā uz lauksaimniecības produktiem...”</w:t>
            </w:r>
            <w:r>
              <w:rPr>
                <w:rStyle w:val="FootnoteReference"/>
                <w:noProof/>
              </w:rPr>
              <w:footnoteReference w:id="9"/>
            </w:r>
            <w:r>
              <w:rPr>
                <w:noProof/>
              </w:rPr>
              <w:t xml:space="preserve"> darbības pārskatīšana.</w:t>
            </w:r>
          </w:p>
          <w:p>
            <w:pPr>
              <w:spacing w:before="0" w:after="0"/>
              <w:rPr>
                <w:noProof/>
                <w:szCs w:val="24"/>
              </w:rPr>
            </w:pPr>
          </w:p>
          <w:p>
            <w:pPr>
              <w:tabs>
                <w:tab w:val="left" w:pos="1134"/>
              </w:tabs>
              <w:spacing w:before="0"/>
              <w:rPr>
                <w:noProof/>
                <w:szCs w:val="24"/>
              </w:rPr>
            </w:pPr>
            <w:r>
              <w:rPr>
                <w:noProof/>
              </w:rPr>
              <w:t>Kērnsas grupas paziņojums</w:t>
            </w:r>
          </w:p>
        </w:tc>
      </w:tr>
      <w:tr>
        <w:trPr>
          <w:cnfStyle w:val="000000100000" w:firstRow="0" w:lastRow="0" w:firstColumn="0" w:lastColumn="0" w:oddVBand="0" w:evenVBand="0" w:oddHBand="1" w:evenHBand="0" w:firstRowFirstColumn="0" w:firstRowLastColumn="0" w:lastRowFirstColumn="0" w:lastRowLastColumn="0"/>
          <w:trHeight w:val="20"/>
        </w:trPr>
        <w:tc>
          <w:tcPr>
            <w:tcW w:w="2263" w:type="dxa"/>
          </w:tcPr>
          <w:p>
            <w:pPr>
              <w:spacing w:after="0"/>
              <w:jc w:val="left"/>
              <w:rPr>
                <w:rFonts w:eastAsia="Times New Roman"/>
                <w:bCs/>
                <w:noProof/>
                <w:szCs w:val="24"/>
              </w:rPr>
            </w:pPr>
            <w:r>
              <w:rPr>
                <w:noProof/>
              </w:rPr>
              <w:t>G/AG/W/183</w:t>
            </w:r>
          </w:p>
          <w:p>
            <w:pPr>
              <w:spacing w:before="0" w:after="0"/>
              <w:rPr>
                <w:noProof/>
                <w:szCs w:val="24"/>
              </w:rPr>
            </w:pPr>
            <w:r>
              <w:rPr>
                <w:noProof/>
              </w:rPr>
              <w:t>2018. gada 31. jūlijs</w:t>
            </w:r>
          </w:p>
        </w:tc>
        <w:tc>
          <w:tcPr>
            <w:tcW w:w="6753" w:type="dxa"/>
          </w:tcPr>
          <w:p>
            <w:pPr>
              <w:tabs>
                <w:tab w:val="left" w:pos="1134"/>
              </w:tabs>
              <w:spacing w:after="0"/>
              <w:jc w:val="left"/>
              <w:rPr>
                <w:noProof/>
                <w:szCs w:val="24"/>
              </w:rPr>
            </w:pPr>
            <w:r>
              <w:rPr>
                <w:noProof/>
              </w:rPr>
              <w:t>Tarifa kvotu pārvaldības metodes un izpildes līmeņi 2007.–2016. gadā.</w:t>
            </w:r>
          </w:p>
          <w:p>
            <w:pPr>
              <w:tabs>
                <w:tab w:val="left" w:pos="1134"/>
              </w:tabs>
              <w:spacing w:before="0" w:after="0"/>
              <w:jc w:val="left"/>
              <w:rPr>
                <w:noProof/>
                <w:szCs w:val="24"/>
              </w:rPr>
            </w:pPr>
          </w:p>
          <w:p>
            <w:pPr>
              <w:tabs>
                <w:tab w:val="left" w:pos="1134"/>
              </w:tabs>
              <w:spacing w:before="0"/>
              <w:rPr>
                <w:noProof/>
                <w:szCs w:val="24"/>
              </w:rPr>
            </w:pPr>
            <w:r>
              <w:rPr>
                <w:noProof/>
              </w:rPr>
              <w:t>Sekretariāta informatīvs dokuments</w:t>
            </w:r>
          </w:p>
        </w:tc>
      </w:tr>
      <w:tr>
        <w:trPr>
          <w:cnfStyle w:val="000000010000" w:firstRow="0" w:lastRow="0" w:firstColumn="0" w:lastColumn="0" w:oddVBand="0" w:evenVBand="0" w:oddHBand="0" w:evenHBand="1" w:firstRowFirstColumn="0" w:firstRowLastColumn="0" w:lastRowFirstColumn="0" w:lastRowLastColumn="0"/>
          <w:trHeight w:val="20"/>
        </w:trPr>
        <w:tc>
          <w:tcPr>
            <w:tcW w:w="2263" w:type="dxa"/>
          </w:tcPr>
          <w:p>
            <w:pPr>
              <w:spacing w:after="0"/>
              <w:jc w:val="left"/>
              <w:rPr>
                <w:rFonts w:eastAsia="Times New Roman"/>
                <w:bCs/>
                <w:noProof/>
                <w:szCs w:val="24"/>
              </w:rPr>
            </w:pPr>
            <w:r>
              <w:rPr>
                <w:noProof/>
              </w:rPr>
              <w:t>G/AG/W/186</w:t>
            </w:r>
          </w:p>
          <w:p>
            <w:pPr>
              <w:spacing w:before="0" w:after="0"/>
              <w:rPr>
                <w:noProof/>
                <w:szCs w:val="24"/>
              </w:rPr>
            </w:pPr>
            <w:r>
              <w:rPr>
                <w:noProof/>
              </w:rPr>
              <w:t>2018. gada 19. septembris</w:t>
            </w:r>
          </w:p>
        </w:tc>
        <w:tc>
          <w:tcPr>
            <w:tcW w:w="6753" w:type="dxa"/>
          </w:tcPr>
          <w:p>
            <w:pPr>
              <w:tabs>
                <w:tab w:val="left" w:pos="1134"/>
              </w:tabs>
              <w:spacing w:after="0"/>
              <w:jc w:val="left"/>
              <w:rPr>
                <w:noProof/>
                <w:szCs w:val="24"/>
              </w:rPr>
            </w:pPr>
            <w:r>
              <w:rPr>
                <w:noProof/>
              </w:rPr>
              <w:t>Bali lēmuma par tarifa kvotu pārvaldību pārskatīšana.</w:t>
            </w:r>
          </w:p>
          <w:p>
            <w:pPr>
              <w:tabs>
                <w:tab w:val="left" w:pos="1134"/>
              </w:tabs>
              <w:spacing w:before="0" w:after="0"/>
              <w:jc w:val="left"/>
              <w:rPr>
                <w:noProof/>
                <w:szCs w:val="24"/>
              </w:rPr>
            </w:pPr>
          </w:p>
          <w:p>
            <w:pPr>
              <w:spacing w:before="0"/>
              <w:rPr>
                <w:noProof/>
                <w:szCs w:val="24"/>
              </w:rPr>
            </w:pPr>
            <w:r>
              <w:rPr>
                <w:noProof/>
              </w:rPr>
              <w:t>Austrālijas paziņojums</w:t>
            </w:r>
          </w:p>
        </w:tc>
      </w:tr>
      <w:tr>
        <w:trPr>
          <w:cnfStyle w:val="000000100000" w:firstRow="0" w:lastRow="0" w:firstColumn="0" w:lastColumn="0" w:oddVBand="0" w:evenVBand="0" w:oddHBand="1" w:evenHBand="0" w:firstRowFirstColumn="0" w:firstRowLastColumn="0" w:lastRowFirstColumn="0" w:lastRowLastColumn="0"/>
          <w:trHeight w:val="20"/>
        </w:trPr>
        <w:tc>
          <w:tcPr>
            <w:tcW w:w="2263" w:type="dxa"/>
          </w:tcPr>
          <w:p>
            <w:pPr>
              <w:spacing w:after="0"/>
              <w:jc w:val="left"/>
              <w:rPr>
                <w:rFonts w:eastAsia="Times New Roman"/>
                <w:bCs/>
                <w:noProof/>
                <w:szCs w:val="24"/>
              </w:rPr>
            </w:pPr>
            <w:r>
              <w:rPr>
                <w:noProof/>
              </w:rPr>
              <w:t>G/AG/W/197</w:t>
            </w:r>
          </w:p>
          <w:p>
            <w:pPr>
              <w:spacing w:before="0" w:after="0"/>
              <w:rPr>
                <w:noProof/>
                <w:szCs w:val="24"/>
              </w:rPr>
            </w:pPr>
            <w:r>
              <w:rPr>
                <w:noProof/>
              </w:rPr>
              <w:t>2019. gada 24. maijs</w:t>
            </w:r>
          </w:p>
        </w:tc>
        <w:tc>
          <w:tcPr>
            <w:tcW w:w="6753" w:type="dxa"/>
          </w:tcPr>
          <w:p>
            <w:pPr>
              <w:tabs>
                <w:tab w:val="left" w:pos="1134"/>
              </w:tabs>
              <w:spacing w:after="0"/>
              <w:jc w:val="left"/>
              <w:rPr>
                <w:noProof/>
                <w:szCs w:val="24"/>
              </w:rPr>
            </w:pPr>
            <w:r>
              <w:rPr>
                <w:noProof/>
              </w:rPr>
              <w:t>Mehānisms nepietiekamas izpildes gadījumā, kas paredzēts Bali lēmumā par tarifa kvotu pārvaldību.</w:t>
            </w:r>
          </w:p>
          <w:p>
            <w:pPr>
              <w:tabs>
                <w:tab w:val="left" w:pos="1134"/>
              </w:tabs>
              <w:spacing w:after="0"/>
              <w:jc w:val="left"/>
              <w:rPr>
                <w:noProof/>
                <w:szCs w:val="24"/>
              </w:rPr>
            </w:pPr>
            <w:r>
              <w:rPr>
                <w:noProof/>
              </w:rPr>
              <w:t>Paziņojums Kērnsas grupas vārdā</w:t>
            </w:r>
          </w:p>
        </w:tc>
      </w:tr>
    </w:tbl>
    <w:p>
      <w:pPr>
        <w:spacing w:before="0" w:after="200" w:line="276" w:lineRule="auto"/>
        <w:jc w:val="left"/>
        <w:rPr>
          <w:b/>
          <w:noProof/>
          <w:szCs w:val="24"/>
        </w:rPr>
      </w:pPr>
      <w:r>
        <w:rPr>
          <w:noProof/>
        </w:rPr>
        <w:br w:type="page"/>
      </w:r>
    </w:p>
    <w:p>
      <w:pPr>
        <w:spacing w:before="0" w:after="240"/>
        <w:jc w:val="center"/>
        <w:rPr>
          <w:b/>
          <w:noProof/>
          <w:szCs w:val="24"/>
        </w:rPr>
      </w:pPr>
      <w:r>
        <w:rPr>
          <w:b/>
          <w:noProof/>
        </w:rPr>
        <w:t>2. pielikums</w:t>
      </w:r>
    </w:p>
    <w:p>
      <w:pPr>
        <w:pStyle w:val="Point0number"/>
        <w:numPr>
          <w:ilvl w:val="0"/>
          <w:numId w:val="2"/>
        </w:numPr>
        <w:rPr>
          <w:noProof/>
        </w:rPr>
      </w:pPr>
      <w:r>
        <w:rPr>
          <w:noProof/>
        </w:rPr>
        <w:t xml:space="preserve">[Termiņš, kas norādīts Bali lēmuma par TKP 14. punktā un 2. zemsvītras piezīmē un kas jāievēro lēmumam attiecībā uz A pielikuma 4. punktu, tiek pagarināts līdz 2021. gada beigām vai līdz 13. Ministru konferencei (MC13) – atkarībā no tā, kas notiek vispirms.] [Lai nodrošinātu lielāku noteiktību, rīkojas šādi: ja ne Ministru konference, ne Vispārējā padome pirms 2021. gada beigām nenolemj pagarināt Bali lēmuma par TKP (tā pašreizējā vai grozītā veidā) A pielikuma 4. punkta piemērošanu, tad, ievērojot minētā lēmuma 15. punktu, minēto A pielikuma 4. punktu vairs nepiemēro no 2022. gada 1. janvāra [attiecībā uz B pielikumā minētajiem dalībniekiem, kā arī visiem dalībniekiem, kuri līdz 2021. gada beigām iesniedz pieprasījumu iekļaut tos B pielikumā].] </w:t>
      </w:r>
    </w:p>
    <w:p>
      <w:pPr>
        <w:pStyle w:val="Point0number"/>
        <w:numPr>
          <w:ilvl w:val="0"/>
          <w:numId w:val="2"/>
        </w:numPr>
        <w:rPr>
          <w:noProof/>
        </w:rPr>
      </w:pPr>
      <w:r>
        <w:rPr>
          <w:noProof/>
        </w:rPr>
        <w:t>Pagaidu kārtā Lauksaimniecības komiteja (“Komiteja”) turpinās apspriesties par A pielikuma 4. punkta piemērošanu. [Lai nodrošinātu lielāku noteiktību, kamēr risinās šī diskusija, Bali lēmumu par TKP un tā pielikumus saglabā.]</w:t>
      </w:r>
    </w:p>
    <w:p>
      <w:pPr>
        <w:pStyle w:val="Point0number"/>
        <w:numPr>
          <w:ilvl w:val="0"/>
          <w:numId w:val="2"/>
        </w:numPr>
        <w:rPr>
          <w:noProof/>
        </w:rPr>
      </w:pPr>
      <w:r>
        <w:rPr>
          <w:noProof/>
        </w:rPr>
        <w:t>Komiteja līdz 2021. gada beigām sniedz Vispārējai padomei ieteikumus par [A pielikuma] 4. punkta piemērošanu [saskaņā ar 14. punktu].</w:t>
      </w:r>
    </w:p>
    <w:p>
      <w:pPr>
        <w:pStyle w:val="Point0number"/>
        <w:numPr>
          <w:ilvl w:val="0"/>
          <w:numId w:val="2"/>
        </w:numPr>
        <w:rPr>
          <w:noProof/>
        </w:rPr>
      </w:pPr>
      <w:r>
        <w:rPr>
          <w:noProof/>
        </w:rPr>
        <w:t>Atzīstot to, cik svarīga ir uzlabota tarifa kvotu pārvaldības un to izpildes līmeņu pārredzamība, kā arī to, ka ir svarīgi, lai dalībnieki laikus iesniegtu paziņojumus, un ievērojot to, ka tiešsaistes paziņošanas sistēmai lauksaimniecības jomā vajadzētu būt tādai, ar ko panāk labāku saskaņošanu, Komiteja vienojas par turpmāko:</w:t>
      </w:r>
    </w:p>
    <w:p>
      <w:pPr>
        <w:pStyle w:val="Point1letter"/>
        <w:rPr>
          <w:noProof/>
        </w:rPr>
      </w:pPr>
      <w:r>
        <w:rPr>
          <w:noProof/>
        </w:rPr>
        <w:t xml:space="preserve">Sekretariāts sagatavos sarakstu par dalībnieku ievēroto tarifa kvotu paziņošanas praksi, tostarp gadījumos, kad sarakstos iekļauta tarifa kvota nav tikusi atvērta. </w:t>
      </w:r>
    </w:p>
    <w:p>
      <w:pPr>
        <w:pStyle w:val="Point1letter"/>
        <w:rPr>
          <w:noProof/>
        </w:rPr>
      </w:pPr>
      <w:r>
        <w:rPr>
          <w:noProof/>
        </w:rPr>
        <w:t xml:space="preserve">Komiteja sāks diskusijas par dalībnieku ievērotās tarifa kvotu paziņošanas prakses saskaņošanu, ieskaitot tarifa kvotu izpildes līmeņus.  </w:t>
      </w:r>
    </w:p>
    <w:p>
      <w:pPr>
        <w:pStyle w:val="Point1letter"/>
        <w:rPr>
          <w:noProof/>
        </w:rPr>
      </w:pPr>
      <w:r>
        <w:rPr>
          <w:noProof/>
        </w:rPr>
        <w:t>Gadījumiem, kad sarakstos iekļautās tarifa kvotas nav tikušas atvērtas, Komiteja mudina dalībniekus iekļaut skaidrojumu to paziņojumos, kas noformēti MA:2 tabulas veidā.</w:t>
      </w:r>
    </w:p>
    <w:p>
      <w:pPr>
        <w:pStyle w:val="Point1letter"/>
        <w:rPr>
          <w:noProof/>
        </w:rPr>
      </w:pPr>
      <w:r>
        <w:rPr>
          <w:noProof/>
        </w:rPr>
        <w:t>Sekretariāts regulāri atjauninās to informāciju par tarifa kvotu pārvaldību un izpildes līmeņiem, kura iekļauta dokumentā G/AG/W/183</w:t>
      </w:r>
      <w:r>
        <w:rPr>
          <w:rStyle w:val="FootnoteReference"/>
          <w:noProof/>
        </w:rPr>
        <w:footnoteReference w:id="10"/>
      </w:r>
      <w:r>
        <w:rPr>
          <w:noProof/>
        </w:rPr>
        <w:t>, pamatojoties uz atjaunināto informāciju saistībā ar dalībnieku paziņotajiem izpildes līmeņiem, kā arī par jautājumiem, kas attiecībā uz izpildes līmeņiem radušies Komitejā.</w:t>
      </w:r>
    </w:p>
    <w:p>
      <w:pPr>
        <w:pStyle w:val="Point1letter"/>
        <w:rPr>
          <w:noProof/>
        </w:rPr>
      </w:pPr>
      <w:r>
        <w:rPr>
          <w:noProof/>
        </w:rPr>
        <w:t>Komiteja, pamatojoties uz dalībnieku sniegto informāciju, izskatīs iemeslus, kuru dēļ mehānisms nepietiekamas izpildes gadījumā vēl nav likts lietā.</w:t>
      </w:r>
    </w:p>
    <w:p>
      <w:pPr>
        <w:pStyle w:val="Point0number"/>
        <w:rPr>
          <w:noProof/>
        </w:rPr>
      </w:pPr>
      <w:r>
        <w:rPr>
          <w:noProof/>
        </w:rPr>
        <w:t xml:space="preserve">Komiteja piekrīt Bali lēmuma par TKP darbību regulāri pārskatīt reizi trijos gados pēc tam, kad būs pabeigta šī pārskatīšana. Šādās regulārās pārskatīšanas reizēs ietilps </w:t>
      </w:r>
      <w:r>
        <w:rPr>
          <w:i/>
          <w:noProof/>
        </w:rPr>
        <w:t>inter alia</w:t>
      </w:r>
      <w:r>
        <w:rPr>
          <w:noProof/>
        </w:rPr>
        <w:t xml:space="preserve"> arī analīze, kuru, pamatojoties uz dalībnieku iesniegto informāciju, veiks attiecībā uz to, kā dalībnieki izmanto mehānismu nepietiekamas izpildes gadījumā.</w:t>
      </w:r>
    </w:p>
    <w:p>
      <w:pPr>
        <w:spacing w:before="0" w:after="0"/>
        <w:jc w:val="center"/>
        <w:rPr>
          <w:noProof/>
          <w:szCs w:val="24"/>
        </w:rPr>
      </w:pPr>
      <w:r>
        <w:rPr>
          <w:b/>
          <w:noProof/>
        </w:rPr>
        <w:t>__________</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firstLine="0"/>
      </w:pPr>
      <w:r>
        <w:rPr>
          <w:rStyle w:val="FootnoteReference"/>
          <w:szCs w:val="16"/>
        </w:rPr>
        <w:footnoteRef/>
      </w:r>
      <w:r>
        <w:tab/>
        <w:t>WT/MIN(13)/39 13. punkts. Līdz šim vēl nav ziņots par to, ka būtu vajadzējis likt lietā mehānismu nepietiekamas izpildes gadījumā.</w:t>
      </w:r>
    </w:p>
  </w:footnote>
  <w:footnote w:id="2">
    <w:p>
      <w:pPr>
        <w:pStyle w:val="FootnoteText"/>
        <w:ind w:firstLine="0"/>
      </w:pPr>
      <w:r>
        <w:rPr>
          <w:rStyle w:val="FootnoteReference"/>
          <w:szCs w:val="16"/>
        </w:rPr>
        <w:footnoteRef/>
      </w:r>
      <w:r>
        <w:tab/>
        <w:t>Sk. dokumenta G/AG/R/86 2.2.1. iedaļu.</w:t>
      </w:r>
    </w:p>
  </w:footnote>
  <w:footnote w:id="3">
    <w:p>
      <w:pPr>
        <w:pStyle w:val="FootnoteText"/>
        <w:ind w:firstLine="0"/>
      </w:pPr>
      <w:r>
        <w:rPr>
          <w:rStyle w:val="FootnoteReference"/>
          <w:szCs w:val="16"/>
        </w:rPr>
        <w:footnoteRef/>
      </w:r>
      <w:r>
        <w:tab/>
        <w:t xml:space="preserve">Sk. dokumenta G/AG/R/87 2.5.1. iedaļu. </w:t>
      </w:r>
    </w:p>
  </w:footnote>
  <w:footnote w:id="4">
    <w:p>
      <w:pPr>
        <w:pStyle w:val="FootnoteText"/>
        <w:ind w:firstLine="0"/>
      </w:pPr>
      <w:r>
        <w:rPr>
          <w:rStyle w:val="FootnoteReference"/>
        </w:rPr>
        <w:footnoteRef/>
      </w:r>
      <w:r>
        <w:tab/>
        <w:t xml:space="preserve">Lauksaimniecības komiteja 2019. gada jūnija sanāksmē vienojās pagarināt termiņu līdz savai 2019. gada oktobra sanāksmei, lai pabeigtu pārskatīšanas ziņojumu.  </w:t>
      </w:r>
    </w:p>
  </w:footnote>
  <w:footnote w:id="5">
    <w:p>
      <w:pPr>
        <w:pStyle w:val="FootnoteText"/>
        <w:ind w:firstLine="0"/>
      </w:pPr>
      <w:r>
        <w:rPr>
          <w:rStyle w:val="FootnoteReference"/>
          <w:szCs w:val="16"/>
        </w:rPr>
        <w:footnoteRef/>
      </w:r>
      <w:r>
        <w:tab/>
        <w:t>G/AG/W/183.</w:t>
      </w:r>
    </w:p>
  </w:footnote>
  <w:footnote w:id="6">
    <w:p>
      <w:pPr>
        <w:pStyle w:val="FootnoteText"/>
        <w:ind w:firstLine="0"/>
        <w:rPr>
          <w:vertAlign w:val="superscript"/>
        </w:rPr>
      </w:pPr>
      <w:r>
        <w:rPr>
          <w:rStyle w:val="FootnoteReference"/>
          <w:szCs w:val="16"/>
        </w:rPr>
        <w:footnoteRef/>
      </w:r>
      <w:r>
        <w:tab/>
        <w:t>Starp dalībniekiem nav panākta vienošanās par šiem aspektiem un attieksmi, kādai pret tiem jābūt ieteikumos.</w:t>
      </w:r>
    </w:p>
  </w:footnote>
  <w:footnote w:id="7">
    <w:p>
      <w:pPr>
        <w:pStyle w:val="FootnoteText"/>
        <w:ind w:firstLine="0"/>
      </w:pPr>
      <w:r>
        <w:rPr>
          <w:rStyle w:val="FootnoteReference"/>
        </w:rPr>
        <w:footnoteRef/>
      </w:r>
      <w:r>
        <w:tab/>
        <w:t>Bali Ministru lēmuma par TKP 9. punkts attiecas uz pārdales procesu. Turklāt Bali lēmuma A pielikuma 3. un 5. zemsvītras piezīme attiecas uz to dalībnieku tiesībām, kuri saņem piešķīrumu pa valstīm, it īpaši saistībā ar mehānismu nepietiekamas izpildes gadījumā.</w:t>
      </w:r>
    </w:p>
  </w:footnote>
  <w:footnote w:id="8">
    <w:p>
      <w:pPr>
        <w:pStyle w:val="FootnoteText"/>
      </w:pPr>
      <w:r>
        <w:rPr>
          <w:rStyle w:val="FootnoteReference"/>
        </w:rPr>
        <w:footnoteRef/>
      </w:r>
      <w:r>
        <w:tab/>
        <w:t>2018. gada 9. februāra dokuments G/AG/W/171.</w:t>
      </w:r>
    </w:p>
  </w:footnote>
  <w:footnote w:id="9">
    <w:p>
      <w:pPr>
        <w:pStyle w:val="FootnoteText"/>
      </w:pPr>
      <w:r>
        <w:rPr>
          <w:rStyle w:val="FootnoteReference"/>
        </w:rPr>
        <w:footnoteRef/>
      </w:r>
      <w:r>
        <w:tab/>
        <w:t>2013. gada 11. decembra dokumenti WT/MIN (13)/39 un WT/L/914</w:t>
      </w:r>
      <w:r>
        <w:rPr>
          <w:rStyle w:val="FootnoteReference"/>
          <w:szCs w:val="16"/>
        </w:rPr>
        <w:t xml:space="preserve"> </w:t>
      </w:r>
      <w:r>
        <w:t>.</w:t>
      </w:r>
    </w:p>
  </w:footnote>
  <w:footnote w:id="10">
    <w:p>
      <w:pPr>
        <w:pStyle w:val="FootnoteText"/>
      </w:pPr>
      <w:r>
        <w:rPr>
          <w:rStyle w:val="FootnoteReference"/>
        </w:rPr>
        <w:footnoteRef/>
      </w:r>
      <w:r>
        <w:tab/>
        <w:t>Sekretariāta informatīvajā piezīmē var īpaši tikt iekļauts to tarifa kvotu saraksts, attiecībā uz kurām nav iesniegts MA:2 tabulas veidā noformēts paziņojums, vai ja izpildes līmenis ir zemāks par 65 %.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73C979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BC41FD0"/>
    <w:lvl w:ilvl="0">
      <w:start w:val="1"/>
      <w:numFmt w:val="decimal"/>
      <w:pStyle w:val="ListNumber3"/>
      <w:lvlText w:val="%1."/>
      <w:lvlJc w:val="left"/>
      <w:pPr>
        <w:tabs>
          <w:tab w:val="num" w:pos="926"/>
        </w:tabs>
        <w:ind w:left="926" w:hanging="360"/>
      </w:pPr>
    </w:lvl>
  </w:abstractNum>
  <w:abstractNum w:abstractNumId="2">
    <w:nsid w:val="FFFFFF7F"/>
    <w:multiLevelType w:val="singleLevel"/>
    <w:tmpl w:val="1BEE03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55EEED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7C0383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79A0C9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6E8B336"/>
    <w:lvl w:ilvl="0">
      <w:start w:val="1"/>
      <w:numFmt w:val="decimal"/>
      <w:pStyle w:val="ListNumber"/>
      <w:lvlText w:val="%1."/>
      <w:lvlJc w:val="left"/>
      <w:pPr>
        <w:tabs>
          <w:tab w:val="num" w:pos="360"/>
        </w:tabs>
        <w:ind w:left="360" w:hanging="360"/>
      </w:pPr>
    </w:lvl>
  </w:abstractNum>
  <w:abstractNum w:abstractNumId="7">
    <w:nsid w:val="FFFFFF89"/>
    <w:multiLevelType w:val="singleLevel"/>
    <w:tmpl w:val="F34060F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7551E12"/>
    <w:multiLevelType w:val="multilevel"/>
    <w:tmpl w:val="CC52177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1134"/>
        </w:tabs>
        <w:ind w:left="1134" w:hanging="567"/>
      </w:pPr>
      <w:rPr>
        <w:rFonts w:hint="default"/>
      </w:rPr>
    </w:lvl>
    <w:lvl w:ilvl="8">
      <w:start w:val="1"/>
      <w:numFmt w:val="lowerRoman"/>
      <w:lvlText w:val="%9."/>
      <w:lvlJc w:val="left"/>
      <w:pPr>
        <w:tabs>
          <w:tab w:val="num" w:pos="1701"/>
        </w:tabs>
        <w:ind w:left="1701" w:hanging="567"/>
      </w:pPr>
      <w:rPr>
        <w:rFonts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9"/>
  </w:num>
  <w:num w:numId="13">
    <w:abstractNumId w:val="12"/>
  </w:num>
  <w:num w:numId="14">
    <w:abstractNumId w:val="21"/>
  </w:num>
  <w:num w:numId="15">
    <w:abstractNumId w:val="11"/>
  </w:num>
  <w:num w:numId="16">
    <w:abstractNumId w:val="13"/>
  </w:num>
  <w:num w:numId="17">
    <w:abstractNumId w:val="9"/>
  </w:num>
  <w:num w:numId="18">
    <w:abstractNumId w:val="20"/>
  </w:num>
  <w:num w:numId="19">
    <w:abstractNumId w:val="8"/>
  </w:num>
  <w:num w:numId="20">
    <w:abstractNumId w:val="14"/>
  </w:num>
  <w:num w:numId="21">
    <w:abstractNumId w:val="17"/>
  </w:num>
  <w:num w:numId="22">
    <w:abstractNumId w:val="18"/>
  </w:num>
  <w:num w:numId="23">
    <w:abstractNumId w:val="10"/>
  </w:num>
  <w:num w:numId="24">
    <w:abstractNumId w:val="1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0-28 15:56:3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ACCOMPAGNANT" w:val="dokumentam"/>
    <w:docVar w:name="LW_ACCOMPAGNANT.CP" w:val="dokumentam"/>
    <w:docVar w:name="LW_ANNEX_NBR_FIRST" w:val="1"/>
    <w:docVar w:name="LW_ANNEX_NBR_LAST" w:val="1"/>
    <w:docVar w:name="LW_ANNEX_UNIQUE" w:val="1"/>
    <w:docVar w:name="LW_CORRIGENDUM" w:val="&lt;UNUSED&gt;"/>
    <w:docVar w:name="LW_COVERPAGE_EXISTS" w:val="True"/>
    <w:docVar w:name="LW_COVERPAGE_GUID" w:val="08BC68BB-8DE2-4276-BF08-97DE8F217A6C"/>
    <w:docVar w:name="LW_COVERPAGE_TYPE" w:val="1"/>
    <w:docVar w:name="LW_CROSSREFERENCE" w:val="&lt;UNUSED&gt;"/>
    <w:docVar w:name="LW_DocType" w:val="ANNEX"/>
    <w:docVar w:name="LW_EMISSION" w:val="30.10.2019"/>
    <w:docVar w:name="LW_EMISSION_ISODATE" w:val="2019-10-30"/>
    <w:docVar w:name="LW_EMISSION_LOCATION" w:val="BRX"/>
    <w:docVar w:name="LW_EMISSION_PREFIX" w:val="Briselē, "/>
    <w:docVar w:name="LW_EMISSION_SUFFIX" w:val="."/>
    <w:docVar w:name="LW_ID_DOCSTRUCTURE" w:val="COM/ANNEX"/>
    <w:docVar w:name="LW_ID_DOCTYPE" w:val="SG-017"/>
    <w:docVar w:name="LW_LANGUE" w:val="LV"/>
    <w:docVar w:name="LW_LEVEL_OF_SENSITIVITY" w:val="Standard treatment"/>
    <w:docVar w:name="LW_NOM.INST" w:val="EIROPAS KOMISIJA"/>
    <w:docVar w:name="LW_NOM.INST_JOINTDOC" w:val="&lt;EMPTY&gt;"/>
    <w:docVar w:name="LW_OBJETACTEPRINCIPAL" w:val="par nost\u257?ju, kas Eiropas Savien\u299?bas v\u257?rd\u257? j\u257?ie\u326?em Pasaules Tirdzniec\u299?bas organiz\u257?cijas Visp\u257?r\u275?j\u257? padom\u275?"/>
    <w:docVar w:name="LW_OBJETACTEPRINCIPAL.CP" w:val="par nost\u257?ju, kas Eiropas Savien\u299?bas v\u257?rd\u257? j\u257?ie\u326?em Pasaules Tirdzniec\u299?bas organiz\u257?cijas Visp\u257?r\u275?j\u257? padom\u275?"/>
    <w:docVar w:name="LW_PART_NBR" w:val="1"/>
    <w:docVar w:name="LW_PART_NBR_TOTAL" w:val="1"/>
    <w:docVar w:name="LW_REF.INST.NEW" w:val="COM"/>
    <w:docVar w:name="LW_REF.INST.NEW_ADOPTED" w:val="final"/>
    <w:docVar w:name="LW_REF.INST.NEW_TEXT" w:val="(2019) 5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IELIKUMS"/>
    <w:docVar w:name="LW_TYPE.DOC.CP" w:val="PIELIKUMS"/>
    <w:docVar w:name="LW_TYPEACTEPRINCIPAL" w:val="Priek\u353?likums_x000b__x000b_PADOMES L\u274?MUMS"/>
    <w:docVar w:name="LW_TYPEACTEPRINCIPAL.CP" w:val="Priek\u353?likums_x000b__x000b_PADOMES L\u274?MUMS"/>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1" w:qFormat="1"/>
    <w:lsdException w:name="Body Text 3"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paragraph" w:styleId="Heading5">
    <w:name w:val="heading 5"/>
    <w:basedOn w:val="Normal"/>
    <w:next w:val="Heading6"/>
    <w:link w:val="Heading5Char"/>
    <w:uiPriority w:val="2"/>
    <w:qFormat/>
    <w:pPr>
      <w:keepNext/>
      <w:keepLines/>
      <w:spacing w:before="0" w:after="240"/>
      <w:outlineLvl w:val="4"/>
    </w:pPr>
    <w:rPr>
      <w:rFonts w:ascii="Verdana" w:eastAsiaTheme="majorEastAsia" w:hAnsi="Verdana" w:cstheme="majorBidi"/>
      <w:b/>
      <w:color w:val="006283"/>
      <w:sz w:val="18"/>
    </w:rPr>
  </w:style>
  <w:style w:type="paragraph" w:styleId="Heading6">
    <w:name w:val="heading 6"/>
    <w:basedOn w:val="Normal"/>
    <w:next w:val="BodyText"/>
    <w:link w:val="Heading6Char"/>
    <w:uiPriority w:val="2"/>
    <w:qFormat/>
    <w:pPr>
      <w:keepNext/>
      <w:keepLines/>
      <w:spacing w:before="0" w:after="240"/>
      <w:outlineLvl w:val="5"/>
    </w:pPr>
    <w:rPr>
      <w:rFonts w:ascii="Verdana" w:eastAsiaTheme="majorEastAsia" w:hAnsi="Verdana" w:cstheme="majorBidi"/>
      <w:b/>
      <w:iCs/>
      <w:color w:val="006283"/>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customStyle="1" w:styleId="Heading5Char">
    <w:name w:val="Heading 5 Char"/>
    <w:basedOn w:val="DefaultParagraphFont"/>
    <w:link w:val="Heading5"/>
    <w:uiPriority w:val="2"/>
    <w:rPr>
      <w:rFonts w:ascii="Verdana" w:eastAsiaTheme="majorEastAsia" w:hAnsi="Verdana" w:cstheme="majorBidi"/>
      <w:b/>
      <w:color w:val="006283"/>
      <w:sz w:val="18"/>
      <w:lang w:val="lv-LV"/>
    </w:rPr>
  </w:style>
  <w:style w:type="character" w:customStyle="1" w:styleId="Heading6Char">
    <w:name w:val="Heading 6 Char"/>
    <w:basedOn w:val="DefaultParagraphFont"/>
    <w:link w:val="Heading6"/>
    <w:uiPriority w:val="2"/>
    <w:rPr>
      <w:rFonts w:ascii="Verdana" w:eastAsiaTheme="majorEastAsia" w:hAnsi="Verdana" w:cstheme="majorBidi"/>
      <w:b/>
      <w:iCs/>
      <w:color w:val="006283"/>
      <w:sz w:val="18"/>
      <w:lang w:val="lv-LV"/>
    </w:rPr>
  </w:style>
  <w:style w:type="paragraph" w:styleId="BodyText">
    <w:name w:val="Body Text"/>
    <w:basedOn w:val="Normal"/>
    <w:link w:val="BodyTextChar"/>
    <w:uiPriority w:val="1"/>
    <w:qFormat/>
    <w:pPr>
      <w:spacing w:before="0" w:after="240"/>
    </w:pPr>
    <w:rPr>
      <w:rFonts w:ascii="Verdana" w:hAnsi="Verdana" w:cstheme="minorBidi"/>
      <w:sz w:val="18"/>
    </w:rPr>
  </w:style>
  <w:style w:type="character" w:customStyle="1" w:styleId="BodyTextChar">
    <w:name w:val="Body Text Char"/>
    <w:basedOn w:val="DefaultParagraphFont"/>
    <w:link w:val="BodyText"/>
    <w:uiPriority w:val="1"/>
    <w:rPr>
      <w:rFonts w:ascii="Verdana" w:hAnsi="Verdana"/>
      <w:sz w:val="18"/>
      <w:lang w:val="lv-LV"/>
    </w:rPr>
  </w:style>
  <w:style w:type="paragraph" w:styleId="BodyText2">
    <w:name w:val="Body Text 2"/>
    <w:basedOn w:val="Normal"/>
    <w:link w:val="BodyText2Char"/>
    <w:uiPriority w:val="1"/>
    <w:qFormat/>
    <w:pPr>
      <w:tabs>
        <w:tab w:val="left" w:pos="1134"/>
      </w:tabs>
      <w:spacing w:before="0" w:after="240"/>
      <w:ind w:left="1134" w:hanging="567"/>
    </w:pPr>
    <w:rPr>
      <w:rFonts w:ascii="Verdana" w:hAnsi="Verdana" w:cstheme="minorBidi"/>
      <w:sz w:val="18"/>
    </w:rPr>
  </w:style>
  <w:style w:type="character" w:customStyle="1" w:styleId="BodyText2Char">
    <w:name w:val="Body Text 2 Char"/>
    <w:basedOn w:val="DefaultParagraphFont"/>
    <w:link w:val="BodyText2"/>
    <w:uiPriority w:val="1"/>
    <w:rPr>
      <w:rFonts w:ascii="Verdana" w:hAnsi="Verdana"/>
      <w:sz w:val="18"/>
      <w:lang w:val="lv-LV"/>
    </w:rPr>
  </w:style>
  <w:style w:type="paragraph" w:styleId="BodyText3">
    <w:name w:val="Body Text 3"/>
    <w:basedOn w:val="Normal"/>
    <w:link w:val="BodyText3Char"/>
    <w:uiPriority w:val="1"/>
    <w:qFormat/>
    <w:pPr>
      <w:tabs>
        <w:tab w:val="num" w:pos="1701"/>
      </w:tabs>
      <w:spacing w:before="0" w:after="240"/>
      <w:ind w:left="1701" w:hanging="567"/>
    </w:pPr>
    <w:rPr>
      <w:rFonts w:ascii="Verdana" w:hAnsi="Verdana" w:cstheme="minorBidi"/>
      <w:sz w:val="18"/>
      <w:szCs w:val="16"/>
    </w:rPr>
  </w:style>
  <w:style w:type="character" w:customStyle="1" w:styleId="BodyText3Char">
    <w:name w:val="Body Text 3 Char"/>
    <w:basedOn w:val="DefaultParagraphFont"/>
    <w:link w:val="BodyText3"/>
    <w:uiPriority w:val="1"/>
    <w:rPr>
      <w:rFonts w:ascii="Verdana" w:hAnsi="Verdana"/>
      <w:sz w:val="18"/>
      <w:szCs w:val="16"/>
      <w:lang w:val="lv-LV"/>
    </w:rPr>
  </w:style>
  <w:style w:type="numbering" w:customStyle="1" w:styleId="LegalHeadings">
    <w:name w:val="LegalHeadings"/>
    <w:uiPriority w:val="99"/>
    <w:pPr>
      <w:numPr>
        <w:numId w:val="1"/>
      </w:numPr>
    </w:pPr>
  </w:style>
  <w:style w:type="table" w:customStyle="1" w:styleId="WTOTable1">
    <w:name w:val="WTOTable1"/>
    <w:basedOn w:val="TableNormal"/>
    <w:uiPriority w:val="99"/>
    <w:pPr>
      <w:spacing w:after="0" w:line="240" w:lineRule="auto"/>
    </w:pPr>
    <w:rPr>
      <w:rFonts w:ascii="Verdana" w:eastAsia="Calibri" w:hAnsi="Verdana" w:cs="Times New Roman"/>
      <w:sz w:val="16"/>
      <w:szCs w:val="20"/>
      <w:lang w:val="fr-FR"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Verdana" w:hAnsi="Verdana"/>
      <w:sz w:val="20"/>
      <w:szCs w:val="20"/>
      <w:lang w:val="lv-LV"/>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a">
    <w:name w:val="$"/>
    <w:basedOn w:val="Point1"/>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1" w:qFormat="1"/>
    <w:lsdException w:name="Body Text 3"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paragraph" w:styleId="Heading5">
    <w:name w:val="heading 5"/>
    <w:basedOn w:val="Normal"/>
    <w:next w:val="Heading6"/>
    <w:link w:val="Heading5Char"/>
    <w:uiPriority w:val="2"/>
    <w:qFormat/>
    <w:pPr>
      <w:keepNext/>
      <w:keepLines/>
      <w:spacing w:before="0" w:after="240"/>
      <w:outlineLvl w:val="4"/>
    </w:pPr>
    <w:rPr>
      <w:rFonts w:ascii="Verdana" w:eastAsiaTheme="majorEastAsia" w:hAnsi="Verdana" w:cstheme="majorBidi"/>
      <w:b/>
      <w:color w:val="006283"/>
      <w:sz w:val="18"/>
    </w:rPr>
  </w:style>
  <w:style w:type="paragraph" w:styleId="Heading6">
    <w:name w:val="heading 6"/>
    <w:basedOn w:val="Normal"/>
    <w:next w:val="BodyText"/>
    <w:link w:val="Heading6Char"/>
    <w:uiPriority w:val="2"/>
    <w:qFormat/>
    <w:pPr>
      <w:keepNext/>
      <w:keepLines/>
      <w:spacing w:before="0" w:after="240"/>
      <w:outlineLvl w:val="5"/>
    </w:pPr>
    <w:rPr>
      <w:rFonts w:ascii="Verdana" w:eastAsiaTheme="majorEastAsia" w:hAnsi="Verdana" w:cstheme="majorBidi"/>
      <w:b/>
      <w:iCs/>
      <w:color w:val="006283"/>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customStyle="1" w:styleId="Heading5Char">
    <w:name w:val="Heading 5 Char"/>
    <w:basedOn w:val="DefaultParagraphFont"/>
    <w:link w:val="Heading5"/>
    <w:uiPriority w:val="2"/>
    <w:rPr>
      <w:rFonts w:ascii="Verdana" w:eastAsiaTheme="majorEastAsia" w:hAnsi="Verdana" w:cstheme="majorBidi"/>
      <w:b/>
      <w:color w:val="006283"/>
      <w:sz w:val="18"/>
      <w:lang w:val="lv-LV"/>
    </w:rPr>
  </w:style>
  <w:style w:type="character" w:customStyle="1" w:styleId="Heading6Char">
    <w:name w:val="Heading 6 Char"/>
    <w:basedOn w:val="DefaultParagraphFont"/>
    <w:link w:val="Heading6"/>
    <w:uiPriority w:val="2"/>
    <w:rPr>
      <w:rFonts w:ascii="Verdana" w:eastAsiaTheme="majorEastAsia" w:hAnsi="Verdana" w:cstheme="majorBidi"/>
      <w:b/>
      <w:iCs/>
      <w:color w:val="006283"/>
      <w:sz w:val="18"/>
      <w:lang w:val="lv-LV"/>
    </w:rPr>
  </w:style>
  <w:style w:type="paragraph" w:styleId="BodyText">
    <w:name w:val="Body Text"/>
    <w:basedOn w:val="Normal"/>
    <w:link w:val="BodyTextChar"/>
    <w:uiPriority w:val="1"/>
    <w:qFormat/>
    <w:pPr>
      <w:spacing w:before="0" w:after="240"/>
    </w:pPr>
    <w:rPr>
      <w:rFonts w:ascii="Verdana" w:hAnsi="Verdana" w:cstheme="minorBidi"/>
      <w:sz w:val="18"/>
    </w:rPr>
  </w:style>
  <w:style w:type="character" w:customStyle="1" w:styleId="BodyTextChar">
    <w:name w:val="Body Text Char"/>
    <w:basedOn w:val="DefaultParagraphFont"/>
    <w:link w:val="BodyText"/>
    <w:uiPriority w:val="1"/>
    <w:rPr>
      <w:rFonts w:ascii="Verdana" w:hAnsi="Verdana"/>
      <w:sz w:val="18"/>
      <w:lang w:val="lv-LV"/>
    </w:rPr>
  </w:style>
  <w:style w:type="paragraph" w:styleId="BodyText2">
    <w:name w:val="Body Text 2"/>
    <w:basedOn w:val="Normal"/>
    <w:link w:val="BodyText2Char"/>
    <w:uiPriority w:val="1"/>
    <w:qFormat/>
    <w:pPr>
      <w:tabs>
        <w:tab w:val="left" w:pos="1134"/>
      </w:tabs>
      <w:spacing w:before="0" w:after="240"/>
      <w:ind w:left="1134" w:hanging="567"/>
    </w:pPr>
    <w:rPr>
      <w:rFonts w:ascii="Verdana" w:hAnsi="Verdana" w:cstheme="minorBidi"/>
      <w:sz w:val="18"/>
    </w:rPr>
  </w:style>
  <w:style w:type="character" w:customStyle="1" w:styleId="BodyText2Char">
    <w:name w:val="Body Text 2 Char"/>
    <w:basedOn w:val="DefaultParagraphFont"/>
    <w:link w:val="BodyText2"/>
    <w:uiPriority w:val="1"/>
    <w:rPr>
      <w:rFonts w:ascii="Verdana" w:hAnsi="Verdana"/>
      <w:sz w:val="18"/>
      <w:lang w:val="lv-LV"/>
    </w:rPr>
  </w:style>
  <w:style w:type="paragraph" w:styleId="BodyText3">
    <w:name w:val="Body Text 3"/>
    <w:basedOn w:val="Normal"/>
    <w:link w:val="BodyText3Char"/>
    <w:uiPriority w:val="1"/>
    <w:qFormat/>
    <w:pPr>
      <w:tabs>
        <w:tab w:val="num" w:pos="1701"/>
      </w:tabs>
      <w:spacing w:before="0" w:after="240"/>
      <w:ind w:left="1701" w:hanging="567"/>
    </w:pPr>
    <w:rPr>
      <w:rFonts w:ascii="Verdana" w:hAnsi="Verdana" w:cstheme="minorBidi"/>
      <w:sz w:val="18"/>
      <w:szCs w:val="16"/>
    </w:rPr>
  </w:style>
  <w:style w:type="character" w:customStyle="1" w:styleId="BodyText3Char">
    <w:name w:val="Body Text 3 Char"/>
    <w:basedOn w:val="DefaultParagraphFont"/>
    <w:link w:val="BodyText3"/>
    <w:uiPriority w:val="1"/>
    <w:rPr>
      <w:rFonts w:ascii="Verdana" w:hAnsi="Verdana"/>
      <w:sz w:val="18"/>
      <w:szCs w:val="16"/>
      <w:lang w:val="lv-LV"/>
    </w:rPr>
  </w:style>
  <w:style w:type="numbering" w:customStyle="1" w:styleId="LegalHeadings">
    <w:name w:val="LegalHeadings"/>
    <w:uiPriority w:val="99"/>
    <w:pPr>
      <w:numPr>
        <w:numId w:val="1"/>
      </w:numPr>
    </w:pPr>
  </w:style>
  <w:style w:type="table" w:customStyle="1" w:styleId="WTOTable1">
    <w:name w:val="WTOTable1"/>
    <w:basedOn w:val="TableNormal"/>
    <w:uiPriority w:val="99"/>
    <w:pPr>
      <w:spacing w:after="0" w:line="240" w:lineRule="auto"/>
    </w:pPr>
    <w:rPr>
      <w:rFonts w:ascii="Verdana" w:eastAsia="Calibri" w:hAnsi="Verdana" w:cs="Times New Roman"/>
      <w:sz w:val="16"/>
      <w:szCs w:val="20"/>
      <w:lang w:val="fr-FR"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Verdana" w:hAnsi="Verdana"/>
      <w:sz w:val="20"/>
      <w:szCs w:val="20"/>
      <w:lang w:val="lv-LV"/>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a">
    <w:name w:val="$"/>
    <w:basedOn w:val="Point1"/>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6</Pages>
  <Words>1205</Words>
  <Characters>8122</Characters>
  <Application>Microsoft Office Word</Application>
  <DocSecurity>0</DocSecurity>
  <Lines>176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BERNER Christiane (AGRI)</dc:creator>
  <cp:keywords/>
  <dc:description/>
  <cp:lastModifiedBy>WES PDFC Administrator</cp:lastModifiedBy>
  <cp:revision>9</cp:revision>
  <dcterms:created xsi:type="dcterms:W3CDTF">2019-10-28T08:55:00Z</dcterms:created>
  <dcterms:modified xsi:type="dcterms:W3CDTF">2019-10-28T14:56:00Z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