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5D9D269-D031-4095-9B0D-C04D501C6C73"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szCs w:val="24"/>
          <w:u w:val="none"/>
        </w:rPr>
      </w:pPr>
      <w:bookmarkStart w:id="0" w:name="_GoBack"/>
      <w:bookmarkEnd w:id="0"/>
      <w:r>
        <w:rPr>
          <w:noProof/>
          <w:u w:val="none"/>
        </w:rPr>
        <w:lastRenderedPageBreak/>
        <w:t xml:space="preserve">BILAG </w:t>
      </w:r>
    </w:p>
    <w:p>
      <w:pPr>
        <w:spacing w:before="480" w:after="240"/>
        <w:contextualSpacing/>
        <w:jc w:val="center"/>
        <w:rPr>
          <w:rFonts w:eastAsiaTheme="majorEastAsia"/>
          <w:b/>
          <w:caps/>
          <w:noProof/>
          <w:kern w:val="28"/>
          <w:szCs w:val="24"/>
        </w:rPr>
      </w:pPr>
      <w:r>
        <w:rPr>
          <w:b/>
          <w:caps/>
          <w:noProof/>
        </w:rPr>
        <w:t>GENNEMGANG AF FUNKTIONEN AF BALIAFGØRELSEN OM FORVALTNING AF TOLDKONTINGENTER</w:t>
      </w:r>
    </w:p>
    <w:p>
      <w:pPr>
        <w:spacing w:before="0" w:after="360"/>
        <w:jc w:val="center"/>
        <w:rPr>
          <w:rFonts w:eastAsia="Calibri"/>
          <w:caps/>
          <w:noProof/>
          <w:szCs w:val="24"/>
        </w:rPr>
      </w:pPr>
      <w:r>
        <w:rPr>
          <w:caps/>
          <w:noProof/>
        </w:rPr>
        <w:t xml:space="preserve">Rapport til Det Almindelige Råd </w:t>
      </w:r>
    </w:p>
    <w:p>
      <w:pPr>
        <w:pStyle w:val="Point0number"/>
        <w:numPr>
          <w:ilvl w:val="0"/>
          <w:numId w:val="3"/>
        </w:numPr>
        <w:rPr>
          <w:noProof/>
          <w:szCs w:val="24"/>
        </w:rPr>
      </w:pPr>
      <w:r>
        <w:rPr>
          <w:noProof/>
        </w:rPr>
        <w:t>På den niende samling i Ministerkonferencen vedtog ministrene en afgørelse om "Understanding on Tariff Rate Quota Administration Provisions of Agricultural Products, as defined in Article 2 of the Agreement on Agriculture" (WT/MIN(13)/39) ("Baliafgørelsen om toldkontingenter"). Ministrene pålagde udvalget at gennemgå og overvåge gennemførelsen af medlemmernes forpligtelser, som er fastsat inden for rammerne af Baliafgørelsen om toldkontingenter med det formål, at gennemgangen skulle fremme en løbende forbedring af anvendelsen af toldkontingenter. Gennemgangen skulle indledes senest i 2017, og i forbindelse med den skulle de erfaringer, der var gjort indtil da, tages i betragtning</w:t>
      </w:r>
      <w:r>
        <w:rPr>
          <w:rStyle w:val="FootnoteReference"/>
          <w:noProof/>
        </w:rPr>
        <w:footnoteReference w:id="1"/>
      </w:r>
      <w:r>
        <w:rPr>
          <w:noProof/>
        </w:rPr>
        <w:t>. Drøftelserne om gennemgangen blev indledt på udvalgets møde i oktober 2017</w:t>
      </w:r>
      <w:r>
        <w:rPr>
          <w:rStyle w:val="FootnoteReference"/>
          <w:noProof/>
        </w:rPr>
        <w:footnoteReference w:id="2"/>
      </w:r>
      <w:r>
        <w:rPr>
          <w:noProof/>
        </w:rPr>
        <w:t>. På mødet i februar 2018 enedes udvalget om processen og tidsfristerne for gennemførelsen af gennemgangen i dokument G/AG/W/171</w:t>
      </w:r>
      <w:r>
        <w:rPr>
          <w:rStyle w:val="FootnoteReference"/>
          <w:noProof/>
        </w:rPr>
        <w:footnoteReference w:id="3"/>
      </w:r>
      <w:r>
        <w:rPr>
          <w:noProof/>
        </w:rPr>
        <w:t>. I overensstemmelse med den procedure, der var opnået enighed om, er gennemgangen blevet gennemført ved åbne uformelle møder i udvalget, som blev afholdes i forbindelse med de regelmæssige møder i udvalget</w:t>
      </w:r>
      <w:r>
        <w:rPr>
          <w:rStyle w:val="FootnoteReference"/>
          <w:noProof/>
        </w:rPr>
        <w:footnoteReference w:id="4"/>
      </w:r>
      <w:r>
        <w:rPr>
          <w:noProof/>
        </w:rPr>
        <w:t>.</w:t>
      </w:r>
    </w:p>
    <w:p>
      <w:pPr>
        <w:pStyle w:val="Point0number"/>
        <w:rPr>
          <w:noProof/>
        </w:rPr>
      </w:pPr>
      <w:r>
        <w:rPr>
          <w:noProof/>
        </w:rPr>
        <w:t>Medlemmerne drøftede gennemgangen på fire uformelle møder i udvalget den 20. februar, den 11. juni, den 25. september og den 26. november 2018. Ved det uformelle møde i november blev der afholdt et temamøde om forvaltning af toldkontingenter og underudnyttelse med deltagelse af repræsentanter fra erhvervslivet. Ved drøftelserne om gennemgangen blev der også modtaget et antal skriftlige bemærkninger fra medlemmerne. Tilsvarende udarbejdede sekretariatet, på anmodning fra medlemmerne og i overensstemmelse med den aftalte proces og de aftalte tidsfrister, et baggrundsnotat</w:t>
      </w:r>
      <w:r>
        <w:rPr>
          <w:rStyle w:val="FootnoteReference"/>
          <w:noProof/>
        </w:rPr>
        <w:footnoteReference w:id="5"/>
      </w:r>
      <w:r>
        <w:rPr>
          <w:noProof/>
        </w:rPr>
        <w:t xml:space="preserve"> om forvaltning af toldkontingenter og udnyttelsesgrader for at lette gennemgangen. </w:t>
      </w:r>
      <w:r>
        <w:rPr>
          <w:b/>
          <w:noProof/>
        </w:rPr>
        <w:t>Bilag 1</w:t>
      </w:r>
      <w:r>
        <w:rPr>
          <w:noProof/>
        </w:rPr>
        <w:t xml:space="preserve"> omfatter en list over alle skrevne dokumenter, der indtil videre er blevet taget i betragtning ved gennemgangen. </w:t>
      </w:r>
    </w:p>
    <w:p>
      <w:pPr>
        <w:pStyle w:val="Point0number"/>
        <w:rPr>
          <w:noProof/>
        </w:rPr>
      </w:pPr>
      <w:r>
        <w:rPr>
          <w:noProof/>
        </w:rPr>
        <w:t>Medlemmerne har kortlagt følgende temaer i drøftelserne om gennemgangen: 1) Effektiv gennemførelse af og opfølgning på de væsentlige forpligtelser, der følger af Baliafgørelsen af toldkontingenter 2) Krav om toldkontingenters gennemsigtighed 3) Underudnyttelsesmekanismen. Visse elementer</w:t>
      </w:r>
      <w:r>
        <w:rPr>
          <w:rStyle w:val="FootnoteReference"/>
          <w:noProof/>
        </w:rPr>
        <w:footnoteReference w:id="6"/>
      </w:r>
      <w:r>
        <w:rPr>
          <w:noProof/>
        </w:rPr>
        <w:t>, som blev taget op under hvert af disse tre temaer, herunder i forbindelse med de tematiske drøftelser i november, er anført nedenfor.</w:t>
      </w:r>
    </w:p>
    <w:p>
      <w:pPr>
        <w:spacing w:before="0" w:after="240"/>
        <w:outlineLvl w:val="1"/>
        <w:rPr>
          <w:b/>
          <w:noProof/>
          <w:szCs w:val="24"/>
        </w:rPr>
      </w:pPr>
      <w:r>
        <w:rPr>
          <w:b/>
          <w:noProof/>
        </w:rPr>
        <w:t xml:space="preserve">EFFEKTIV GENNEMFØRELSE OG OPFØLGNING </w:t>
      </w:r>
    </w:p>
    <w:p>
      <w:pPr>
        <w:pStyle w:val="Point1"/>
        <w:rPr>
          <w:rFonts w:ascii="Verdana" w:hAnsi="Verdana"/>
          <w:noProof/>
          <w:sz w:val="16"/>
        </w:rPr>
      </w:pPr>
      <w:r>
        <w:rPr>
          <w:noProof/>
        </w:rPr>
        <w:t>i.</w:t>
      </w:r>
      <w:r>
        <w:rPr>
          <w:noProof/>
        </w:rPr>
        <w:tab/>
        <w:t>Omfordeling af ubrugte licenser inden for et toldkontingent</w:t>
      </w:r>
      <w:r>
        <w:rPr>
          <w:noProof/>
          <w:vertAlign w:val="superscript"/>
        </w:rPr>
        <w:t xml:space="preserve"> </w:t>
      </w:r>
    </w:p>
    <w:p>
      <w:pPr>
        <w:pStyle w:val="Point1"/>
        <w:rPr>
          <w:noProof/>
        </w:rPr>
      </w:pPr>
      <w:r>
        <w:rPr>
          <w:noProof/>
        </w:rPr>
        <w:t>ii.</w:t>
      </w:r>
      <w:r>
        <w:rPr>
          <w:noProof/>
        </w:rPr>
        <w:tab/>
        <w:t>Omfordelingsprocedurer, herunder landespecifikke omfordelinger</w:t>
      </w:r>
      <w:r>
        <w:rPr>
          <w:rStyle w:val="FootnoteReference"/>
          <w:noProof/>
        </w:rPr>
        <w:footnoteReference w:id="7"/>
      </w:r>
    </w:p>
    <w:p>
      <w:pPr>
        <w:pStyle w:val="Point1"/>
        <w:rPr>
          <w:noProof/>
        </w:rPr>
      </w:pPr>
      <w:r>
        <w:rPr>
          <w:noProof/>
        </w:rPr>
        <w:t>iii.</w:t>
      </w:r>
      <w:r>
        <w:rPr>
          <w:noProof/>
        </w:rPr>
        <w:tab/>
        <w:t>Udveksling af erfaringer og bedste praksis med henblik på at forbedre udnyttelsen af toldkontingenter inden for rammerne af regionale handelsaftaler.</w:t>
      </w:r>
    </w:p>
    <w:p>
      <w:pPr>
        <w:rPr>
          <w:b/>
          <w:noProof/>
          <w:szCs w:val="24"/>
        </w:rPr>
      </w:pPr>
      <w:r>
        <w:rPr>
          <w:b/>
          <w:noProof/>
        </w:rPr>
        <w:t xml:space="preserve">KRAV OM TOLDKONTINGENTERS GENNEMSIGTIGHED  </w:t>
      </w:r>
    </w:p>
    <w:p>
      <w:pPr>
        <w:pStyle w:val="Point1"/>
        <w:rPr>
          <w:noProof/>
        </w:rPr>
      </w:pPr>
      <w:r>
        <w:rPr>
          <w:noProof/>
        </w:rPr>
        <w:t>i.</w:t>
      </w:r>
      <w:r>
        <w:rPr>
          <w:noProof/>
        </w:rPr>
        <w:tab/>
        <w:t>Rettidige og fuldstændige meddelelser vedrørende toldkontingenter</w:t>
      </w:r>
    </w:p>
    <w:p>
      <w:pPr>
        <w:pStyle w:val="Point1"/>
        <w:rPr>
          <w:noProof/>
        </w:rPr>
      </w:pPr>
      <w:r>
        <w:rPr>
          <w:noProof/>
        </w:rPr>
        <w:t>ii.</w:t>
      </w:r>
      <w:r>
        <w:rPr>
          <w:noProof/>
        </w:rPr>
        <w:tab/>
        <w:t>Omgående indberetning om ændringer i forvaltningen af toldkontingenter</w:t>
      </w:r>
    </w:p>
    <w:p>
      <w:pPr>
        <w:pStyle w:val="Point1"/>
        <w:rPr>
          <w:noProof/>
        </w:rPr>
      </w:pPr>
      <w:r>
        <w:rPr>
          <w:noProof/>
        </w:rPr>
        <w:t>iii.</w:t>
      </w:r>
      <w:r>
        <w:rPr>
          <w:noProof/>
        </w:rPr>
        <w:tab/>
        <w:t>Sammenhængende indberetning af udnyttelsesgraden fra alle medlemmer med toldkontingentforpligtelser</w:t>
      </w:r>
    </w:p>
    <w:p>
      <w:pPr>
        <w:pStyle w:val="Point1"/>
        <w:rPr>
          <w:noProof/>
        </w:rPr>
      </w:pPr>
      <w:r>
        <w:rPr>
          <w:noProof/>
        </w:rPr>
        <w:t>iv.</w:t>
      </w:r>
      <w:r>
        <w:rPr>
          <w:noProof/>
        </w:rPr>
        <w:tab/>
        <w:t>Harmoniserede procedurer for meddelelser (f.eks. for toldkontingenter, der ikke er åbnet, eller planlagte toldkontingenter uden toldfordel)</w:t>
      </w:r>
    </w:p>
    <w:p>
      <w:pPr>
        <w:pStyle w:val="Point1"/>
        <w:rPr>
          <w:noProof/>
        </w:rPr>
      </w:pPr>
      <w:r>
        <w:rPr>
          <w:noProof/>
        </w:rPr>
        <w:t>v.</w:t>
      </w:r>
      <w:r>
        <w:rPr>
          <w:noProof/>
        </w:rPr>
        <w:tab/>
        <w:t>Indberetning af årsager til underudnyttelse</w:t>
      </w:r>
    </w:p>
    <w:p>
      <w:pPr>
        <w:pStyle w:val="Point1"/>
        <w:rPr>
          <w:noProof/>
        </w:rPr>
      </w:pPr>
      <w:r>
        <w:rPr>
          <w:noProof/>
        </w:rPr>
        <w:t>vi.</w:t>
      </w:r>
      <w:r>
        <w:rPr>
          <w:noProof/>
        </w:rPr>
        <w:tab/>
        <w:t>Udveksling af erfaringer på nationalt plan og bedste praksis inden for forvaltning af toldkontingenter</w:t>
      </w:r>
    </w:p>
    <w:p>
      <w:pPr>
        <w:pStyle w:val="Point1"/>
        <w:rPr>
          <w:noProof/>
        </w:rPr>
      </w:pPr>
      <w:r>
        <w:rPr>
          <w:noProof/>
        </w:rPr>
        <w:t>vii.</w:t>
      </w:r>
      <w:r>
        <w:rPr>
          <w:noProof/>
        </w:rPr>
        <w:tab/>
        <w:t>Særlig og differentieret behandling (besvær i forbindelse med indberetningskrav)</w:t>
      </w:r>
    </w:p>
    <w:p>
      <w:pPr>
        <w:pStyle w:val="Point1"/>
        <w:rPr>
          <w:noProof/>
        </w:rPr>
      </w:pPr>
      <w:r>
        <w:rPr>
          <w:noProof/>
        </w:rPr>
        <w:t>viii.</w:t>
      </w:r>
      <w:r>
        <w:rPr>
          <w:noProof/>
        </w:rPr>
        <w:tab/>
        <w:t>Forbindelser til indberetningskrav på området importlicensprocedurer</w:t>
      </w:r>
    </w:p>
    <w:p>
      <w:pPr>
        <w:pStyle w:val="Point1"/>
        <w:rPr>
          <w:noProof/>
        </w:rPr>
      </w:pPr>
      <w:r>
        <w:rPr>
          <w:noProof/>
        </w:rPr>
        <w:t>ix.</w:t>
      </w:r>
      <w:r>
        <w:rPr>
          <w:noProof/>
        </w:rPr>
        <w:tab/>
        <w:t>Teknisk bistand fra sekretariatet med henblik på, at medlemmerne i videre omfang overholder indberetningskravene.</w:t>
      </w:r>
    </w:p>
    <w:p>
      <w:pPr>
        <w:rPr>
          <w:b/>
          <w:noProof/>
          <w:szCs w:val="24"/>
        </w:rPr>
      </w:pPr>
      <w:r>
        <w:rPr>
          <w:b/>
          <w:noProof/>
        </w:rPr>
        <w:t>UBDERUDNYTTELSESMEKANISMEN</w:t>
      </w:r>
    </w:p>
    <w:p>
      <w:pPr>
        <w:pStyle w:val="Point1"/>
        <w:rPr>
          <w:noProof/>
        </w:rPr>
      </w:pPr>
      <w:r>
        <w:rPr>
          <w:noProof/>
        </w:rPr>
        <w:t>i.</w:t>
      </w:r>
      <w:r>
        <w:rPr>
          <w:noProof/>
        </w:rPr>
        <w:tab/>
        <w:t>Medlemmernes forskellige forpligtelser (punkt 4 i bilag A)</w:t>
      </w:r>
    </w:p>
    <w:p>
      <w:pPr>
        <w:pStyle w:val="Point1"/>
        <w:rPr>
          <w:noProof/>
        </w:rPr>
      </w:pPr>
      <w:r>
        <w:rPr>
          <w:noProof/>
        </w:rPr>
        <w:t>ii.</w:t>
      </w:r>
      <w:r>
        <w:rPr>
          <w:noProof/>
        </w:rPr>
        <w:tab/>
        <w:t>Særlig og differentieret behandling</w:t>
      </w:r>
    </w:p>
    <w:p>
      <w:pPr>
        <w:pStyle w:val="Point1"/>
        <w:rPr>
          <w:noProof/>
        </w:rPr>
      </w:pPr>
      <w:r>
        <w:rPr>
          <w:noProof/>
        </w:rPr>
        <w:t>iii.</w:t>
      </w:r>
      <w:r>
        <w:rPr>
          <w:noProof/>
        </w:rPr>
        <w:tab/>
        <w:t>Mulighed for en potentiel fremtidig anvendelse, som ikke er universel</w:t>
      </w:r>
    </w:p>
    <w:p>
      <w:pPr>
        <w:pStyle w:val="Point1"/>
        <w:rPr>
          <w:noProof/>
        </w:rPr>
      </w:pPr>
      <w:r>
        <w:rPr>
          <w:noProof/>
        </w:rPr>
        <w:t>iv.</w:t>
      </w:r>
      <w:r>
        <w:rPr>
          <w:noProof/>
        </w:rPr>
        <w:tab/>
        <w:t>Forbindelse mellem bilag B og punkt 4 i bilag A</w:t>
      </w:r>
    </w:p>
    <w:p>
      <w:pPr>
        <w:pStyle w:val="Point1"/>
        <w:rPr>
          <w:noProof/>
        </w:rPr>
      </w:pPr>
      <w:r>
        <w:rPr>
          <w:noProof/>
        </w:rPr>
        <w:t>v.</w:t>
      </w:r>
      <w:r>
        <w:rPr>
          <w:noProof/>
        </w:rPr>
        <w:tab/>
        <w:t>Undersøgelse af årsagerne til underudnyttelse</w:t>
      </w:r>
    </w:p>
    <w:p>
      <w:pPr>
        <w:pStyle w:val="Point1"/>
        <w:rPr>
          <w:noProof/>
        </w:rPr>
      </w:pPr>
      <w:r>
        <w:rPr>
          <w:noProof/>
        </w:rPr>
        <w:t>vi.</w:t>
      </w:r>
      <w:r>
        <w:rPr>
          <w:noProof/>
        </w:rPr>
        <w:tab/>
        <w:t>Målrettet gennemgang af underudnyttelse af toldkontingenter i visse specifikke sektorer</w:t>
      </w:r>
    </w:p>
    <w:p>
      <w:pPr>
        <w:pStyle w:val="Point1"/>
        <w:rPr>
          <w:noProof/>
        </w:rPr>
      </w:pPr>
      <w:r>
        <w:rPr>
          <w:noProof/>
        </w:rPr>
        <w:t>vii.</w:t>
      </w:r>
      <w:r>
        <w:rPr>
          <w:noProof/>
        </w:rPr>
        <w:tab/>
        <w:t>Praktisk anvendelighed af underudnyttelsesmekanismen (undersøgelse af årsager, herunder eventuel kompleksitet, til at den endnu ikke er blevet bragt i anvendelse, udveksling af erfaringer og forenkling af proceduremæssige krav)</w:t>
      </w:r>
    </w:p>
    <w:p>
      <w:pPr>
        <w:pStyle w:val="Point1"/>
        <w:rPr>
          <w:noProof/>
        </w:rPr>
      </w:pPr>
      <w:r>
        <w:rPr>
          <w:noProof/>
        </w:rPr>
        <w:t>viii.</w:t>
      </w:r>
      <w:r>
        <w:rPr>
          <w:noProof/>
        </w:rPr>
        <w:tab/>
        <w:t>Sekretariatets ajourføring af en liste over underudnyttede toldkontingenter.</w:t>
      </w:r>
    </w:p>
    <w:p>
      <w:pPr>
        <w:pStyle w:val="Point0number"/>
        <w:rPr>
          <w:noProof/>
        </w:rPr>
      </w:pPr>
      <w:r>
        <w:rPr>
          <w:noProof/>
        </w:rPr>
        <w:t xml:space="preserve">Når det drejede sig om den fremtidige anvendelse af underudnyttelsesmekanismens punkt 4 og de dermed forbundne bestemmelser om særlig og differentieret behandling, var medlemmernes holdninger forskellige. Nogle medlemmer, der er udviklingslande, fastholdt, at bestemmelserne i Baliafgørelse om toldkontingenter om særlig og differentieret behandling ikke skulle udvandes. Visse andre medlemmer anførte, at særlig og differentieret behandling af udviklingslandene ikke burde føre til undtagelser, og at de udviklingslande, som nyder godt af særlig og differentieret behandling, i stedet burde påtage sig forpligtelser, når det drejede sig om forvaltningen af toldkontingenter, under hensyntagen til deres status som udviklingslande. </w:t>
      </w:r>
    </w:p>
    <w:p>
      <w:pPr>
        <w:pStyle w:val="Point0number"/>
        <w:rPr>
          <w:noProof/>
        </w:rPr>
      </w:pPr>
      <w:r>
        <w:rPr>
          <w:noProof/>
        </w:rPr>
        <w:t>Adskillige medlemmer mente, at anvendelsesområdet for gennemgangen skulle begrænses til at søge forbedringer i forvaltningen af toldkontingenter, således at gennemgangen adskiller sig fra forhandlingerne om markedsadgang. Visse andre fandt, at spørgsmålene vedrørende toldkontingenter kunne tages op i forbindelse med forhandlingerne om markedsadgang.</w:t>
      </w:r>
    </w:p>
    <w:p>
      <w:pPr>
        <w:pStyle w:val="Point0number"/>
        <w:rPr>
          <w:noProof/>
        </w:rPr>
      </w:pPr>
      <w:r>
        <w:rPr>
          <w:noProof/>
        </w:rPr>
        <w:t>På grundlag af medlemmernes bemærkninger fandt visse medlemmer, at udvalget burde undersøge årsagerne til, at underudnyttelsesmekanismen endnu ikke er blevet bragt i anvendelse.</w:t>
      </w:r>
    </w:p>
    <w:p>
      <w:pPr>
        <w:pStyle w:val="Point0number"/>
        <w:rPr>
          <w:noProof/>
        </w:rPr>
      </w:pPr>
      <w:r>
        <w:rPr>
          <w:noProof/>
        </w:rPr>
        <w:t xml:space="preserve">I henhold til punkt 13-15 i Baliafgørelsen (WT/MIN(13)/39) skal udvalget på sit møde den 30. oktober 2019 nå til enighed om følgende henstillinger i </w:t>
      </w:r>
      <w:r>
        <w:rPr>
          <w:b/>
          <w:noProof/>
        </w:rPr>
        <w:t>bilag 2</w:t>
      </w:r>
      <w:r>
        <w:rPr>
          <w:noProof/>
        </w:rPr>
        <w:t xml:space="preserve"> til denne rapport med henblik på forelæggelse for Det Almindelige Råd.  </w:t>
      </w:r>
    </w:p>
    <w:p>
      <w:pPr>
        <w:spacing w:before="0" w:after="200" w:line="276" w:lineRule="auto"/>
        <w:jc w:val="left"/>
        <w:rPr>
          <w:noProof/>
          <w:szCs w:val="24"/>
        </w:rPr>
      </w:pPr>
      <w:r>
        <w:rPr>
          <w:noProof/>
        </w:rPr>
        <w:br w:type="page"/>
      </w:r>
    </w:p>
    <w:p>
      <w:pPr>
        <w:spacing w:before="0" w:after="240"/>
        <w:jc w:val="center"/>
        <w:rPr>
          <w:noProof/>
          <w:szCs w:val="24"/>
        </w:rPr>
      </w:pPr>
      <w:r>
        <w:rPr>
          <w:b/>
          <w:noProof/>
        </w:rPr>
        <w:t>Bilag 1</w:t>
      </w:r>
    </w:p>
    <w:tbl>
      <w:tblPr>
        <w:tblStyle w:val="WTOTable1"/>
        <w:tblW w:w="5000" w:type="pct"/>
        <w:tblLook w:val="04A0" w:firstRow="1" w:lastRow="0" w:firstColumn="1" w:lastColumn="0" w:noHBand="0" w:noVBand="1"/>
      </w:tblPr>
      <w:tblGrid>
        <w:gridCol w:w="2332"/>
        <w:gridCol w:w="6957"/>
      </w:tblGrid>
      <w:tr>
        <w:trPr>
          <w:cnfStyle w:val="100000000000" w:firstRow="1" w:lastRow="0" w:firstColumn="0" w:lastColumn="0" w:oddVBand="0" w:evenVBand="0" w:oddHBand="0" w:evenHBand="0" w:firstRowFirstColumn="0" w:firstRowLastColumn="0" w:lastRowFirstColumn="0" w:lastRowLastColumn="0"/>
          <w:trHeight w:val="20"/>
        </w:trPr>
        <w:tc>
          <w:tcPr>
            <w:tcW w:w="9016" w:type="dxa"/>
            <w:gridSpan w:val="2"/>
          </w:tcPr>
          <w:p>
            <w:pPr>
              <w:spacing w:before="0" w:after="0" w:line="360" w:lineRule="auto"/>
              <w:jc w:val="center"/>
              <w:rPr>
                <w:b w:val="0"/>
                <w:noProof/>
                <w:color w:val="auto"/>
                <w:szCs w:val="24"/>
              </w:rPr>
            </w:pPr>
            <w:r>
              <w:rPr>
                <w:noProof/>
              </w:rPr>
              <w:t>Liste over dokumenter</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G/AG/W/169</w:t>
            </w:r>
          </w:p>
          <w:p>
            <w:pPr>
              <w:spacing w:before="0" w:after="0"/>
              <w:rPr>
                <w:noProof/>
                <w:szCs w:val="24"/>
              </w:rPr>
            </w:pPr>
            <w:r>
              <w:rPr>
                <w:noProof/>
              </w:rPr>
              <w:t>10. oktober 2017</w:t>
            </w:r>
          </w:p>
        </w:tc>
        <w:tc>
          <w:tcPr>
            <w:tcW w:w="6753" w:type="dxa"/>
          </w:tcPr>
          <w:p>
            <w:pPr>
              <w:tabs>
                <w:tab w:val="left" w:pos="1134"/>
              </w:tabs>
              <w:spacing w:after="0"/>
              <w:jc w:val="left"/>
              <w:rPr>
                <w:noProof/>
                <w:szCs w:val="24"/>
              </w:rPr>
            </w:pPr>
            <w:r>
              <w:rPr>
                <w:noProof/>
              </w:rPr>
              <w:t>Overvågning og gennemgang af medlemmernes forpligtelser fastsat inden for rammerne af Baliafgørelsen om forvaltning af toldkontingenter.</w:t>
            </w:r>
          </w:p>
          <w:p>
            <w:pPr>
              <w:tabs>
                <w:tab w:val="left" w:pos="1134"/>
              </w:tabs>
              <w:spacing w:before="0" w:after="0"/>
              <w:jc w:val="left"/>
              <w:rPr>
                <w:noProof/>
                <w:szCs w:val="24"/>
              </w:rPr>
            </w:pPr>
          </w:p>
          <w:p>
            <w:pPr>
              <w:tabs>
                <w:tab w:val="left" w:pos="1134"/>
              </w:tabs>
              <w:spacing w:before="0"/>
              <w:rPr>
                <w:noProof/>
                <w:szCs w:val="24"/>
              </w:rPr>
            </w:pPr>
            <w:r>
              <w:rPr>
                <w:noProof/>
              </w:rPr>
              <w:t>Sekretariatets note</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G/AG/W/171</w:t>
            </w:r>
          </w:p>
          <w:p>
            <w:pPr>
              <w:spacing w:before="0" w:after="0"/>
              <w:rPr>
                <w:rFonts w:eastAsia="Times New Roman"/>
                <w:bCs/>
                <w:noProof/>
                <w:szCs w:val="24"/>
              </w:rPr>
            </w:pPr>
            <w:r>
              <w:rPr>
                <w:noProof/>
              </w:rPr>
              <w:t>9. februar 2018</w:t>
            </w:r>
          </w:p>
        </w:tc>
        <w:tc>
          <w:tcPr>
            <w:tcW w:w="6753" w:type="dxa"/>
          </w:tcPr>
          <w:p>
            <w:pPr>
              <w:tabs>
                <w:tab w:val="left" w:pos="1134"/>
              </w:tabs>
              <w:spacing w:after="0"/>
              <w:jc w:val="left"/>
              <w:rPr>
                <w:rFonts w:eastAsia="Times New Roman"/>
                <w:bCs/>
                <w:noProof/>
                <w:szCs w:val="24"/>
              </w:rPr>
            </w:pPr>
            <w:r>
              <w:rPr>
                <w:noProof/>
              </w:rPr>
              <w:t>Forslag til processen for gennemgangen af funktionen Baliafgørelsen om forvaltningen af toldkontingenter.</w:t>
            </w:r>
          </w:p>
          <w:p>
            <w:pPr>
              <w:tabs>
                <w:tab w:val="left" w:pos="1134"/>
              </w:tabs>
              <w:spacing w:before="0" w:after="0"/>
              <w:jc w:val="left"/>
              <w:rPr>
                <w:rFonts w:eastAsia="Times New Roman"/>
                <w:bCs/>
                <w:noProof/>
                <w:szCs w:val="24"/>
              </w:rPr>
            </w:pPr>
          </w:p>
          <w:p>
            <w:pPr>
              <w:tabs>
                <w:tab w:val="left" w:pos="1134"/>
              </w:tabs>
              <w:spacing w:before="0"/>
              <w:rPr>
                <w:rFonts w:eastAsia="Times New Roman"/>
                <w:bCs/>
                <w:noProof/>
                <w:szCs w:val="24"/>
              </w:rPr>
            </w:pPr>
            <w:r>
              <w:rPr>
                <w:noProof/>
              </w:rPr>
              <w:t>Sekretariatets note</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G/AG/W/175</w:t>
            </w:r>
          </w:p>
          <w:p>
            <w:pPr>
              <w:spacing w:before="0" w:after="0"/>
              <w:rPr>
                <w:noProof/>
                <w:szCs w:val="24"/>
              </w:rPr>
            </w:pPr>
            <w:r>
              <w:rPr>
                <w:noProof/>
              </w:rPr>
              <w:t>18. maj 2018</w:t>
            </w:r>
          </w:p>
          <w:p>
            <w:pPr>
              <w:spacing w:before="0" w:after="0"/>
              <w:rPr>
                <w:noProof/>
                <w:szCs w:val="24"/>
              </w:rPr>
            </w:pPr>
            <w:r>
              <w:rPr>
                <w:noProof/>
              </w:rPr>
              <w:t xml:space="preserve">       </w:t>
            </w:r>
          </w:p>
          <w:p>
            <w:pPr>
              <w:spacing w:before="0" w:after="0"/>
              <w:rPr>
                <w:noProof/>
                <w:szCs w:val="24"/>
              </w:rPr>
            </w:pPr>
            <w:r>
              <w:rPr>
                <w:noProof/>
              </w:rPr>
              <w:t xml:space="preserve">         og</w:t>
            </w:r>
          </w:p>
          <w:p>
            <w:pPr>
              <w:spacing w:after="0"/>
              <w:jc w:val="left"/>
              <w:rPr>
                <w:rFonts w:eastAsia="Times New Roman"/>
                <w:bCs/>
                <w:noProof/>
                <w:szCs w:val="24"/>
              </w:rPr>
            </w:pPr>
            <w:r>
              <w:rPr>
                <w:noProof/>
              </w:rPr>
              <w:t>G/AG/W/175/Add.1</w:t>
            </w:r>
          </w:p>
          <w:p>
            <w:pPr>
              <w:spacing w:before="0" w:after="0"/>
              <w:rPr>
                <w:noProof/>
                <w:szCs w:val="24"/>
              </w:rPr>
            </w:pPr>
            <w:r>
              <w:rPr>
                <w:noProof/>
              </w:rPr>
              <w:t>7. maj 2019</w:t>
            </w:r>
          </w:p>
          <w:p>
            <w:pPr>
              <w:spacing w:before="0" w:after="0"/>
              <w:rPr>
                <w:noProof/>
                <w:szCs w:val="24"/>
              </w:rPr>
            </w:pPr>
          </w:p>
        </w:tc>
        <w:tc>
          <w:tcPr>
            <w:tcW w:w="6753" w:type="dxa"/>
          </w:tcPr>
          <w:p>
            <w:pPr>
              <w:spacing w:after="0"/>
              <w:jc w:val="left"/>
              <w:rPr>
                <w:noProof/>
                <w:szCs w:val="24"/>
              </w:rPr>
            </w:pPr>
          </w:p>
          <w:p>
            <w:pPr>
              <w:spacing w:after="0"/>
              <w:jc w:val="left"/>
              <w:rPr>
                <w:noProof/>
                <w:szCs w:val="24"/>
              </w:rPr>
            </w:pPr>
            <w:r>
              <w:rPr>
                <w:noProof/>
              </w:rPr>
              <w:t>Den Europæiske Unions bemærkninger til landbrugsudvalget om gennemgangen af funktionen af Baliafgørelsen om forvaltningen af toldkontingenter</w:t>
            </w:r>
            <w:r>
              <w:rPr>
                <w:rStyle w:val="FootnoteReference"/>
                <w:noProof/>
              </w:rPr>
              <w:footnoteReference w:id="8"/>
            </w:r>
            <w:r>
              <w:rPr>
                <w:noProof/>
              </w:rPr>
              <w:t>.</w:t>
            </w:r>
          </w:p>
          <w:p>
            <w:pPr>
              <w:spacing w:before="0" w:after="0"/>
              <w:rPr>
                <w:noProof/>
                <w:szCs w:val="24"/>
              </w:rPr>
            </w:pPr>
          </w:p>
          <w:p>
            <w:pPr>
              <w:spacing w:before="0" w:after="0"/>
              <w:rPr>
                <w:noProof/>
                <w:szCs w:val="24"/>
              </w:rPr>
            </w:pPr>
          </w:p>
          <w:p>
            <w:pPr>
              <w:tabs>
                <w:tab w:val="left" w:pos="1134"/>
              </w:tabs>
              <w:spacing w:before="0"/>
              <w:rPr>
                <w:noProof/>
                <w:szCs w:val="24"/>
              </w:rPr>
            </w:pPr>
            <w:r>
              <w:rPr>
                <w:noProof/>
              </w:rPr>
              <w:t>Meddelelser fra Den Europæiske Union</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G/AG/W/179</w:t>
            </w:r>
          </w:p>
          <w:p>
            <w:pPr>
              <w:spacing w:before="0" w:after="0"/>
              <w:rPr>
                <w:noProof/>
                <w:szCs w:val="24"/>
              </w:rPr>
            </w:pPr>
            <w:r>
              <w:rPr>
                <w:noProof/>
              </w:rPr>
              <w:t>6. juni 2018</w:t>
            </w:r>
          </w:p>
        </w:tc>
        <w:tc>
          <w:tcPr>
            <w:tcW w:w="6753" w:type="dxa"/>
          </w:tcPr>
          <w:p>
            <w:pPr>
              <w:spacing w:after="0"/>
              <w:jc w:val="left"/>
              <w:rPr>
                <w:rFonts w:eastAsiaTheme="majorEastAsia"/>
                <w:caps/>
                <w:noProof/>
                <w:kern w:val="28"/>
                <w:szCs w:val="24"/>
              </w:rPr>
            </w:pPr>
            <w:r>
              <w:rPr>
                <w:noProof/>
              </w:rPr>
              <w:t>Gennemgang af funktionen af ministerafgørelsen fra Bali om "Understanding on Tariff Rate Quota Administration provisions of Agricultural Products…</w:t>
            </w:r>
            <w:r>
              <w:rPr>
                <w:caps/>
                <w:noProof/>
              </w:rPr>
              <w:t>"</w:t>
            </w:r>
            <w:r>
              <w:rPr>
                <w:rStyle w:val="FootnoteReference"/>
                <w:noProof/>
              </w:rPr>
              <w:footnoteReference w:id="9"/>
            </w:r>
            <w:r>
              <w:rPr>
                <w:caps/>
                <w:noProof/>
              </w:rPr>
              <w:t>.</w:t>
            </w:r>
          </w:p>
          <w:p>
            <w:pPr>
              <w:spacing w:before="0" w:after="0"/>
              <w:rPr>
                <w:noProof/>
                <w:szCs w:val="24"/>
              </w:rPr>
            </w:pPr>
          </w:p>
          <w:p>
            <w:pPr>
              <w:tabs>
                <w:tab w:val="left" w:pos="1134"/>
              </w:tabs>
              <w:spacing w:before="0"/>
              <w:rPr>
                <w:noProof/>
                <w:szCs w:val="24"/>
              </w:rPr>
            </w:pPr>
            <w:r>
              <w:rPr>
                <w:noProof/>
              </w:rPr>
              <w:t>Bemærkning fra Cairnsgruppen</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G/AG/W/183</w:t>
            </w:r>
          </w:p>
          <w:p>
            <w:pPr>
              <w:spacing w:before="0" w:after="0"/>
              <w:rPr>
                <w:noProof/>
                <w:szCs w:val="24"/>
              </w:rPr>
            </w:pPr>
            <w:r>
              <w:rPr>
                <w:noProof/>
              </w:rPr>
              <w:t>31. juli 2018</w:t>
            </w:r>
          </w:p>
        </w:tc>
        <w:tc>
          <w:tcPr>
            <w:tcW w:w="6753" w:type="dxa"/>
          </w:tcPr>
          <w:p>
            <w:pPr>
              <w:tabs>
                <w:tab w:val="left" w:pos="1134"/>
              </w:tabs>
              <w:spacing w:after="0"/>
              <w:jc w:val="left"/>
              <w:rPr>
                <w:noProof/>
                <w:szCs w:val="24"/>
              </w:rPr>
            </w:pPr>
            <w:r>
              <w:rPr>
                <w:noProof/>
              </w:rPr>
              <w:t>Forvaltningsmetoder og udnyttelsesgrader for toldkontingenter 2007-2016.</w:t>
            </w:r>
          </w:p>
          <w:p>
            <w:pPr>
              <w:tabs>
                <w:tab w:val="left" w:pos="1134"/>
              </w:tabs>
              <w:spacing w:before="0" w:after="0"/>
              <w:jc w:val="left"/>
              <w:rPr>
                <w:noProof/>
                <w:szCs w:val="24"/>
              </w:rPr>
            </w:pPr>
          </w:p>
          <w:p>
            <w:pPr>
              <w:tabs>
                <w:tab w:val="left" w:pos="1134"/>
              </w:tabs>
              <w:spacing w:before="0"/>
              <w:rPr>
                <w:noProof/>
                <w:szCs w:val="24"/>
              </w:rPr>
            </w:pPr>
            <w:r>
              <w:rPr>
                <w:noProof/>
              </w:rPr>
              <w:t>Baggrundsnotat fra sekretariatet</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G/AG/W/186</w:t>
            </w:r>
          </w:p>
          <w:p>
            <w:pPr>
              <w:spacing w:before="0" w:after="0"/>
              <w:rPr>
                <w:noProof/>
                <w:szCs w:val="24"/>
              </w:rPr>
            </w:pPr>
            <w:r>
              <w:rPr>
                <w:noProof/>
              </w:rPr>
              <w:t>19. september 2018</w:t>
            </w:r>
          </w:p>
        </w:tc>
        <w:tc>
          <w:tcPr>
            <w:tcW w:w="6753" w:type="dxa"/>
          </w:tcPr>
          <w:p>
            <w:pPr>
              <w:tabs>
                <w:tab w:val="left" w:pos="1134"/>
              </w:tabs>
              <w:spacing w:after="0"/>
              <w:jc w:val="left"/>
              <w:rPr>
                <w:noProof/>
                <w:szCs w:val="24"/>
              </w:rPr>
            </w:pPr>
            <w:r>
              <w:rPr>
                <w:noProof/>
              </w:rPr>
              <w:t>Gennemgang af Baliafgørelsen om forvaltning af toldkontingenter.</w:t>
            </w:r>
          </w:p>
          <w:p>
            <w:pPr>
              <w:tabs>
                <w:tab w:val="left" w:pos="1134"/>
              </w:tabs>
              <w:spacing w:before="0" w:after="0"/>
              <w:jc w:val="left"/>
              <w:rPr>
                <w:noProof/>
                <w:szCs w:val="24"/>
              </w:rPr>
            </w:pPr>
          </w:p>
          <w:p>
            <w:pPr>
              <w:spacing w:before="0"/>
              <w:rPr>
                <w:noProof/>
                <w:szCs w:val="24"/>
              </w:rPr>
            </w:pPr>
            <w:r>
              <w:rPr>
                <w:noProof/>
              </w:rPr>
              <w:t>Bemærkning fra Australien</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G/AG/W/197</w:t>
            </w:r>
          </w:p>
          <w:p>
            <w:pPr>
              <w:spacing w:before="0" w:after="0"/>
              <w:rPr>
                <w:noProof/>
                <w:szCs w:val="24"/>
              </w:rPr>
            </w:pPr>
            <w:r>
              <w:rPr>
                <w:noProof/>
              </w:rPr>
              <w:t>24. maj 2019</w:t>
            </w:r>
          </w:p>
        </w:tc>
        <w:tc>
          <w:tcPr>
            <w:tcW w:w="6753" w:type="dxa"/>
          </w:tcPr>
          <w:p>
            <w:pPr>
              <w:tabs>
                <w:tab w:val="left" w:pos="1134"/>
              </w:tabs>
              <w:spacing w:after="0"/>
              <w:jc w:val="left"/>
              <w:rPr>
                <w:noProof/>
                <w:szCs w:val="24"/>
              </w:rPr>
            </w:pPr>
            <w:r>
              <w:rPr>
                <w:noProof/>
              </w:rPr>
              <w:t>Baliafgørelsen om forvaltning af toldkontingenters underudnyttelsesmekanisme</w:t>
            </w:r>
          </w:p>
          <w:p>
            <w:pPr>
              <w:tabs>
                <w:tab w:val="left" w:pos="1134"/>
              </w:tabs>
              <w:spacing w:after="0"/>
              <w:jc w:val="left"/>
              <w:rPr>
                <w:noProof/>
                <w:szCs w:val="24"/>
              </w:rPr>
            </w:pPr>
            <w:r>
              <w:rPr>
                <w:noProof/>
              </w:rPr>
              <w:t>Bemærkning på vegne af Cairnsgruppen</w:t>
            </w:r>
          </w:p>
        </w:tc>
      </w:tr>
    </w:tbl>
    <w:p>
      <w:pPr>
        <w:spacing w:before="0" w:after="200" w:line="276" w:lineRule="auto"/>
        <w:jc w:val="left"/>
        <w:rPr>
          <w:b/>
          <w:noProof/>
          <w:szCs w:val="24"/>
        </w:rPr>
      </w:pPr>
      <w:r>
        <w:rPr>
          <w:noProof/>
        </w:rPr>
        <w:br w:type="page"/>
      </w:r>
    </w:p>
    <w:p>
      <w:pPr>
        <w:spacing w:before="0" w:after="240"/>
        <w:jc w:val="center"/>
        <w:rPr>
          <w:b/>
          <w:noProof/>
          <w:szCs w:val="24"/>
        </w:rPr>
      </w:pPr>
      <w:r>
        <w:rPr>
          <w:b/>
          <w:noProof/>
        </w:rPr>
        <w:t>Bilag 2</w:t>
      </w:r>
    </w:p>
    <w:p>
      <w:pPr>
        <w:pStyle w:val="Point0number"/>
        <w:numPr>
          <w:ilvl w:val="0"/>
          <w:numId w:val="2"/>
        </w:numPr>
        <w:rPr>
          <w:noProof/>
        </w:rPr>
      </w:pPr>
      <w:r>
        <w:rPr>
          <w:noProof/>
        </w:rPr>
        <w:t>[Den frist, som er angivet i punkt 14 og fodnote 2 i Baliafgørelsen og toldkontingenter, for en afgørelse om punkt 4 i bilag A, skal forlænges indtil udgangen af 2021 eller den 13. ministerkonference, afhængigt af hvad der kommer først. [Det skal præciseres, at hvis hverken Ministerkonferencen eller Det Almindelige Råd træffer afgørelse inden udgangen af 2021 om at forlænge punkt 4 i bilag A til Baliafgørelsen om toldkontingenter i dens nuværende form eller i en ændret form, skal punkt 4 i bilag A, med forbehold af Baliafgørelsens punkt 15, ikke længere finde anvendelse fra den 1. januar 2022 [når det drejer sig om de medlemmer, der er opført i bilag B, samt alle medlemmer, der inden udgangen af 2021 anmoder om at blive optaget i bilag B].]</w:t>
      </w:r>
    </w:p>
    <w:p>
      <w:pPr>
        <w:pStyle w:val="Point0number"/>
        <w:numPr>
          <w:ilvl w:val="0"/>
          <w:numId w:val="2"/>
        </w:numPr>
        <w:rPr>
          <w:noProof/>
        </w:rPr>
      </w:pPr>
      <w:r>
        <w:rPr>
          <w:noProof/>
        </w:rPr>
        <w:t>I mellemtiden fortsætter landbrugsudvalget ("udvalget") drøftelserne om anvendelsen af punkt 4 i bilag A [Det skal præciseres, at mens drøftelserne er i gang, opretholdes Baliafgørelsen om toldkontingenter og de dertil hørende bilag.]</w:t>
      </w:r>
    </w:p>
    <w:p>
      <w:pPr>
        <w:pStyle w:val="Point0number"/>
        <w:numPr>
          <w:ilvl w:val="0"/>
          <w:numId w:val="2"/>
        </w:numPr>
        <w:rPr>
          <w:noProof/>
        </w:rPr>
      </w:pPr>
      <w:r>
        <w:rPr>
          <w:noProof/>
        </w:rPr>
        <w:t>Udvalget forelægger henstillingerne for Det Almindelige Råd om anvendelsen af punkt 4 [i bilag A og i overensstemmelse med punkt 14] inden udgangen af 2021.]</w:t>
      </w:r>
    </w:p>
    <w:p>
      <w:pPr>
        <w:pStyle w:val="Point0number"/>
        <w:numPr>
          <w:ilvl w:val="0"/>
          <w:numId w:val="2"/>
        </w:numPr>
        <w:rPr>
          <w:noProof/>
        </w:rPr>
      </w:pPr>
      <w:r>
        <w:rPr>
          <w:noProof/>
        </w:rPr>
        <w:t>I erkendelse af betydningen af at øge gennemsigtigheden i forbindelse med forvaltningen af toldkontingenter og udnyttelsesgrader og betydningen af, at medlemmerne rettidigt indsender deres meddelelser, og i erkendelse af, at onlinesystemet til meddelelser vedrørende landbrug bør føre til øget harmonisering, er udvalget nået til enighed om følgende:</w:t>
      </w:r>
    </w:p>
    <w:p>
      <w:pPr>
        <w:pStyle w:val="Point1letter"/>
        <w:rPr>
          <w:noProof/>
        </w:rPr>
      </w:pPr>
      <w:r>
        <w:rPr>
          <w:noProof/>
        </w:rPr>
        <w:t xml:space="preserve">Sekretariatet udarbejder en liste over medlemmernes nuværende praksis for meddelelser om toldkontingenter, herunder i tilfælde hvor et planlagt toldkontingent ikke er blevet åbnet. </w:t>
      </w:r>
    </w:p>
    <w:p>
      <w:pPr>
        <w:pStyle w:val="Point1letter"/>
        <w:rPr>
          <w:noProof/>
        </w:rPr>
      </w:pPr>
      <w:r>
        <w:rPr>
          <w:noProof/>
        </w:rPr>
        <w:t xml:space="preserve">Udvalget indleder drøftelser om harmonisering af procedurer for medlemmernes meddelelser om toldkontingenter, herunder for udnyttelsen af toldkontingenterne.  </w:t>
      </w:r>
    </w:p>
    <w:p>
      <w:pPr>
        <w:pStyle w:val="Point1letter"/>
        <w:rPr>
          <w:noProof/>
        </w:rPr>
      </w:pPr>
      <w:r>
        <w:rPr>
          <w:noProof/>
        </w:rPr>
        <w:t>Udvalget opfordrer medlemmerne til, at deres meddelelser (tabel MA:2) vedlægges en begrundelse i tilfælde, hvor planlagte toldkontingenter ikke er åbnet.</w:t>
      </w:r>
    </w:p>
    <w:p>
      <w:pPr>
        <w:pStyle w:val="Point1letter"/>
        <w:rPr>
          <w:noProof/>
        </w:rPr>
      </w:pPr>
      <w:r>
        <w:rPr>
          <w:noProof/>
        </w:rPr>
        <w:t>Sekretariatet ajourfører regelmæssigt oplysningerne om forvaltningen af toldkontingenterne og udnyttelsesgraderne i G/AG/W/183</w:t>
      </w:r>
      <w:r>
        <w:rPr>
          <w:rStyle w:val="FootnoteReference"/>
          <w:noProof/>
        </w:rPr>
        <w:footnoteReference w:id="10"/>
      </w:r>
      <w:r>
        <w:rPr>
          <w:noProof/>
        </w:rPr>
        <w:t>, om hvilke medlemmer, der har indsendt meddelelser om udnyttelsesgraden, og om spørgsmål vedrørende udnyttelsesgrade, som er taget op i udvalget.</w:t>
      </w:r>
    </w:p>
    <w:p>
      <w:pPr>
        <w:pStyle w:val="Point1letter"/>
        <w:rPr>
          <w:noProof/>
        </w:rPr>
      </w:pPr>
      <w:r>
        <w:rPr>
          <w:noProof/>
        </w:rPr>
        <w:t>På grundlag af medlemmernes bemærkninger skal udvalget gennemgå undersøge årsagerne til, at underudnyttelsesmekanismen endnu ikke er blevet bragt i anvendelse.</w:t>
      </w:r>
    </w:p>
    <w:p>
      <w:pPr>
        <w:pStyle w:val="Point0number"/>
        <w:rPr>
          <w:noProof/>
        </w:rPr>
      </w:pPr>
      <w:r>
        <w:rPr>
          <w:noProof/>
        </w:rPr>
        <w:t>Udvalget accepterer at foretage regelmæssig gennemgang af funktionen af Baliafgørelsen hvert tredje år efter afslutningen af denne gennemgang. Disse regelmæssige gennemgange vil bl.a. omfatte en undersøgelse af medlemmernes anvendelse af underudnyttelsesmekanismen på grundlag af medlemmers bemærkninger.</w:t>
      </w:r>
    </w:p>
    <w:p>
      <w:pPr>
        <w:spacing w:before="0" w:after="0"/>
        <w:jc w:val="center"/>
        <w:rPr>
          <w:noProof/>
          <w:szCs w:val="24"/>
        </w:rPr>
      </w:pPr>
      <w:r>
        <w:rPr>
          <w:b/>
          <w:noProof/>
        </w:rPr>
        <w:t>__________</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firstLine="0"/>
      </w:pPr>
      <w:r>
        <w:rPr>
          <w:rStyle w:val="FootnoteReference"/>
          <w:szCs w:val="16"/>
        </w:rPr>
        <w:footnoteRef/>
      </w:r>
      <w:r>
        <w:tab/>
        <w:t>Punkt 13 i WT/MIN(13)/39. Der er endnu ikke rapporteret om erfaringer med hensyn til anvendelse af underudnyttelsesmekanismen.</w:t>
      </w:r>
    </w:p>
  </w:footnote>
  <w:footnote w:id="2">
    <w:p>
      <w:pPr>
        <w:pStyle w:val="FootnoteText"/>
        <w:ind w:firstLine="0"/>
      </w:pPr>
      <w:r>
        <w:rPr>
          <w:rStyle w:val="FootnoteReference"/>
          <w:szCs w:val="16"/>
        </w:rPr>
        <w:footnoteRef/>
      </w:r>
      <w:r>
        <w:tab/>
        <w:t>Se afsnit 2.2.1 i G/AG/R/86.</w:t>
      </w:r>
    </w:p>
  </w:footnote>
  <w:footnote w:id="3">
    <w:p>
      <w:pPr>
        <w:pStyle w:val="FootnoteText"/>
        <w:ind w:firstLine="0"/>
      </w:pPr>
      <w:r>
        <w:rPr>
          <w:rStyle w:val="FootnoteReference"/>
          <w:szCs w:val="16"/>
        </w:rPr>
        <w:footnoteRef/>
      </w:r>
      <w:r>
        <w:tab/>
        <w:t xml:space="preserve">Se afsnit 2.5.1 i G/AG/R/87. </w:t>
      </w:r>
    </w:p>
  </w:footnote>
  <w:footnote w:id="4">
    <w:p>
      <w:pPr>
        <w:pStyle w:val="FootnoteText"/>
        <w:ind w:firstLine="0"/>
      </w:pPr>
      <w:r>
        <w:rPr>
          <w:rStyle w:val="FootnoteReference"/>
        </w:rPr>
        <w:footnoteRef/>
      </w:r>
      <w:r>
        <w:tab/>
        <w:t xml:space="preserve">Ved mødet i juni 2019 nåede udvalget til enighed om at forlænge fristen for færdiggørelsen af rapporten om gennemgangen til mødet i oktober 2019.  </w:t>
      </w:r>
    </w:p>
  </w:footnote>
  <w:footnote w:id="5">
    <w:p>
      <w:pPr>
        <w:pStyle w:val="FootnoteText"/>
        <w:ind w:firstLine="0"/>
      </w:pPr>
      <w:r>
        <w:rPr>
          <w:rStyle w:val="FootnoteReference"/>
          <w:szCs w:val="16"/>
        </w:rPr>
        <w:footnoteRef/>
      </w:r>
      <w:r>
        <w:tab/>
        <w:t>G/AG/W/183.</w:t>
      </w:r>
    </w:p>
  </w:footnote>
  <w:footnote w:id="6">
    <w:p>
      <w:pPr>
        <w:pStyle w:val="FootnoteText"/>
        <w:ind w:firstLine="0"/>
        <w:rPr>
          <w:vertAlign w:val="superscript"/>
        </w:rPr>
      </w:pPr>
      <w:r>
        <w:rPr>
          <w:rStyle w:val="FootnoteReference"/>
          <w:szCs w:val="16"/>
        </w:rPr>
        <w:footnoteRef/>
      </w:r>
      <w:r>
        <w:tab/>
        <w:t>Der er ikke enighed blandt medlemmerne om disse elementer eller om, hvordan de skal behandles i henstillingerne.</w:t>
      </w:r>
    </w:p>
  </w:footnote>
  <w:footnote w:id="7">
    <w:p>
      <w:pPr>
        <w:pStyle w:val="FootnoteText"/>
        <w:ind w:firstLine="0"/>
      </w:pPr>
      <w:r>
        <w:rPr>
          <w:rStyle w:val="FootnoteReference"/>
        </w:rPr>
        <w:footnoteRef/>
      </w:r>
      <w:r>
        <w:tab/>
        <w:t>I punkt 9 i ministerafgørelsen fra Bali om toldkontingenter henvises der til omfordelingsprocessen. Desuden henvises der i fodnote 3 og 5 i bilag A til Baliafgørelsen til de rettigheder, som medlemmer med en landespecifik tildeling specifikt i forbindelse med underudnyttelsesmekanisme har.</w:t>
      </w:r>
    </w:p>
  </w:footnote>
  <w:footnote w:id="8">
    <w:p>
      <w:pPr>
        <w:pStyle w:val="FootnoteText"/>
      </w:pPr>
      <w:r>
        <w:rPr>
          <w:rStyle w:val="FootnoteReference"/>
        </w:rPr>
        <w:footnoteRef/>
      </w:r>
      <w:r>
        <w:tab/>
        <w:t>Dokument G/AG/W/171 af 9. februar 2018.</w:t>
      </w:r>
    </w:p>
  </w:footnote>
  <w:footnote w:id="9">
    <w:p>
      <w:pPr>
        <w:pStyle w:val="FootnoteText"/>
      </w:pPr>
      <w:r>
        <w:rPr>
          <w:rStyle w:val="FootnoteReference"/>
        </w:rPr>
        <w:footnoteRef/>
      </w:r>
      <w:r>
        <w:tab/>
        <w:t>WT/MIN (13)/39 og WT/L/914</w:t>
      </w:r>
      <w:r>
        <w:rPr>
          <w:rStyle w:val="FootnoteReference"/>
          <w:szCs w:val="16"/>
        </w:rPr>
        <w:t xml:space="preserve"> </w:t>
      </w:r>
      <w:r>
        <w:t>af 11. december 2013.</w:t>
      </w:r>
    </w:p>
  </w:footnote>
  <w:footnote w:id="10">
    <w:p>
      <w:pPr>
        <w:pStyle w:val="FootnoteText"/>
      </w:pPr>
      <w:r>
        <w:rPr>
          <w:rStyle w:val="FootnoteReference"/>
        </w:rPr>
        <w:footnoteRef/>
      </w:r>
      <w:r>
        <w:tab/>
        <w:t>Sekretariatets baggrundsnotat kan specifikt indeholde en liste over toldkontingenter, for hvilke der ikke er indsendt nogen meddelelse (tabel MA:2), eller som har en udnyttelsesgrad på under 65 %.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3C97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BC41F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EE03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EEED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C038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9A0C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E8B336"/>
    <w:lvl w:ilvl="0">
      <w:start w:val="1"/>
      <w:numFmt w:val="decimal"/>
      <w:pStyle w:val="ListNumber"/>
      <w:lvlText w:val="%1."/>
      <w:lvlJc w:val="left"/>
      <w:pPr>
        <w:tabs>
          <w:tab w:val="num" w:pos="360"/>
        </w:tabs>
        <w:ind w:left="360" w:hanging="360"/>
      </w:pPr>
    </w:lvl>
  </w:abstractNum>
  <w:abstractNum w:abstractNumId="7">
    <w:nsid w:val="FFFFFF89"/>
    <w:multiLevelType w:val="singleLevel"/>
    <w:tmpl w:val="F34060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7551E12"/>
    <w:multiLevelType w:val="multilevel"/>
    <w:tmpl w:val="CC5217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7"/>
  </w:num>
  <w:num w:numId="22">
    <w:abstractNumId w:val="18"/>
  </w:num>
  <w:num w:numId="23">
    <w:abstractNumId w:val="10"/>
  </w:num>
  <w:num w:numId="24">
    <w:abstractNumId w:val="15"/>
  </w:num>
  <w:num w:numId="25">
    <w:abstractNumId w:val="22"/>
  </w:num>
  <w:num w:numId="26">
    <w:abstractNumId w:val="19"/>
  </w:num>
  <w:num w:numId="27">
    <w:abstractNumId w:val="12"/>
  </w:num>
  <w:num w:numId="28">
    <w:abstractNumId w:val="21"/>
  </w:num>
  <w:num w:numId="29">
    <w:abstractNumId w:val="11"/>
  </w:num>
  <w:num w:numId="30">
    <w:abstractNumId w:val="13"/>
  </w:num>
  <w:num w:numId="31">
    <w:abstractNumId w:val="9"/>
  </w:num>
  <w:num w:numId="32">
    <w:abstractNumId w:val="20"/>
  </w:num>
  <w:num w:numId="33">
    <w:abstractNumId w:val="8"/>
  </w:num>
  <w:num w:numId="34">
    <w:abstractNumId w:val="14"/>
  </w:num>
  <w:num w:numId="35">
    <w:abstractNumId w:val="17"/>
  </w:num>
  <w:num w:numId="36">
    <w:abstractNumId w:val="18"/>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28 15:50: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1"/>
    <w:docVar w:name="LW_ANNEX_UNIQUE" w:val="1"/>
    <w:docVar w:name="LW_CORRIGENDUM" w:val="&lt;UNUSED&gt;"/>
    <w:docVar w:name="LW_COVERPAGE_EXISTS" w:val="True"/>
    <w:docVar w:name="LW_COVERPAGE_GUID" w:val="75D9D269-D031-4095-9B0D-C04D501C6C73"/>
    <w:docVar w:name="LW_COVERPAGE_TYPE" w:val="1"/>
    <w:docVar w:name="LW_CROSSREFERENCE" w:val="&lt;UNUSED&gt;"/>
    <w:docVar w:name="LW_DocType" w:val="ANNEX"/>
    <w:docVar w:name="LW_EMISSION" w:val="30.10.2019"/>
    <w:docVar w:name="LW_EMISSION_ISODATE" w:val="2019-10-30"/>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den holdning, der skal indtages på Den Europæiske Unions vegne i Det Almidenlig Råd under Verdenshandelsorganisationen "/>
    <w:docVar w:name="LW_OBJETACTEPRINCIPAL.CP" w:val="om den holdning, der skal indtages på Den Europæiske Unions vegne i Det Almidenlig Råd under Verdenshandelsorganisationen "/>
    <w:docVar w:name="LW_PART_NBR" w:val="1"/>
    <w:docVar w:name="LW_PART_NBR_TOTAL" w:val="1"/>
    <w:docVar w:name="LW_REF.INST.NEW" w:val="COM"/>
    <w:docVar w:name="LW_REF.INST.NEW_ADOPTED" w:val="final"/>
    <w:docVar w:name="LW_REF.INST.NEW_TEXT" w:val="(2019)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 w:val="forslag til_x000b__x000b_RÅDETS AFGØRELSE"/>
    <w:docVar w:name="LW_TYPEACTEPRINCIPAL.CP" w:val="forslag til_x000b__x000b_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1" w:qFormat="1"/>
    <w:lsdException w:name="Body Text 3"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Heading6"/>
    <w:link w:val="Heading5Char"/>
    <w:uiPriority w:val="2"/>
    <w:qFormat/>
    <w:pPr>
      <w:keepNext/>
      <w:keepLines/>
      <w:spacing w:before="0"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pPr>
      <w:keepNext/>
      <w:keepLines/>
      <w:spacing w:before="0" w:after="240"/>
      <w:outlineLvl w:val="5"/>
    </w:pPr>
    <w:rPr>
      <w:rFonts w:ascii="Verdana" w:eastAsiaTheme="majorEastAsia" w:hAnsi="Verdana" w:cstheme="majorBidi"/>
      <w:b/>
      <w:iCs/>
      <w:color w:val="006283"/>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customStyle="1" w:styleId="Heading5Char">
    <w:name w:val="Heading 5 Char"/>
    <w:basedOn w:val="DefaultParagraphFont"/>
    <w:link w:val="Heading5"/>
    <w:uiPriority w:val="2"/>
    <w:rPr>
      <w:rFonts w:ascii="Verdana" w:eastAsiaTheme="majorEastAsia" w:hAnsi="Verdana" w:cstheme="majorBidi"/>
      <w:b/>
      <w:color w:val="006283"/>
      <w:sz w:val="18"/>
      <w:lang w:val="da-DK"/>
    </w:rPr>
  </w:style>
  <w:style w:type="character" w:customStyle="1" w:styleId="Heading6Char">
    <w:name w:val="Heading 6 Char"/>
    <w:basedOn w:val="DefaultParagraphFont"/>
    <w:link w:val="Heading6"/>
    <w:uiPriority w:val="2"/>
    <w:rPr>
      <w:rFonts w:ascii="Verdana" w:eastAsiaTheme="majorEastAsia" w:hAnsi="Verdana" w:cstheme="majorBidi"/>
      <w:b/>
      <w:iCs/>
      <w:color w:val="006283"/>
      <w:sz w:val="18"/>
      <w:lang w:val="da-DK"/>
    </w:rPr>
  </w:style>
  <w:style w:type="paragraph" w:styleId="BodyText">
    <w:name w:val="Body Text"/>
    <w:basedOn w:val="Normal"/>
    <w:link w:val="BodyTextChar"/>
    <w:uiPriority w:val="1"/>
    <w:qFormat/>
    <w:pPr>
      <w:spacing w:before="0" w:after="240"/>
    </w:pPr>
    <w:rPr>
      <w:rFonts w:ascii="Verdana" w:hAnsi="Verdana" w:cstheme="minorBidi"/>
      <w:sz w:val="18"/>
    </w:rPr>
  </w:style>
  <w:style w:type="character" w:customStyle="1" w:styleId="BodyTextChar">
    <w:name w:val="Body Text Char"/>
    <w:basedOn w:val="DefaultParagraphFont"/>
    <w:link w:val="BodyText"/>
    <w:uiPriority w:val="1"/>
    <w:rPr>
      <w:rFonts w:ascii="Verdana" w:hAnsi="Verdana"/>
      <w:sz w:val="18"/>
      <w:lang w:val="da-DK"/>
    </w:rPr>
  </w:style>
  <w:style w:type="paragraph" w:styleId="BodyText2">
    <w:name w:val="Body Text 2"/>
    <w:basedOn w:val="Normal"/>
    <w:link w:val="BodyText2Char"/>
    <w:uiPriority w:val="1"/>
    <w:qFormat/>
    <w:pPr>
      <w:tabs>
        <w:tab w:val="left" w:pos="1134"/>
      </w:tabs>
      <w:spacing w:before="0" w:after="240"/>
      <w:ind w:left="1134" w:hanging="567"/>
    </w:pPr>
    <w:rPr>
      <w:rFonts w:ascii="Verdana" w:hAnsi="Verdana" w:cstheme="minorBidi"/>
      <w:sz w:val="18"/>
    </w:rPr>
  </w:style>
  <w:style w:type="character" w:customStyle="1" w:styleId="BodyText2Char">
    <w:name w:val="Body Text 2 Char"/>
    <w:basedOn w:val="DefaultParagraphFont"/>
    <w:link w:val="BodyText2"/>
    <w:uiPriority w:val="1"/>
    <w:rPr>
      <w:rFonts w:ascii="Verdana" w:hAnsi="Verdana"/>
      <w:sz w:val="18"/>
      <w:lang w:val="da-DK"/>
    </w:rPr>
  </w:style>
  <w:style w:type="paragraph" w:styleId="BodyText3">
    <w:name w:val="Body Text 3"/>
    <w:basedOn w:val="Normal"/>
    <w:link w:val="BodyText3Char"/>
    <w:uiPriority w:val="1"/>
    <w:qFormat/>
    <w:pPr>
      <w:tabs>
        <w:tab w:val="num" w:pos="1701"/>
      </w:tabs>
      <w:spacing w:before="0" w:after="240"/>
      <w:ind w:left="1701" w:hanging="567"/>
    </w:pPr>
    <w:rPr>
      <w:rFonts w:ascii="Verdana" w:hAnsi="Verdana" w:cstheme="minorBidi"/>
      <w:sz w:val="18"/>
      <w:szCs w:val="16"/>
    </w:rPr>
  </w:style>
  <w:style w:type="character" w:customStyle="1" w:styleId="BodyText3Char">
    <w:name w:val="Body Text 3 Char"/>
    <w:basedOn w:val="DefaultParagraphFont"/>
    <w:link w:val="BodyText3"/>
    <w:uiPriority w:val="1"/>
    <w:rPr>
      <w:rFonts w:ascii="Verdana" w:hAnsi="Verdana"/>
      <w:sz w:val="18"/>
      <w:szCs w:val="16"/>
      <w:lang w:val="da-DK"/>
    </w:rPr>
  </w:style>
  <w:style w:type="numbering" w:customStyle="1" w:styleId="LegalHeadings">
    <w:name w:val="LegalHeadings"/>
    <w:uiPriority w:val="99"/>
    <w:pPr>
      <w:numPr>
        <w:numId w:val="1"/>
      </w:numPr>
    </w:pPr>
  </w:style>
  <w:style w:type="table" w:customStyle="1" w:styleId="WTOTable1">
    <w:name w:val="WTOTable1"/>
    <w:basedOn w:val="TableNormal"/>
    <w:uiPriority w:val="99"/>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0"/>
    </w:pPr>
    <w:rPr>
      <w:rFonts w:ascii="Verdana" w:hAnsi="Verdana" w:cstheme="minorBidi"/>
      <w:sz w:val="20"/>
      <w:szCs w:val="20"/>
    </w:rPr>
  </w:style>
  <w:style w:type="character" w:customStyle="1" w:styleId="CommentTextChar">
    <w:name w:val="Comment Text Char"/>
    <w:basedOn w:val="DefaultParagraphFont"/>
    <w:link w:val="CommentText"/>
    <w:uiPriority w:val="99"/>
    <w:rPr>
      <w:rFonts w:ascii="Verdana" w:hAnsi="Verdana"/>
      <w:sz w:val="20"/>
      <w:szCs w:val="20"/>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a">
    <w:name w:val="$"/>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1" w:qFormat="1"/>
    <w:lsdException w:name="Body Text 3"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Heading6"/>
    <w:link w:val="Heading5Char"/>
    <w:uiPriority w:val="2"/>
    <w:qFormat/>
    <w:pPr>
      <w:keepNext/>
      <w:keepLines/>
      <w:spacing w:before="0"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pPr>
      <w:keepNext/>
      <w:keepLines/>
      <w:spacing w:before="0" w:after="240"/>
      <w:outlineLvl w:val="5"/>
    </w:pPr>
    <w:rPr>
      <w:rFonts w:ascii="Verdana" w:eastAsiaTheme="majorEastAsia" w:hAnsi="Verdana" w:cstheme="majorBidi"/>
      <w:b/>
      <w:iCs/>
      <w:color w:val="006283"/>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customStyle="1" w:styleId="Heading5Char">
    <w:name w:val="Heading 5 Char"/>
    <w:basedOn w:val="DefaultParagraphFont"/>
    <w:link w:val="Heading5"/>
    <w:uiPriority w:val="2"/>
    <w:rPr>
      <w:rFonts w:ascii="Verdana" w:eastAsiaTheme="majorEastAsia" w:hAnsi="Verdana" w:cstheme="majorBidi"/>
      <w:b/>
      <w:color w:val="006283"/>
      <w:sz w:val="18"/>
      <w:lang w:val="da-DK"/>
    </w:rPr>
  </w:style>
  <w:style w:type="character" w:customStyle="1" w:styleId="Heading6Char">
    <w:name w:val="Heading 6 Char"/>
    <w:basedOn w:val="DefaultParagraphFont"/>
    <w:link w:val="Heading6"/>
    <w:uiPriority w:val="2"/>
    <w:rPr>
      <w:rFonts w:ascii="Verdana" w:eastAsiaTheme="majorEastAsia" w:hAnsi="Verdana" w:cstheme="majorBidi"/>
      <w:b/>
      <w:iCs/>
      <w:color w:val="006283"/>
      <w:sz w:val="18"/>
      <w:lang w:val="da-DK"/>
    </w:rPr>
  </w:style>
  <w:style w:type="paragraph" w:styleId="BodyText">
    <w:name w:val="Body Text"/>
    <w:basedOn w:val="Normal"/>
    <w:link w:val="BodyTextChar"/>
    <w:uiPriority w:val="1"/>
    <w:qFormat/>
    <w:pPr>
      <w:spacing w:before="0" w:after="240"/>
    </w:pPr>
    <w:rPr>
      <w:rFonts w:ascii="Verdana" w:hAnsi="Verdana" w:cstheme="minorBidi"/>
      <w:sz w:val="18"/>
    </w:rPr>
  </w:style>
  <w:style w:type="character" w:customStyle="1" w:styleId="BodyTextChar">
    <w:name w:val="Body Text Char"/>
    <w:basedOn w:val="DefaultParagraphFont"/>
    <w:link w:val="BodyText"/>
    <w:uiPriority w:val="1"/>
    <w:rPr>
      <w:rFonts w:ascii="Verdana" w:hAnsi="Verdana"/>
      <w:sz w:val="18"/>
      <w:lang w:val="da-DK"/>
    </w:rPr>
  </w:style>
  <w:style w:type="paragraph" w:styleId="BodyText2">
    <w:name w:val="Body Text 2"/>
    <w:basedOn w:val="Normal"/>
    <w:link w:val="BodyText2Char"/>
    <w:uiPriority w:val="1"/>
    <w:qFormat/>
    <w:pPr>
      <w:tabs>
        <w:tab w:val="left" w:pos="1134"/>
      </w:tabs>
      <w:spacing w:before="0" w:after="240"/>
      <w:ind w:left="1134" w:hanging="567"/>
    </w:pPr>
    <w:rPr>
      <w:rFonts w:ascii="Verdana" w:hAnsi="Verdana" w:cstheme="minorBidi"/>
      <w:sz w:val="18"/>
    </w:rPr>
  </w:style>
  <w:style w:type="character" w:customStyle="1" w:styleId="BodyText2Char">
    <w:name w:val="Body Text 2 Char"/>
    <w:basedOn w:val="DefaultParagraphFont"/>
    <w:link w:val="BodyText2"/>
    <w:uiPriority w:val="1"/>
    <w:rPr>
      <w:rFonts w:ascii="Verdana" w:hAnsi="Verdana"/>
      <w:sz w:val="18"/>
      <w:lang w:val="da-DK"/>
    </w:rPr>
  </w:style>
  <w:style w:type="paragraph" w:styleId="BodyText3">
    <w:name w:val="Body Text 3"/>
    <w:basedOn w:val="Normal"/>
    <w:link w:val="BodyText3Char"/>
    <w:uiPriority w:val="1"/>
    <w:qFormat/>
    <w:pPr>
      <w:tabs>
        <w:tab w:val="num" w:pos="1701"/>
      </w:tabs>
      <w:spacing w:before="0" w:after="240"/>
      <w:ind w:left="1701" w:hanging="567"/>
    </w:pPr>
    <w:rPr>
      <w:rFonts w:ascii="Verdana" w:hAnsi="Verdana" w:cstheme="minorBidi"/>
      <w:sz w:val="18"/>
      <w:szCs w:val="16"/>
    </w:rPr>
  </w:style>
  <w:style w:type="character" w:customStyle="1" w:styleId="BodyText3Char">
    <w:name w:val="Body Text 3 Char"/>
    <w:basedOn w:val="DefaultParagraphFont"/>
    <w:link w:val="BodyText3"/>
    <w:uiPriority w:val="1"/>
    <w:rPr>
      <w:rFonts w:ascii="Verdana" w:hAnsi="Verdana"/>
      <w:sz w:val="18"/>
      <w:szCs w:val="16"/>
      <w:lang w:val="da-DK"/>
    </w:rPr>
  </w:style>
  <w:style w:type="numbering" w:customStyle="1" w:styleId="LegalHeadings">
    <w:name w:val="LegalHeadings"/>
    <w:uiPriority w:val="99"/>
    <w:pPr>
      <w:numPr>
        <w:numId w:val="1"/>
      </w:numPr>
    </w:pPr>
  </w:style>
  <w:style w:type="table" w:customStyle="1" w:styleId="WTOTable1">
    <w:name w:val="WTOTable1"/>
    <w:basedOn w:val="TableNormal"/>
    <w:uiPriority w:val="99"/>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0"/>
    </w:pPr>
    <w:rPr>
      <w:rFonts w:ascii="Verdana" w:hAnsi="Verdana" w:cstheme="minorBidi"/>
      <w:sz w:val="20"/>
      <w:szCs w:val="20"/>
    </w:rPr>
  </w:style>
  <w:style w:type="character" w:customStyle="1" w:styleId="CommentTextChar">
    <w:name w:val="Comment Text Char"/>
    <w:basedOn w:val="DefaultParagraphFont"/>
    <w:link w:val="CommentText"/>
    <w:uiPriority w:val="99"/>
    <w:rPr>
      <w:rFonts w:ascii="Verdana" w:hAnsi="Verdana"/>
      <w:sz w:val="20"/>
      <w:szCs w:val="20"/>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a">
    <w:name w:val="$"/>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6</Pages>
  <Words>1307</Words>
  <Characters>8512</Characters>
  <Application>Microsoft Office Word</Application>
  <DocSecurity>0</DocSecurity>
  <Lines>189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BERNER Christiane (AGRI)</dc:creator>
  <cp:keywords/>
  <dc:description/>
  <cp:lastModifiedBy>WES PDFC Administrator</cp:lastModifiedBy>
  <cp:revision>9</cp:revision>
  <dcterms:created xsi:type="dcterms:W3CDTF">2019-10-28T09:06:00Z</dcterms:created>
  <dcterms:modified xsi:type="dcterms:W3CDTF">2019-10-28T14:50:00Z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