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DD1F7A2-E0B9-4233-A449-A9D965B35F60" style="width:450.8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szCs w:val="24"/>
          <w:u w:val="none"/>
        </w:rPr>
      </w:pPr>
      <w:bookmarkStart w:id="0" w:name="_GoBack"/>
      <w:bookmarkEnd w:id="0"/>
      <w:r>
        <w:rPr>
          <w:noProof/>
          <w:u w:val="none"/>
        </w:rPr>
        <w:lastRenderedPageBreak/>
        <w:t xml:space="preserve">BIJLAGE </w:t>
      </w:r>
    </w:p>
    <w:p>
      <w:pPr>
        <w:spacing w:before="480" w:after="240"/>
        <w:contextualSpacing/>
        <w:jc w:val="center"/>
        <w:rPr>
          <w:rFonts w:eastAsiaTheme="majorEastAsia"/>
          <w:b/>
          <w:caps/>
          <w:noProof/>
          <w:kern w:val="28"/>
          <w:szCs w:val="24"/>
        </w:rPr>
      </w:pPr>
      <w:r>
        <w:rPr>
          <w:b/>
          <w:caps/>
          <w:noProof/>
        </w:rPr>
        <w:t>TOETSING VAN DE WERKING VAN HET BESLUIT VAN BALI INZAKE HET BEHEER VAN TARIEFCONTINGENTEN</w:t>
      </w:r>
    </w:p>
    <w:p>
      <w:pPr>
        <w:spacing w:before="0" w:after="360"/>
        <w:jc w:val="center"/>
        <w:rPr>
          <w:rFonts w:eastAsia="Calibri"/>
          <w:caps/>
          <w:noProof/>
          <w:szCs w:val="24"/>
        </w:rPr>
      </w:pPr>
      <w:r>
        <w:rPr>
          <w:caps/>
          <w:noProof/>
        </w:rPr>
        <w:t xml:space="preserve">Verslag aan de Algemene Raad </w:t>
      </w:r>
    </w:p>
    <w:p>
      <w:pPr>
        <w:pStyle w:val="Point0number"/>
        <w:numPr>
          <w:ilvl w:val="0"/>
          <w:numId w:val="3"/>
        </w:numPr>
        <w:rPr>
          <w:noProof/>
          <w:szCs w:val="24"/>
        </w:rPr>
      </w:pPr>
      <w:r>
        <w:rPr>
          <w:noProof/>
        </w:rPr>
        <w:t>Tijdens de negende zitting van de Ministeriële Conferentie hebben de ministers het besluit inzake het “memorandum van overeenstemming betreffende de bepalingen voor het beheer van de tariefcontingenten voor landbouwproducten, zoals omschreven in artikel 2 van de Overeenkomst inzake de landbouw” (WT/MIN (13)/39) (hierna het “besluit van Bali inzake tariefcontingenten” genoemd) aangenomen. De ministers hebben de Landbouwcommissie opgedragen de uitvoering van de verplichtingen van de leden in het kader van het besluit van Bali inzake tariefcontingenten te toetsen en te monitoren, teneinde ervoor te zorgen dat de toetsing een continu proces van verbetering van de benutting van de tariefcontingenten bevordert de toetsing moest uiterlijk in 2017 aanvangen, en er moest rekening worden gehouden met de tot dan toe opgedane ervaring</w:t>
      </w:r>
      <w:r>
        <w:rPr>
          <w:rStyle w:val="FootnoteReference"/>
          <w:noProof/>
        </w:rPr>
        <w:footnoteReference w:id="1"/>
      </w:r>
      <w:r>
        <w:rPr>
          <w:noProof/>
        </w:rPr>
        <w:t>. De toetsingsbesprekingen zijn begonnen in de vergadering van de Landbouwcommissie van oktober 2017</w:t>
      </w:r>
      <w:r>
        <w:rPr>
          <w:rStyle w:val="FootnoteReference"/>
          <w:noProof/>
        </w:rPr>
        <w:footnoteReference w:id="2"/>
      </w:r>
      <w:r>
        <w:rPr>
          <w:noProof/>
        </w:rPr>
        <w:t>. Tijdens de vergadering van februari 2018 stemde de Landbouwcommissie in met de procedure en de termijnen voor het verrichten van de toetsing in document G/AG/W/171</w:t>
      </w:r>
      <w:r>
        <w:rPr>
          <w:rStyle w:val="FootnoteReference"/>
          <w:noProof/>
        </w:rPr>
        <w:footnoteReference w:id="3"/>
      </w:r>
      <w:r>
        <w:rPr>
          <w:noProof/>
        </w:rPr>
        <w:t>. Overeenkomstig de overeengekomen procedure is de toetsing verricht via open, informele vergaderingen van de Landbouwcommissie die in de marge van de normale vergaderingen van de Landbouwcommissie werden gehouden</w:t>
      </w:r>
      <w:r>
        <w:rPr>
          <w:rStyle w:val="FootnoteReference"/>
          <w:noProof/>
        </w:rPr>
        <w:footnoteReference w:id="4"/>
      </w:r>
      <w:r>
        <w:rPr>
          <w:noProof/>
        </w:rPr>
        <w:t>.</w:t>
      </w:r>
    </w:p>
    <w:p>
      <w:pPr>
        <w:pStyle w:val="Point0number"/>
        <w:rPr>
          <w:noProof/>
        </w:rPr>
      </w:pPr>
      <w:r>
        <w:rPr>
          <w:noProof/>
        </w:rPr>
        <w:t>De leden bespraken de toetsing in vier informele vergaderingen van de Landbouwcommissie in 2018, op 20 februari, 11 juni, 25 september en 26 november. Tijdens de informele vergadering van november werd een thematische sessie over het beheer van tariefcontingenten en onderbenutting gehouden, waaraan vertegenwoordigers van de sector deelnamen. Enkele leden hebben ook schriftelijk aan de toetsingsbesprekingen bijgedragen. Evenzo heeft het secretariaat, naar aanleiding van verzoeken van leden en overeenkomstig de procedure en de termijnen die voor het verrichten van de toetsing waren overeengekomen, een achtergrondnota</w:t>
      </w:r>
      <w:r>
        <w:rPr>
          <w:rStyle w:val="FootnoteReference"/>
          <w:noProof/>
        </w:rPr>
        <w:footnoteReference w:id="5"/>
      </w:r>
      <w:r>
        <w:rPr>
          <w:noProof/>
        </w:rPr>
        <w:t xml:space="preserve"> over het beheer en de benuttingsgraden van tariefcontingenten opgesteld om de toetsing te faciliteren. </w:t>
      </w:r>
      <w:r>
        <w:rPr>
          <w:b/>
          <w:noProof/>
        </w:rPr>
        <w:t>Bijlage 1</w:t>
      </w:r>
      <w:r>
        <w:rPr>
          <w:noProof/>
        </w:rPr>
        <w:t xml:space="preserve"> bevat een lijst van alle documenten die tot dusver bij de toetsing in aanmerking zijn genomen. </w:t>
      </w:r>
    </w:p>
    <w:p>
      <w:pPr>
        <w:pStyle w:val="Point0number"/>
        <w:rPr>
          <w:noProof/>
        </w:rPr>
      </w:pPr>
      <w:r>
        <w:rPr>
          <w:noProof/>
        </w:rPr>
        <w:t xml:space="preserve">Tijdens de toetsingsbesprekingen hebben de leden de volgende thema’s naar voren geschoven: 1) doeltreffende uitvoering en follow-up van materiële verplichtingen die voortvloeien uit het besluit van Bali inzake tariefcontingenten; 2) transparantievereisten inzake tariefcontingenten; 3) het </w:t>
      </w:r>
      <w:r>
        <w:rPr>
          <w:noProof/>
        </w:rPr>
        <w:lastRenderedPageBreak/>
        <w:t>onderbenuttingsmechanisme. Hieronder zijn enkele punten</w:t>
      </w:r>
      <w:r>
        <w:rPr>
          <w:rStyle w:val="FootnoteReference"/>
          <w:noProof/>
        </w:rPr>
        <w:footnoteReference w:id="6"/>
      </w:r>
      <w:r>
        <w:rPr>
          <w:noProof/>
        </w:rPr>
        <w:t xml:space="preserve"> opgenomen die in het kader van elk van de drie thema’s aan de orde zijn gesteld, waaronder tijdens de thematische besprekingen in november.</w:t>
      </w:r>
    </w:p>
    <w:p>
      <w:pPr>
        <w:spacing w:before="0" w:after="240"/>
        <w:outlineLvl w:val="1"/>
        <w:rPr>
          <w:b/>
          <w:noProof/>
          <w:szCs w:val="24"/>
        </w:rPr>
      </w:pPr>
      <w:r>
        <w:rPr>
          <w:b/>
          <w:noProof/>
        </w:rPr>
        <w:t xml:space="preserve">DOELTREFFENDE UITVOERING EN FOLLOW-UP </w:t>
      </w:r>
    </w:p>
    <w:p>
      <w:pPr>
        <w:pStyle w:val="Point1"/>
        <w:rPr>
          <w:rFonts w:ascii="Verdana" w:hAnsi="Verdana"/>
          <w:noProof/>
          <w:sz w:val="16"/>
        </w:rPr>
      </w:pPr>
      <w:r>
        <w:rPr>
          <w:noProof/>
        </w:rPr>
        <w:t>i.</w:t>
      </w:r>
      <w:r>
        <w:rPr>
          <w:noProof/>
        </w:rPr>
        <w:tab/>
        <w:t>Het opnieuw toewijzen van ongebruikte vergunningen binnen een tariefcontingent;</w:t>
      </w:r>
      <w:r>
        <w:rPr>
          <w:noProof/>
          <w:vertAlign w:val="superscript"/>
        </w:rPr>
        <w:t xml:space="preserve"> </w:t>
      </w:r>
    </w:p>
    <w:p>
      <w:pPr>
        <w:pStyle w:val="Point1"/>
        <w:rPr>
          <w:noProof/>
        </w:rPr>
      </w:pPr>
      <w:r>
        <w:rPr>
          <w:noProof/>
        </w:rPr>
        <w:t>ii.</w:t>
      </w:r>
      <w:r>
        <w:rPr>
          <w:noProof/>
        </w:rPr>
        <w:tab/>
        <w:t>Procedures voor het opnieuw toewijzen, waaronder met betrekking tot landspecifieke toewijzingen</w:t>
      </w:r>
      <w:r>
        <w:rPr>
          <w:rStyle w:val="FootnoteReference"/>
          <w:noProof/>
        </w:rPr>
        <w:footnoteReference w:id="7"/>
      </w:r>
      <w:r>
        <w:rPr>
          <w:noProof/>
        </w:rPr>
        <w:t>;</w:t>
      </w:r>
    </w:p>
    <w:p>
      <w:pPr>
        <w:pStyle w:val="Point1"/>
        <w:rPr>
          <w:noProof/>
        </w:rPr>
      </w:pPr>
      <w:r>
        <w:rPr>
          <w:noProof/>
        </w:rPr>
        <w:t>iii.</w:t>
      </w:r>
      <w:r>
        <w:rPr>
          <w:noProof/>
        </w:rPr>
        <w:tab/>
        <w:t>Delen van ervaringen en beste praktijken met betrekking tot het verbeteren van de benutting van tariefcontingenten, waaronder het opnieuw toewijzen van tariefcontingenten in het kader van regionale handelsovereenkomsten.</w:t>
      </w:r>
    </w:p>
    <w:p>
      <w:pPr>
        <w:rPr>
          <w:b/>
          <w:noProof/>
          <w:szCs w:val="24"/>
        </w:rPr>
      </w:pPr>
      <w:r>
        <w:rPr>
          <w:b/>
          <w:noProof/>
        </w:rPr>
        <w:t xml:space="preserve">TRANSPARANTIEVEREISTEN INZAKE TARIEFCONTINGENTEN  </w:t>
      </w:r>
    </w:p>
    <w:p>
      <w:pPr>
        <w:pStyle w:val="Point1"/>
        <w:rPr>
          <w:noProof/>
        </w:rPr>
      </w:pPr>
      <w:r>
        <w:rPr>
          <w:noProof/>
        </w:rPr>
        <w:t>i.</w:t>
      </w:r>
      <w:r>
        <w:rPr>
          <w:noProof/>
        </w:rPr>
        <w:tab/>
        <w:t>Tijdige en volledige kennisgevingen van tariefcontingenten;</w:t>
      </w:r>
    </w:p>
    <w:p>
      <w:pPr>
        <w:pStyle w:val="Point1"/>
        <w:rPr>
          <w:noProof/>
        </w:rPr>
      </w:pPr>
      <w:r>
        <w:rPr>
          <w:noProof/>
        </w:rPr>
        <w:t>ii.</w:t>
      </w:r>
      <w:r>
        <w:rPr>
          <w:noProof/>
        </w:rPr>
        <w:tab/>
        <w:t>Snelle rapportage van wijzigingen in het beheer van tariefcontingenten;</w:t>
      </w:r>
    </w:p>
    <w:p>
      <w:pPr>
        <w:pStyle w:val="Point1"/>
        <w:rPr>
          <w:noProof/>
        </w:rPr>
      </w:pPr>
      <w:r>
        <w:rPr>
          <w:noProof/>
        </w:rPr>
        <w:t>iii.</w:t>
      </w:r>
      <w:r>
        <w:rPr>
          <w:noProof/>
        </w:rPr>
        <w:tab/>
        <w:t>Consistente rapportage van benuttingsgraden door alle leden met verplichtingen op het gebied van tariefcontingenten;</w:t>
      </w:r>
    </w:p>
    <w:p>
      <w:pPr>
        <w:pStyle w:val="Point1"/>
        <w:rPr>
          <w:noProof/>
        </w:rPr>
      </w:pPr>
      <w:r>
        <w:rPr>
          <w:noProof/>
        </w:rPr>
        <w:t>iv.</w:t>
      </w:r>
      <w:r>
        <w:rPr>
          <w:noProof/>
        </w:rPr>
        <w:tab/>
        <w:t>Geharmoniseerde kennisgevingspraktijken (bijvoorbeeld voor niet geopende tariefcontingenten of geplande tariefcontingenten zonder tariefvoordeel);</w:t>
      </w:r>
    </w:p>
    <w:p>
      <w:pPr>
        <w:pStyle w:val="Point1"/>
        <w:rPr>
          <w:noProof/>
        </w:rPr>
      </w:pPr>
      <w:r>
        <w:rPr>
          <w:noProof/>
        </w:rPr>
        <w:t>v.</w:t>
      </w:r>
      <w:r>
        <w:rPr>
          <w:noProof/>
        </w:rPr>
        <w:tab/>
        <w:t>Rapportage van redenen voor onderbenutting;</w:t>
      </w:r>
    </w:p>
    <w:p>
      <w:pPr>
        <w:pStyle w:val="Point1"/>
        <w:rPr>
          <w:noProof/>
        </w:rPr>
      </w:pPr>
      <w:r>
        <w:rPr>
          <w:noProof/>
        </w:rPr>
        <w:t>vi.</w:t>
      </w:r>
      <w:r>
        <w:rPr>
          <w:noProof/>
        </w:rPr>
        <w:tab/>
        <w:t>Het delen van nationale ervaringen en beste praktijken op het gebied van het beheer van tariefcontingenten;</w:t>
      </w:r>
    </w:p>
    <w:p>
      <w:pPr>
        <w:pStyle w:val="Point1"/>
        <w:rPr>
          <w:noProof/>
        </w:rPr>
      </w:pPr>
      <w:r>
        <w:rPr>
          <w:noProof/>
        </w:rPr>
        <w:t>vii.</w:t>
      </w:r>
      <w:r>
        <w:rPr>
          <w:noProof/>
        </w:rPr>
        <w:tab/>
        <w:t>Bijzondere en gedifferentieerde behandeling (omslachtigheid van de kennisgevingsvereisten);</w:t>
      </w:r>
    </w:p>
    <w:p>
      <w:pPr>
        <w:pStyle w:val="Point1"/>
        <w:rPr>
          <w:noProof/>
        </w:rPr>
      </w:pPr>
      <w:r>
        <w:rPr>
          <w:noProof/>
        </w:rPr>
        <w:t>viii.</w:t>
      </w:r>
      <w:r>
        <w:rPr>
          <w:noProof/>
        </w:rPr>
        <w:tab/>
        <w:t>Koppeling met kennisgevingsvereisten op het gebied van invoervergunningsprocedures;</w:t>
      </w:r>
    </w:p>
    <w:p>
      <w:pPr>
        <w:pStyle w:val="Point1"/>
        <w:rPr>
          <w:noProof/>
        </w:rPr>
      </w:pPr>
      <w:r>
        <w:rPr>
          <w:noProof/>
        </w:rPr>
        <w:t>ix.</w:t>
      </w:r>
      <w:r>
        <w:rPr>
          <w:noProof/>
        </w:rPr>
        <w:tab/>
        <w:t>Technische bijstand van het secretariaat met het oog op een betere naleving van de kennisgevingsverplichtingen door leden.</w:t>
      </w:r>
    </w:p>
    <w:p>
      <w:pPr>
        <w:rPr>
          <w:b/>
          <w:noProof/>
          <w:szCs w:val="24"/>
        </w:rPr>
      </w:pPr>
      <w:r>
        <w:rPr>
          <w:b/>
          <w:noProof/>
        </w:rPr>
        <w:t>ONDERBENUTTINGSMECHANISME</w:t>
      </w:r>
    </w:p>
    <w:p>
      <w:pPr>
        <w:pStyle w:val="Point1"/>
        <w:rPr>
          <w:noProof/>
        </w:rPr>
      </w:pPr>
      <w:r>
        <w:rPr>
          <w:noProof/>
        </w:rPr>
        <w:t>i.</w:t>
      </w:r>
      <w:r>
        <w:rPr>
          <w:noProof/>
        </w:rPr>
        <w:tab/>
        <w:t>Uiteenlopende verplichtingen van leden (punt 4 van bijlage A);</w:t>
      </w:r>
    </w:p>
    <w:p>
      <w:pPr>
        <w:pStyle w:val="Point1"/>
        <w:rPr>
          <w:noProof/>
        </w:rPr>
      </w:pPr>
      <w:r>
        <w:rPr>
          <w:noProof/>
        </w:rPr>
        <w:t>ii.</w:t>
      </w:r>
      <w:r>
        <w:rPr>
          <w:noProof/>
        </w:rPr>
        <w:tab/>
        <w:t>Bijzondere en gedifferentieerde behandeling;</w:t>
      </w:r>
    </w:p>
    <w:p>
      <w:pPr>
        <w:pStyle w:val="Point1"/>
        <w:rPr>
          <w:noProof/>
        </w:rPr>
      </w:pPr>
      <w:r>
        <w:rPr>
          <w:noProof/>
        </w:rPr>
        <w:t>iii.</w:t>
      </w:r>
      <w:r>
        <w:rPr>
          <w:noProof/>
        </w:rPr>
        <w:tab/>
        <w:t>Mogelijk minder dan universele toepassing in de toekomst;</w:t>
      </w:r>
    </w:p>
    <w:p>
      <w:pPr>
        <w:pStyle w:val="Point1"/>
        <w:rPr>
          <w:noProof/>
        </w:rPr>
      </w:pPr>
      <w:r>
        <w:rPr>
          <w:noProof/>
        </w:rPr>
        <w:t>iv.</w:t>
      </w:r>
      <w:r>
        <w:rPr>
          <w:noProof/>
        </w:rPr>
        <w:tab/>
        <w:t>Koppeling tussen bijlage B en punt 4 van bijlage A;</w:t>
      </w:r>
    </w:p>
    <w:p>
      <w:pPr>
        <w:pStyle w:val="Point1"/>
        <w:rPr>
          <w:noProof/>
        </w:rPr>
      </w:pPr>
      <w:r>
        <w:rPr>
          <w:noProof/>
        </w:rPr>
        <w:t>v.</w:t>
      </w:r>
      <w:r>
        <w:rPr>
          <w:noProof/>
        </w:rPr>
        <w:tab/>
        <w:t>Onderzoek naar de oorzaken van onderbenutting;</w:t>
      </w:r>
    </w:p>
    <w:p>
      <w:pPr>
        <w:pStyle w:val="Point1"/>
        <w:rPr>
          <w:noProof/>
        </w:rPr>
      </w:pPr>
      <w:r>
        <w:rPr>
          <w:noProof/>
        </w:rPr>
        <w:t>vi.</w:t>
      </w:r>
      <w:r>
        <w:rPr>
          <w:noProof/>
        </w:rPr>
        <w:tab/>
        <w:t>Gericht onderzoek van onderbenutting van tariefcontingenten in bepaalde specifieke sectoren;</w:t>
      </w:r>
    </w:p>
    <w:p>
      <w:pPr>
        <w:pStyle w:val="Point1"/>
        <w:rPr>
          <w:noProof/>
        </w:rPr>
      </w:pPr>
      <w:r>
        <w:rPr>
          <w:noProof/>
        </w:rPr>
        <w:t>vii.</w:t>
      </w:r>
      <w:r>
        <w:rPr>
          <w:noProof/>
        </w:rPr>
        <w:tab/>
        <w:t>Praktische toepasbaarheid van het onderbenuttingsmechanisme (onderzoek van de redenen, waaronder mogelijke complexiteit, waarom er nog geen beroep op is gedaan, delen van ervaringen, vereenvoudiging van procedurele vereisten);</w:t>
      </w:r>
    </w:p>
    <w:p>
      <w:pPr>
        <w:pStyle w:val="Point1"/>
        <w:rPr>
          <w:noProof/>
        </w:rPr>
      </w:pPr>
      <w:r>
        <w:rPr>
          <w:noProof/>
        </w:rPr>
        <w:t>viii.</w:t>
      </w:r>
      <w:r>
        <w:rPr>
          <w:noProof/>
        </w:rPr>
        <w:tab/>
        <w:t>Bijhouden van de lijst van onderbenutte tariefcontingenten door het secretariaat.</w:t>
      </w:r>
    </w:p>
    <w:p>
      <w:pPr>
        <w:pStyle w:val="Point0number"/>
        <w:rPr>
          <w:noProof/>
        </w:rPr>
      </w:pPr>
      <w:r>
        <w:rPr>
          <w:noProof/>
        </w:rPr>
        <w:t xml:space="preserve">Over de kwestie van de toekomstige werking van punt 4 van het onderbenuttingsmechanisme en de bijbehorende bepaling inzake bijzondere en gedifferentieerde behandeling (B&amp;G-bepalingen), liepen de standpunten van de leden uiteen. Enkele ontwikkelingslanden waren van mening dat de B&amp;G-bepalingen in het besluit van Bali inzake tariefcontingenten niet mogen worden afgezwakt. Enkele andere leden stelden dat de B&amp;G-behandeling voor ontwikkelingslanden niet tot een vrijstelling mag leiden en dat de begunstigde ontwikkelingslanden verplichtingen met betrekking tot het beheer van tariefcontingenten moeten aangaan die rekening houden met hun ontwikkelingsstatus. </w:t>
      </w:r>
    </w:p>
    <w:p>
      <w:pPr>
        <w:pStyle w:val="Point0number"/>
        <w:rPr>
          <w:noProof/>
        </w:rPr>
      </w:pPr>
      <w:r>
        <w:rPr>
          <w:noProof/>
        </w:rPr>
        <w:t>Verschillende leden vonden dat deze toetsing zich moest beperken tot het zoeken naar een verbetering van het beheer van tariefcontingenten, om het onderscheid te maken met de onderhandelingen over markttoegang. Enkele andere leden wezen op de mogelijkheid om de kwesties in verband met tariefcontingenten aan de orde te stellen in de onderhandelingen over markttoegang.</w:t>
      </w:r>
    </w:p>
    <w:p>
      <w:pPr>
        <w:pStyle w:val="Point0number"/>
        <w:rPr>
          <w:noProof/>
        </w:rPr>
      </w:pPr>
      <w:r>
        <w:rPr>
          <w:noProof/>
        </w:rPr>
        <w:t>Sommige leden waren van mening dat de Landbouwcommissie, op basis van de kennisgevingen van de leden, zou moeten onderzoeken waarom er nog geen beroep op het onderbenuttingsmechanisme is gedaan.</w:t>
      </w:r>
    </w:p>
    <w:p>
      <w:pPr>
        <w:pStyle w:val="Point0number"/>
        <w:rPr>
          <w:noProof/>
        </w:rPr>
      </w:pPr>
      <w:r>
        <w:rPr>
          <w:noProof/>
        </w:rPr>
        <w:t xml:space="preserve">Overeenkomstig de punten 13, 14 en 15 van het besluit van Bali inzake tariefcontingenten (WT/MIN(13)/39) keurt de Landbouwcommissie tijdens zijn vergadering op 30 oktober 2019 de volgende aanbevelingen zoals opgenomen in </w:t>
      </w:r>
      <w:r>
        <w:rPr>
          <w:b/>
          <w:noProof/>
        </w:rPr>
        <w:t>bijlage 2</w:t>
      </w:r>
      <w:r>
        <w:rPr>
          <w:noProof/>
        </w:rPr>
        <w:t xml:space="preserve"> bij dit verslag goed voor behandeling door de Algemene Raad.  </w:t>
      </w:r>
    </w:p>
    <w:p>
      <w:pPr>
        <w:spacing w:before="0" w:after="200" w:line="276" w:lineRule="auto"/>
        <w:jc w:val="left"/>
        <w:rPr>
          <w:noProof/>
          <w:szCs w:val="24"/>
        </w:rPr>
      </w:pPr>
      <w:r>
        <w:rPr>
          <w:noProof/>
        </w:rPr>
        <w:br w:type="page"/>
      </w:r>
    </w:p>
    <w:p>
      <w:pPr>
        <w:spacing w:before="0" w:after="240"/>
        <w:jc w:val="center"/>
        <w:rPr>
          <w:noProof/>
          <w:szCs w:val="24"/>
        </w:rPr>
      </w:pPr>
      <w:r>
        <w:rPr>
          <w:b/>
          <w:noProof/>
        </w:rPr>
        <w:t>Bijlage 1</w:t>
      </w:r>
    </w:p>
    <w:tbl>
      <w:tblPr>
        <w:tblStyle w:val="WTOTable1"/>
        <w:tblW w:w="5000" w:type="pct"/>
        <w:tblLook w:val="04A0" w:firstRow="1" w:lastRow="0" w:firstColumn="1" w:lastColumn="0" w:noHBand="0" w:noVBand="1"/>
      </w:tblPr>
      <w:tblGrid>
        <w:gridCol w:w="2332"/>
        <w:gridCol w:w="6957"/>
      </w:tblGrid>
      <w:tr>
        <w:trPr>
          <w:cnfStyle w:val="100000000000" w:firstRow="1" w:lastRow="0" w:firstColumn="0" w:lastColumn="0" w:oddVBand="0" w:evenVBand="0" w:oddHBand="0" w:evenHBand="0" w:firstRowFirstColumn="0" w:firstRowLastColumn="0" w:lastRowFirstColumn="0" w:lastRowLastColumn="0"/>
          <w:trHeight w:val="20"/>
        </w:trPr>
        <w:tc>
          <w:tcPr>
            <w:tcW w:w="9016" w:type="dxa"/>
            <w:gridSpan w:val="2"/>
          </w:tcPr>
          <w:p>
            <w:pPr>
              <w:spacing w:before="0" w:after="0" w:line="360" w:lineRule="auto"/>
              <w:jc w:val="center"/>
              <w:rPr>
                <w:b w:val="0"/>
                <w:noProof/>
                <w:color w:val="auto"/>
                <w:szCs w:val="24"/>
              </w:rPr>
            </w:pPr>
            <w:r>
              <w:rPr>
                <w:noProof/>
              </w:rPr>
              <w:t>Lijst van documenten</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G/AG/W/169</w:t>
            </w:r>
          </w:p>
          <w:p>
            <w:pPr>
              <w:spacing w:before="0" w:after="0"/>
              <w:rPr>
                <w:noProof/>
                <w:szCs w:val="24"/>
              </w:rPr>
            </w:pPr>
            <w:r>
              <w:rPr>
                <w:noProof/>
              </w:rPr>
              <w:t>10 oktober 2017</w:t>
            </w:r>
          </w:p>
        </w:tc>
        <w:tc>
          <w:tcPr>
            <w:tcW w:w="6753" w:type="dxa"/>
          </w:tcPr>
          <w:p>
            <w:pPr>
              <w:tabs>
                <w:tab w:val="left" w:pos="1134"/>
              </w:tabs>
              <w:spacing w:after="0"/>
              <w:jc w:val="left"/>
              <w:rPr>
                <w:noProof/>
                <w:szCs w:val="24"/>
              </w:rPr>
            </w:pPr>
            <w:r>
              <w:rPr>
                <w:noProof/>
              </w:rPr>
              <w:t>Monitoring en toetsing van de verplichtingen van de leden die zijn vastgesteld in het kader van het besluit van Bali inzake het beheer van tariefcontingenten</w:t>
            </w:r>
          </w:p>
          <w:p>
            <w:pPr>
              <w:tabs>
                <w:tab w:val="left" w:pos="1134"/>
              </w:tabs>
              <w:spacing w:before="0" w:after="0"/>
              <w:jc w:val="left"/>
              <w:rPr>
                <w:noProof/>
                <w:szCs w:val="24"/>
              </w:rPr>
            </w:pPr>
          </w:p>
          <w:p>
            <w:pPr>
              <w:tabs>
                <w:tab w:val="left" w:pos="1134"/>
              </w:tabs>
              <w:spacing w:before="0"/>
              <w:rPr>
                <w:noProof/>
                <w:szCs w:val="24"/>
              </w:rPr>
            </w:pPr>
            <w:r>
              <w:rPr>
                <w:noProof/>
              </w:rPr>
              <w:t>Nota van het Secretariaat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G/AG/W/171</w:t>
            </w:r>
          </w:p>
          <w:p>
            <w:pPr>
              <w:spacing w:before="0" w:after="0"/>
              <w:rPr>
                <w:rFonts w:eastAsia="Times New Roman"/>
                <w:bCs/>
                <w:noProof/>
                <w:szCs w:val="24"/>
              </w:rPr>
            </w:pPr>
            <w:r>
              <w:rPr>
                <w:noProof/>
              </w:rPr>
              <w:t>9 februari 2018</w:t>
            </w:r>
          </w:p>
        </w:tc>
        <w:tc>
          <w:tcPr>
            <w:tcW w:w="6753" w:type="dxa"/>
          </w:tcPr>
          <w:p>
            <w:pPr>
              <w:tabs>
                <w:tab w:val="left" w:pos="1134"/>
              </w:tabs>
              <w:spacing w:after="0"/>
              <w:jc w:val="left"/>
              <w:rPr>
                <w:rFonts w:eastAsia="Times New Roman"/>
                <w:bCs/>
                <w:noProof/>
                <w:szCs w:val="24"/>
              </w:rPr>
            </w:pPr>
            <w:r>
              <w:rPr>
                <w:noProof/>
              </w:rPr>
              <w:t>Voorgestelde procedure voor de toetsing van de werking van het besluit van Bali inzake het beheer van tariefcontingenten</w:t>
            </w:r>
          </w:p>
          <w:p>
            <w:pPr>
              <w:tabs>
                <w:tab w:val="left" w:pos="1134"/>
              </w:tabs>
              <w:spacing w:before="0" w:after="0"/>
              <w:jc w:val="left"/>
              <w:rPr>
                <w:rFonts w:eastAsia="Times New Roman"/>
                <w:bCs/>
                <w:noProof/>
                <w:szCs w:val="24"/>
              </w:rPr>
            </w:pPr>
          </w:p>
          <w:p>
            <w:pPr>
              <w:tabs>
                <w:tab w:val="left" w:pos="1134"/>
              </w:tabs>
              <w:spacing w:before="0"/>
              <w:rPr>
                <w:rFonts w:eastAsia="Times New Roman"/>
                <w:bCs/>
                <w:noProof/>
                <w:szCs w:val="24"/>
              </w:rPr>
            </w:pPr>
            <w:r>
              <w:rPr>
                <w:noProof/>
              </w:rPr>
              <w:t>Nota van het Secretariaat</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G/AG/W/175</w:t>
            </w:r>
          </w:p>
          <w:p>
            <w:pPr>
              <w:spacing w:before="0" w:after="0"/>
              <w:rPr>
                <w:noProof/>
                <w:szCs w:val="24"/>
              </w:rPr>
            </w:pPr>
            <w:r>
              <w:rPr>
                <w:noProof/>
              </w:rPr>
              <w:t>18 mei 2018</w:t>
            </w:r>
          </w:p>
          <w:p>
            <w:pPr>
              <w:spacing w:before="0" w:after="0"/>
              <w:rPr>
                <w:noProof/>
                <w:szCs w:val="24"/>
              </w:rPr>
            </w:pPr>
            <w:r>
              <w:rPr>
                <w:noProof/>
              </w:rPr>
              <w:t xml:space="preserve">       </w:t>
            </w:r>
          </w:p>
          <w:p>
            <w:pPr>
              <w:spacing w:before="0" w:after="0"/>
              <w:rPr>
                <w:noProof/>
                <w:szCs w:val="24"/>
              </w:rPr>
            </w:pPr>
            <w:r>
              <w:rPr>
                <w:noProof/>
              </w:rPr>
              <w:t xml:space="preserve">         en</w:t>
            </w:r>
          </w:p>
          <w:p>
            <w:pPr>
              <w:spacing w:after="0"/>
              <w:jc w:val="left"/>
              <w:rPr>
                <w:rFonts w:eastAsia="Times New Roman"/>
                <w:bCs/>
                <w:noProof/>
                <w:szCs w:val="24"/>
              </w:rPr>
            </w:pPr>
            <w:r>
              <w:rPr>
                <w:noProof/>
              </w:rPr>
              <w:t>G/AG/W/175/Add.1</w:t>
            </w:r>
          </w:p>
          <w:p>
            <w:pPr>
              <w:spacing w:before="0" w:after="0"/>
              <w:rPr>
                <w:noProof/>
                <w:szCs w:val="24"/>
              </w:rPr>
            </w:pPr>
            <w:r>
              <w:rPr>
                <w:noProof/>
              </w:rPr>
              <w:t>7 mei 2019</w:t>
            </w:r>
          </w:p>
          <w:p>
            <w:pPr>
              <w:spacing w:before="0" w:after="0"/>
              <w:rPr>
                <w:noProof/>
                <w:szCs w:val="24"/>
              </w:rPr>
            </w:pPr>
          </w:p>
        </w:tc>
        <w:tc>
          <w:tcPr>
            <w:tcW w:w="6753" w:type="dxa"/>
          </w:tcPr>
          <w:p>
            <w:pPr>
              <w:spacing w:after="0"/>
              <w:jc w:val="left"/>
              <w:rPr>
                <w:noProof/>
                <w:szCs w:val="24"/>
              </w:rPr>
            </w:pPr>
          </w:p>
          <w:p>
            <w:pPr>
              <w:spacing w:after="0"/>
              <w:jc w:val="left"/>
              <w:rPr>
                <w:noProof/>
                <w:szCs w:val="24"/>
              </w:rPr>
            </w:pPr>
            <w:r>
              <w:rPr>
                <w:noProof/>
              </w:rPr>
              <w:t>Kennisgeving van de Europese Unie aan de Landbouwcommissie over de procedure voor de toetsing van de werking van het besluit van Bali inzake het beheer van tariefcontingenten</w:t>
            </w:r>
            <w:r>
              <w:rPr>
                <w:rStyle w:val="FootnoteReference"/>
                <w:noProof/>
              </w:rPr>
              <w:footnoteReference w:id="8"/>
            </w:r>
            <w:r>
              <w:rPr>
                <w:noProof/>
              </w:rPr>
              <w:t>.</w:t>
            </w:r>
          </w:p>
          <w:p>
            <w:pPr>
              <w:spacing w:before="0" w:after="0"/>
              <w:rPr>
                <w:noProof/>
                <w:szCs w:val="24"/>
              </w:rPr>
            </w:pPr>
          </w:p>
          <w:p>
            <w:pPr>
              <w:spacing w:before="0" w:after="0"/>
              <w:rPr>
                <w:noProof/>
                <w:szCs w:val="24"/>
              </w:rPr>
            </w:pPr>
          </w:p>
          <w:p>
            <w:pPr>
              <w:tabs>
                <w:tab w:val="left" w:pos="1134"/>
              </w:tabs>
              <w:spacing w:before="0"/>
              <w:rPr>
                <w:noProof/>
                <w:szCs w:val="24"/>
              </w:rPr>
            </w:pPr>
            <w:r>
              <w:rPr>
                <w:noProof/>
              </w:rPr>
              <w:t>Mededelingen van de Europese Unie</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G/AG/W/179</w:t>
            </w:r>
          </w:p>
          <w:p>
            <w:pPr>
              <w:spacing w:before="0" w:after="0"/>
              <w:rPr>
                <w:noProof/>
                <w:szCs w:val="24"/>
              </w:rPr>
            </w:pPr>
            <w:r>
              <w:rPr>
                <w:noProof/>
              </w:rPr>
              <w:t>6 juni 2018</w:t>
            </w:r>
          </w:p>
        </w:tc>
        <w:tc>
          <w:tcPr>
            <w:tcW w:w="6753" w:type="dxa"/>
          </w:tcPr>
          <w:p>
            <w:pPr>
              <w:spacing w:after="0"/>
              <w:jc w:val="left"/>
              <w:rPr>
                <w:rFonts w:eastAsiaTheme="majorEastAsia"/>
                <w:caps/>
                <w:noProof/>
                <w:kern w:val="28"/>
                <w:szCs w:val="24"/>
              </w:rPr>
            </w:pPr>
            <w:r>
              <w:rPr>
                <w:noProof/>
              </w:rPr>
              <w:t>Toetsing van de werking van het ministerieel besluit van Bali inzake het “memorandum van overeenstemming betreffende de bepalingen voor het beheer van de tariefcontingenten voor landbouwproducten…</w:t>
            </w:r>
            <w:r>
              <w:rPr>
                <w:caps/>
                <w:noProof/>
              </w:rPr>
              <w:t>"</w:t>
            </w:r>
            <w:r>
              <w:rPr>
                <w:rStyle w:val="FootnoteReference"/>
                <w:noProof/>
              </w:rPr>
              <w:footnoteReference w:id="9"/>
            </w:r>
          </w:p>
          <w:p>
            <w:pPr>
              <w:spacing w:before="0" w:after="0"/>
              <w:rPr>
                <w:noProof/>
                <w:szCs w:val="24"/>
              </w:rPr>
            </w:pPr>
          </w:p>
          <w:p>
            <w:pPr>
              <w:tabs>
                <w:tab w:val="left" w:pos="1134"/>
              </w:tabs>
              <w:spacing w:before="0"/>
              <w:rPr>
                <w:noProof/>
                <w:szCs w:val="24"/>
              </w:rPr>
            </w:pPr>
            <w:r>
              <w:rPr>
                <w:noProof/>
              </w:rPr>
              <w:t>Kennisgeving van de Cairns-groep</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G/AG/W/183</w:t>
            </w:r>
          </w:p>
          <w:p>
            <w:pPr>
              <w:spacing w:before="0" w:after="0"/>
              <w:rPr>
                <w:noProof/>
                <w:szCs w:val="24"/>
              </w:rPr>
            </w:pPr>
            <w:r>
              <w:rPr>
                <w:noProof/>
              </w:rPr>
              <w:t>31 juli 2018</w:t>
            </w:r>
          </w:p>
        </w:tc>
        <w:tc>
          <w:tcPr>
            <w:tcW w:w="6753" w:type="dxa"/>
          </w:tcPr>
          <w:p>
            <w:pPr>
              <w:tabs>
                <w:tab w:val="left" w:pos="1134"/>
              </w:tabs>
              <w:spacing w:after="0"/>
              <w:jc w:val="left"/>
              <w:rPr>
                <w:noProof/>
                <w:szCs w:val="24"/>
              </w:rPr>
            </w:pPr>
            <w:r>
              <w:rPr>
                <w:noProof/>
              </w:rPr>
              <w:t>Methoden voor het beheer van tariefcontingenten en benuttingsgraden van tariefcontingenten 2007-2016</w:t>
            </w:r>
          </w:p>
          <w:p>
            <w:pPr>
              <w:tabs>
                <w:tab w:val="left" w:pos="1134"/>
              </w:tabs>
              <w:spacing w:before="0" w:after="0"/>
              <w:jc w:val="left"/>
              <w:rPr>
                <w:noProof/>
                <w:szCs w:val="24"/>
              </w:rPr>
            </w:pPr>
          </w:p>
          <w:p>
            <w:pPr>
              <w:tabs>
                <w:tab w:val="left" w:pos="1134"/>
              </w:tabs>
              <w:spacing w:before="0"/>
              <w:rPr>
                <w:noProof/>
                <w:szCs w:val="24"/>
              </w:rPr>
            </w:pPr>
            <w:r>
              <w:rPr>
                <w:noProof/>
              </w:rPr>
              <w:t>Achtergrondnota van het secretariaat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G/AG/W/186</w:t>
            </w:r>
          </w:p>
          <w:p>
            <w:pPr>
              <w:spacing w:before="0" w:after="0"/>
              <w:rPr>
                <w:noProof/>
                <w:szCs w:val="24"/>
              </w:rPr>
            </w:pPr>
            <w:r>
              <w:rPr>
                <w:noProof/>
              </w:rPr>
              <w:t>19 september 2018</w:t>
            </w:r>
          </w:p>
        </w:tc>
        <w:tc>
          <w:tcPr>
            <w:tcW w:w="6753" w:type="dxa"/>
          </w:tcPr>
          <w:p>
            <w:pPr>
              <w:tabs>
                <w:tab w:val="left" w:pos="1134"/>
              </w:tabs>
              <w:spacing w:after="0"/>
              <w:jc w:val="left"/>
              <w:rPr>
                <w:noProof/>
                <w:szCs w:val="24"/>
              </w:rPr>
            </w:pPr>
            <w:r>
              <w:rPr>
                <w:noProof/>
              </w:rPr>
              <w:t>Toetsing van het besluit van Bali inzake het beheer van tariefcontingenten</w:t>
            </w:r>
          </w:p>
          <w:p>
            <w:pPr>
              <w:tabs>
                <w:tab w:val="left" w:pos="1134"/>
              </w:tabs>
              <w:spacing w:before="0" w:after="0"/>
              <w:jc w:val="left"/>
              <w:rPr>
                <w:noProof/>
                <w:szCs w:val="24"/>
              </w:rPr>
            </w:pPr>
          </w:p>
          <w:p>
            <w:pPr>
              <w:spacing w:before="0"/>
              <w:rPr>
                <w:noProof/>
                <w:szCs w:val="24"/>
              </w:rPr>
            </w:pPr>
            <w:r>
              <w:rPr>
                <w:noProof/>
              </w:rPr>
              <w:t>Kennisgeving van Australië</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G/AG/W/197</w:t>
            </w:r>
          </w:p>
          <w:p>
            <w:pPr>
              <w:spacing w:before="0" w:after="0"/>
              <w:rPr>
                <w:noProof/>
                <w:szCs w:val="24"/>
              </w:rPr>
            </w:pPr>
            <w:r>
              <w:rPr>
                <w:noProof/>
              </w:rPr>
              <w:t>24 mei 2019</w:t>
            </w:r>
          </w:p>
        </w:tc>
        <w:tc>
          <w:tcPr>
            <w:tcW w:w="6753" w:type="dxa"/>
          </w:tcPr>
          <w:p>
            <w:pPr>
              <w:tabs>
                <w:tab w:val="left" w:pos="1134"/>
              </w:tabs>
              <w:spacing w:after="0"/>
              <w:jc w:val="left"/>
              <w:rPr>
                <w:noProof/>
                <w:szCs w:val="24"/>
              </w:rPr>
            </w:pPr>
            <w:r>
              <w:rPr>
                <w:noProof/>
              </w:rPr>
              <w:t>Het onderbenuttingsmechanisme van het besluit van Bali inzake het beheer van tariefcontingenten</w:t>
            </w:r>
          </w:p>
          <w:p>
            <w:pPr>
              <w:tabs>
                <w:tab w:val="left" w:pos="1134"/>
              </w:tabs>
              <w:spacing w:after="0"/>
              <w:jc w:val="left"/>
              <w:rPr>
                <w:noProof/>
                <w:szCs w:val="24"/>
              </w:rPr>
            </w:pPr>
            <w:r>
              <w:rPr>
                <w:noProof/>
              </w:rPr>
              <w:t>Kennisgeving namens de Cairns-groep</w:t>
            </w:r>
          </w:p>
        </w:tc>
      </w:tr>
    </w:tbl>
    <w:p>
      <w:pPr>
        <w:spacing w:before="0" w:after="200" w:line="276" w:lineRule="auto"/>
        <w:jc w:val="left"/>
        <w:rPr>
          <w:b/>
          <w:noProof/>
          <w:szCs w:val="24"/>
        </w:rPr>
      </w:pPr>
      <w:r>
        <w:rPr>
          <w:noProof/>
        </w:rPr>
        <w:br w:type="page"/>
      </w:r>
    </w:p>
    <w:p>
      <w:pPr>
        <w:spacing w:before="0" w:after="240"/>
        <w:jc w:val="center"/>
        <w:rPr>
          <w:b/>
          <w:noProof/>
          <w:szCs w:val="24"/>
        </w:rPr>
      </w:pPr>
      <w:r>
        <w:rPr>
          <w:b/>
          <w:noProof/>
        </w:rPr>
        <w:t>Bijlage 2</w:t>
      </w:r>
    </w:p>
    <w:p>
      <w:pPr>
        <w:pStyle w:val="Point0number"/>
        <w:numPr>
          <w:ilvl w:val="0"/>
          <w:numId w:val="2"/>
        </w:numPr>
        <w:rPr>
          <w:noProof/>
        </w:rPr>
      </w:pPr>
      <w:r>
        <w:rPr>
          <w:noProof/>
        </w:rPr>
        <w:t>[De in punt 14 en voetnoot 2 van het besluit van Bali inzake tariefcontingenten vastgestelde termijn voor een besluit over punt 4 van bijlage A wordt verlengd tot eind 2021 of MC13, indien dit eerder is. [Voor alle duidelijkheid, indien noch de Ministeriële Conferentie, noch de Algemene Raad vóór het einde van 2021, besluit om punt 4 van bijlage A bij het besluit van Bali inzake tariefcontingenten in zijn huidige of een aangepaste vorm te verlengen, dan is punt 4 van bijlage A, met inachtneming van punt 15 van dat besluit, niet meer van toepassing met ingang van 1 januari 2022 [ten aanzien van de in bijlage B opgenomen leden, alsook ten aanzien van elk lid dat vóór het einde van 2021 verzoekt om in bijlage B te worden opgenomen].]</w:t>
      </w:r>
    </w:p>
    <w:p>
      <w:pPr>
        <w:pStyle w:val="Point0number"/>
        <w:numPr>
          <w:ilvl w:val="0"/>
          <w:numId w:val="2"/>
        </w:numPr>
        <w:rPr>
          <w:noProof/>
        </w:rPr>
      </w:pPr>
      <w:r>
        <w:rPr>
          <w:noProof/>
        </w:rPr>
        <w:t>In de tussentijd gaan de besprekingen over de toepassing van punt 4 van bijlage A in de Landbouwcommissie door. [Voor alle duidelijkheid, zolang de besprekingen lopen, wordt het besluit van Bali inzake tariefcontingenten, samen met de bijlagen daarbij, gehandhaafd.]</w:t>
      </w:r>
    </w:p>
    <w:p>
      <w:pPr>
        <w:pStyle w:val="Point0number"/>
        <w:numPr>
          <w:ilvl w:val="0"/>
          <w:numId w:val="2"/>
        </w:numPr>
        <w:rPr>
          <w:noProof/>
        </w:rPr>
      </w:pPr>
      <w:r>
        <w:rPr>
          <w:noProof/>
        </w:rPr>
        <w:t>De Landbouwcommissie zal aan de Algemene Raad aanbevelingen doen met betrekking tot de toepassing van punt 4 [van bijlage A en overeenkomstig punt 14] vóór het einde van 2021.]</w:t>
      </w:r>
    </w:p>
    <w:p>
      <w:pPr>
        <w:pStyle w:val="Point0number"/>
        <w:numPr>
          <w:ilvl w:val="0"/>
          <w:numId w:val="2"/>
        </w:numPr>
        <w:rPr>
          <w:noProof/>
        </w:rPr>
      </w:pPr>
      <w:r>
        <w:rPr>
          <w:noProof/>
        </w:rPr>
        <w:t>Gelet op het belang van een versterkte transparantie van het beheer en de benuttingsgraad van tariefcontingenten alsook van een tijdige indiening van kennisgevingen door leden, en gelet op het feit dat het online systeem voor landbouwkennisgevingen tot een betere harmonisatie zou moeten leiden, is de Landbouwcommissie het eens over het volgende:</w:t>
      </w:r>
    </w:p>
    <w:p>
      <w:pPr>
        <w:pStyle w:val="Point1letter"/>
        <w:rPr>
          <w:noProof/>
        </w:rPr>
      </w:pPr>
      <w:r>
        <w:rPr>
          <w:noProof/>
        </w:rPr>
        <w:t xml:space="preserve">Het secretariaat zal een lijst van de bestaande praktijken voor de kennisgeving van tariefcontingenten van de leden opstellen, met inbegrip van gevallen waarin een gepland tariefcontingent niet werd geopend. </w:t>
      </w:r>
    </w:p>
    <w:p>
      <w:pPr>
        <w:pStyle w:val="Point1letter"/>
        <w:rPr>
          <w:noProof/>
        </w:rPr>
      </w:pPr>
      <w:r>
        <w:rPr>
          <w:noProof/>
        </w:rPr>
        <w:t xml:space="preserve">De Landbouwcommissie zal besprekingen over de harmonisatie van de praktijken voor de kennisgeving van tariefcontingenten van de leden opstarten, waaronder voor de benuttingsgraden van tariefcontingenten.  </w:t>
      </w:r>
    </w:p>
    <w:p>
      <w:pPr>
        <w:pStyle w:val="Point1letter"/>
        <w:rPr>
          <w:noProof/>
        </w:rPr>
      </w:pPr>
      <w:r>
        <w:rPr>
          <w:noProof/>
        </w:rPr>
        <w:t>De Landbouwcommissie moedigt de leden aan in hun tabel MA:2-kennisgevingen uitleg op te nemen in gevallen waarin geplande tariefcontingenten niet zijn geopend.</w:t>
      </w:r>
    </w:p>
    <w:p>
      <w:pPr>
        <w:pStyle w:val="Point1letter"/>
        <w:rPr>
          <w:noProof/>
        </w:rPr>
      </w:pPr>
      <w:r>
        <w:rPr>
          <w:noProof/>
        </w:rPr>
        <w:t>Het secretariaat zal de informatie over het beheer en de benuttingsgraden van tariefcontingenten zoals opgenomen in G/AG/W183</w:t>
      </w:r>
      <w:r>
        <w:rPr>
          <w:rStyle w:val="FootnoteReference"/>
          <w:noProof/>
        </w:rPr>
        <w:footnoteReference w:id="10"/>
      </w:r>
      <w:r>
        <w:rPr>
          <w:noProof/>
        </w:rPr>
        <w:t xml:space="preserve"> geregeld bijwerken alsook de informatie over welke leden benuttingsgraden hebben meegedeeld en over kwesties die in de Landbouwcommissie aan de orde zijn gesteld over benuttingsgraden.</w:t>
      </w:r>
    </w:p>
    <w:p>
      <w:pPr>
        <w:pStyle w:val="Point1letter"/>
        <w:rPr>
          <w:noProof/>
        </w:rPr>
      </w:pPr>
      <w:r>
        <w:rPr>
          <w:noProof/>
        </w:rPr>
        <w:t>De Landbouwcommissie zal, op basis van de kennisgevingen van de leden, de redenen onderzoeken waarom er nog geen beroep op het onderbenuttingsmechanisme is gedaan.</w:t>
      </w:r>
    </w:p>
    <w:p>
      <w:pPr>
        <w:pStyle w:val="Point0number"/>
        <w:rPr>
          <w:noProof/>
        </w:rPr>
      </w:pPr>
      <w:r>
        <w:rPr>
          <w:noProof/>
        </w:rPr>
        <w:t>De Landbouwcommissie verbindt zich ertoe elke drie jaar na de voltooiing van deze toetsing regelmatige toetsingen van de werking van het besluit van Bali inzake tariefcontingenten te verrichten. Deze regelmatige toetsingen zullen onder meer een onderzoek van het gebruik van het onderbenuttingsmechanisme door de leden op basis van kennisgevingen van de leden omvatten.</w:t>
      </w:r>
    </w:p>
    <w:p>
      <w:pPr>
        <w:spacing w:before="0" w:after="0"/>
        <w:jc w:val="center"/>
        <w:rPr>
          <w:noProof/>
          <w:szCs w:val="24"/>
        </w:rPr>
      </w:pPr>
      <w:r>
        <w:rPr>
          <w:b/>
          <w:noProof/>
        </w:rPr>
        <w:t>___</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firstLine="0"/>
      </w:pPr>
      <w:r>
        <w:rPr>
          <w:rStyle w:val="FootnoteReference"/>
          <w:szCs w:val="16"/>
        </w:rPr>
        <w:footnoteRef/>
      </w:r>
      <w:r>
        <w:tab/>
        <w:t>Punt 13 van WT/MIN(13)/39. Er is nog geen melding gemaakt van ervaringen waarbij een beroep op het onderbenuttingsmechanisme is gedaan.</w:t>
      </w:r>
    </w:p>
  </w:footnote>
  <w:footnote w:id="2">
    <w:p>
      <w:pPr>
        <w:pStyle w:val="FootnoteText"/>
        <w:ind w:firstLine="0"/>
      </w:pPr>
      <w:r>
        <w:rPr>
          <w:rStyle w:val="FootnoteReference"/>
          <w:szCs w:val="16"/>
        </w:rPr>
        <w:footnoteRef/>
      </w:r>
      <w:r>
        <w:tab/>
        <w:t>Zie punt 2.2.1 van G/AG/R/86.</w:t>
      </w:r>
    </w:p>
  </w:footnote>
  <w:footnote w:id="3">
    <w:p>
      <w:pPr>
        <w:pStyle w:val="FootnoteText"/>
        <w:ind w:firstLine="0"/>
      </w:pPr>
      <w:r>
        <w:rPr>
          <w:rStyle w:val="FootnoteReference"/>
          <w:szCs w:val="16"/>
        </w:rPr>
        <w:footnoteRef/>
      </w:r>
      <w:r>
        <w:tab/>
        <w:t xml:space="preserve">Zie punt 2.5.1 van G/AG/R/87. </w:t>
      </w:r>
    </w:p>
  </w:footnote>
  <w:footnote w:id="4">
    <w:p>
      <w:pPr>
        <w:pStyle w:val="FootnoteText"/>
        <w:ind w:firstLine="0"/>
      </w:pPr>
      <w:r>
        <w:rPr>
          <w:rStyle w:val="FootnoteReference"/>
        </w:rPr>
        <w:footnoteRef/>
      </w:r>
      <w:r>
        <w:tab/>
        <w:t xml:space="preserve">Tijdens de vergadering van juni 2019 heeft de Landbouwcommissie ermee ingestemd de termijn te verlengen tot de vergadering van de Landbouwcommissie van oktober 2019 om het verslag van de toetsing te kunnen voltooien.  </w:t>
      </w:r>
    </w:p>
  </w:footnote>
  <w:footnote w:id="5">
    <w:p>
      <w:pPr>
        <w:pStyle w:val="FootnoteText"/>
        <w:ind w:firstLine="0"/>
      </w:pPr>
      <w:r>
        <w:rPr>
          <w:rStyle w:val="FootnoteReference"/>
          <w:szCs w:val="16"/>
        </w:rPr>
        <w:footnoteRef/>
      </w:r>
      <w:r>
        <w:tab/>
        <w:t>G/AG/W/183.</w:t>
      </w:r>
    </w:p>
  </w:footnote>
  <w:footnote w:id="6">
    <w:p>
      <w:pPr>
        <w:pStyle w:val="FootnoteText"/>
        <w:ind w:firstLine="0"/>
        <w:rPr>
          <w:vertAlign w:val="superscript"/>
        </w:rPr>
      </w:pPr>
      <w:r>
        <w:rPr>
          <w:rStyle w:val="FootnoteReference"/>
          <w:szCs w:val="16"/>
        </w:rPr>
        <w:footnoteRef/>
      </w:r>
      <w:r>
        <w:tab/>
        <w:t>Er is onder de leden geen overeenstemming over deze punten of over de behandeling ervan in de aanbevelingen.</w:t>
      </w:r>
    </w:p>
  </w:footnote>
  <w:footnote w:id="7">
    <w:p>
      <w:pPr>
        <w:pStyle w:val="FootnoteText"/>
        <w:ind w:firstLine="0"/>
      </w:pPr>
      <w:r>
        <w:rPr>
          <w:rStyle w:val="FootnoteReference"/>
        </w:rPr>
        <w:footnoteRef/>
      </w:r>
      <w:r>
        <w:tab/>
        <w:t>Punt 9 van het ministerieel besluit van Bali inzake tariefcontingenten heeft betrekking op de procedure voor het opnieuw toewijzen. Voorts hebben de voetnoten 3 en 5 van bijlage A bij het besluit van Bali betrekking op de rechten van leden met een landspecifieke toewijzing in de specifieke context van het onderbenuttingsmechanisme.</w:t>
      </w:r>
    </w:p>
  </w:footnote>
  <w:footnote w:id="8">
    <w:p>
      <w:pPr>
        <w:pStyle w:val="FootnoteText"/>
      </w:pPr>
      <w:r>
        <w:rPr>
          <w:rStyle w:val="FootnoteReference"/>
        </w:rPr>
        <w:footnoteRef/>
      </w:r>
      <w:r>
        <w:tab/>
        <w:t>Document G/AG/W/171 van 9 februari 2018.</w:t>
      </w:r>
    </w:p>
  </w:footnote>
  <w:footnote w:id="9">
    <w:p>
      <w:pPr>
        <w:pStyle w:val="FootnoteText"/>
      </w:pPr>
      <w:r>
        <w:rPr>
          <w:rStyle w:val="FootnoteReference"/>
        </w:rPr>
        <w:footnoteRef/>
      </w:r>
      <w:r>
        <w:tab/>
        <w:t>WT/MIN (13)/39 en WT/L/914</w:t>
      </w:r>
      <w:r>
        <w:rPr>
          <w:rStyle w:val="FootnoteReference"/>
          <w:szCs w:val="16"/>
        </w:rPr>
        <w:t xml:space="preserve"> </w:t>
      </w:r>
      <w:r>
        <w:t xml:space="preserve"> van11 december 2013.</w:t>
      </w:r>
    </w:p>
  </w:footnote>
  <w:footnote w:id="10">
    <w:p>
      <w:pPr>
        <w:pStyle w:val="FootnoteText"/>
      </w:pPr>
      <w:r>
        <w:rPr>
          <w:rStyle w:val="FootnoteReference"/>
        </w:rPr>
        <w:footnoteRef/>
      </w:r>
      <w:r>
        <w:tab/>
        <w:t>De achtergrondnota van het secretariaat kan specifiek een lijst bevatten van tariefcontingenten waarvoor geen Tabel MA:2-kennisgeving is ingediend of waarvan de benuttingsgraad minder dan 65 % bedraagt.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3C9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C41F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E03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EEE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C038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A0C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E8B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F34060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551E12"/>
    <w:multiLevelType w:val="multilevel"/>
    <w:tmpl w:val="CC5217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1: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6DD1F7A2-E0B9-4233-A449-A9D965B35F60"/>
    <w:docVar w:name="LW_COVERPAGE_TYPE" w:val="1"/>
    <w:docVar w:name="LW_CROSSREFERENCE" w:val="&lt;UNUSED&gt;"/>
    <w:docVar w:name="LW_DocType" w:val="ANNEX"/>
    <w:docVar w:name="LW_EMISSION" w:val="30.10.2019"/>
    <w:docVar w:name="LW_EMISSION_ISODATE" w:val="2019-10-30"/>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Algemene Raad van de Wereldhandelsorganisatie"/>
    <w:docVar w:name="LW_OBJETACTEPRINCIPAL.CP" w:val="betreffende het standpunt dat namens de Europese Unie moet worden ingenomen in de Algemene Raad van de Wereldhandelsorganisatie"/>
    <w:docVar w:name="LW_PART_NBR" w:val="1"/>
    <w:docVar w:name="LW_PART_NBR_TOTAL" w:val="1"/>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_x000b__x000b_BESLUIT VAN DE RAAD"/>
    <w:docVar w:name="LW_TYPEACTEPRINCIPAL.CP" w:val="Voorstel voor een_x000b__x000b_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nl-NL"/>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nl-NL"/>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nl-NL"/>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nl-NL"/>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nl-NL"/>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nl-NL"/>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nl-NL"/>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nl-NL"/>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nl-NL"/>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nl-NL"/>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7</Pages>
  <Words>1516</Words>
  <Characters>9278</Characters>
  <Application>Microsoft Office Word</Application>
  <DocSecurity>0</DocSecurity>
  <Lines>201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Christiane (AGRI)</dc:creator>
  <cp:keywords/>
  <dc:description/>
  <cp:lastModifiedBy>WES PDFC Administrator</cp:lastModifiedBy>
  <cp:revision>9</cp:revision>
  <dcterms:created xsi:type="dcterms:W3CDTF">2019-10-25T14:25:00Z</dcterms:created>
  <dcterms:modified xsi:type="dcterms:W3CDTF">2019-10-28T14:51:00Z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