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11F5F21-6F6E-46CF-BFAD-9D4EC5DD5EB9" style="width:450.8pt;height:410.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szCs w:val="24"/>
          <w:u w:val="none"/>
        </w:rPr>
      </w:pPr>
      <w:bookmarkStart w:id="0" w:name="_GoBack"/>
      <w:bookmarkEnd w:id="0"/>
      <w:r>
        <w:rPr>
          <w:noProof/>
          <w:u w:val="none"/>
        </w:rPr>
        <w:lastRenderedPageBreak/>
        <w:t>BILAGA</w:t>
      </w:r>
    </w:p>
    <w:p>
      <w:pPr>
        <w:spacing w:before="480" w:after="240"/>
        <w:contextualSpacing/>
        <w:jc w:val="center"/>
        <w:rPr>
          <w:rFonts w:eastAsiaTheme="majorEastAsia"/>
          <w:b/>
          <w:caps/>
          <w:noProof/>
          <w:kern w:val="28"/>
          <w:szCs w:val="24"/>
        </w:rPr>
      </w:pPr>
      <w:r>
        <w:rPr>
          <w:b/>
          <w:caps/>
          <w:noProof/>
        </w:rPr>
        <w:t>ÖVERSYN AV HUR BESLUTET FRÅN BALI OM FÖRVALTNING AV TULLKVOTER FUNGERAR</w:t>
      </w:r>
    </w:p>
    <w:p>
      <w:pPr>
        <w:spacing w:before="0" w:after="360"/>
        <w:jc w:val="center"/>
        <w:rPr>
          <w:rFonts w:eastAsia="Calibri"/>
          <w:caps/>
          <w:noProof/>
          <w:szCs w:val="24"/>
        </w:rPr>
      </w:pPr>
      <w:r>
        <w:rPr>
          <w:caps/>
          <w:noProof/>
        </w:rPr>
        <w:t xml:space="preserve">Rapport till det allmänna rådet </w:t>
      </w:r>
    </w:p>
    <w:p>
      <w:pPr>
        <w:pStyle w:val="Point0number"/>
        <w:numPr>
          <w:ilvl w:val="0"/>
          <w:numId w:val="3"/>
        </w:numPr>
        <w:rPr>
          <w:noProof/>
          <w:szCs w:val="24"/>
        </w:rPr>
      </w:pPr>
      <w:r>
        <w:rPr>
          <w:noProof/>
        </w:rPr>
        <w:t xml:space="preserve">Vid den nionde ministerkonferensen antog ministrarna ett beslut om överenskommelsen om förvaltningen av tullkvoter för jordbruksprodukter enligt artikel 2 i avtalet om jordbruk, (WT/MIN(13)/39) (nedan kallat </w:t>
      </w:r>
      <w:r>
        <w:rPr>
          <w:i/>
          <w:iCs/>
          <w:noProof/>
        </w:rPr>
        <w:t>Bali-beslutet om tullkvoter</w:t>
      </w:r>
      <w:r>
        <w:rPr>
          <w:noProof/>
        </w:rPr>
        <w:t>). Ministrarna gav kommittén i uppdrag att se över och övervaka hur medlemmarna fullgjort sina skyldigheter enligt Bali-beslutet om tullkvoter, med syftet att översynen ska främja en kontinuerlig förbättring av tullkvoternas användning, med början senast 2017, med beaktande av de erfarenheter som dittills gjorts</w:t>
      </w:r>
      <w:r>
        <w:rPr>
          <w:rStyle w:val="FootnoteReference"/>
          <w:noProof/>
        </w:rPr>
        <w:footnoteReference w:id="1"/>
      </w:r>
      <w:r>
        <w:rPr>
          <w:noProof/>
        </w:rPr>
        <w:t>. Översynsdiskussionerna inleddes vid kommitténs möte i oktober 2017</w:t>
      </w:r>
      <w:r>
        <w:rPr>
          <w:rStyle w:val="FootnoteReference"/>
          <w:noProof/>
        </w:rPr>
        <w:footnoteReference w:id="2"/>
      </w:r>
      <w:r>
        <w:rPr>
          <w:noProof/>
        </w:rPr>
        <w:t>. Vid mötet i februari 2018 godkände kommittén processen och tidsfristerna för översynen i dokument G/AG/W/171</w:t>
      </w:r>
      <w:r>
        <w:rPr>
          <w:rStyle w:val="FootnoteReference"/>
          <w:noProof/>
        </w:rPr>
        <w:footnoteReference w:id="3"/>
      </w:r>
      <w:r>
        <w:rPr>
          <w:noProof/>
        </w:rPr>
        <w:t>. I enlighet med den överenskomna processen har översynen genomförts genom öppna informella möten i kommittén i anslutning till kommitténs reguljära möten</w:t>
      </w:r>
      <w:r>
        <w:rPr>
          <w:rStyle w:val="FootnoteReference"/>
          <w:noProof/>
        </w:rPr>
        <w:footnoteReference w:id="4"/>
      </w:r>
      <w:r>
        <w:rPr>
          <w:noProof/>
        </w:rPr>
        <w:t>.</w:t>
      </w:r>
    </w:p>
    <w:p>
      <w:pPr>
        <w:pStyle w:val="Point0number"/>
        <w:rPr>
          <w:noProof/>
        </w:rPr>
      </w:pPr>
      <w:r>
        <w:rPr>
          <w:noProof/>
        </w:rPr>
        <w:t>Medlemmarna diskuterade översynen vid fyra informella kommittémöten den 20 februari, 11 juni, 25 september och 26 november 2018. En temasession om förvaltning och underutnyttjande av tullkvoter hölls vid det informella mötet i november med deltagande av branschföreträdare. Det kom också ett antal skriftliga bidrag från medlemmar till översynsdiskussionerna. På medlemmarnas begäran och i enlighet med den överenskomna processen och tidsfristerna för att genomföra översynen utarbetade sekretariatet ett bakgrundsdokument</w:t>
      </w:r>
      <w:r>
        <w:rPr>
          <w:rStyle w:val="FootnoteReference"/>
          <w:noProof/>
        </w:rPr>
        <w:footnoteReference w:id="5"/>
      </w:r>
      <w:r>
        <w:rPr>
          <w:noProof/>
        </w:rPr>
        <w:t xml:space="preserve"> om förvaltningen av och utnyttjandegraden avseende tullkvoter för att underlätta översynen. </w:t>
      </w:r>
      <w:r>
        <w:rPr>
          <w:b/>
          <w:noProof/>
        </w:rPr>
        <w:t>Bilaga 1</w:t>
      </w:r>
      <w:r>
        <w:rPr>
          <w:noProof/>
        </w:rPr>
        <w:t xml:space="preserve"> innehåller en förteckning över alla skriftliga dokument som hittills beaktats vid översynen. </w:t>
      </w:r>
    </w:p>
    <w:p>
      <w:pPr>
        <w:pStyle w:val="Point0number"/>
        <w:rPr>
          <w:noProof/>
        </w:rPr>
      </w:pPr>
      <w:r>
        <w:rPr>
          <w:noProof/>
        </w:rPr>
        <w:t>Medlemmarna har identifierat följande ämnen vid översynsdiskussionerna: 1) effektivt genomförande och uppföljning av de materiella skyldigheterna till följd av Bali-beslutet om tullkvoter, 2) krav på transparens avseende tullkvoter, 3) mekanismen för underutnyttjande. Några punkter</w:t>
      </w:r>
      <w:r>
        <w:rPr>
          <w:rStyle w:val="FootnoteReference"/>
          <w:noProof/>
        </w:rPr>
        <w:footnoteReference w:id="6"/>
      </w:r>
      <w:r>
        <w:rPr>
          <w:noProof/>
        </w:rPr>
        <w:t xml:space="preserve"> som togs upp i samband med varje ämne, och vid de tematiska diskussionerna i november, anges nedan.</w:t>
      </w:r>
    </w:p>
    <w:p>
      <w:pPr>
        <w:spacing w:before="0" w:after="240"/>
        <w:outlineLvl w:val="1"/>
        <w:rPr>
          <w:b/>
          <w:noProof/>
          <w:szCs w:val="24"/>
        </w:rPr>
      </w:pPr>
      <w:r>
        <w:rPr>
          <w:b/>
          <w:noProof/>
        </w:rPr>
        <w:t xml:space="preserve">EFFEKTIVT GENOMFÖRANDE OCH UPPFÖLJNING </w:t>
      </w:r>
    </w:p>
    <w:p>
      <w:pPr>
        <w:pStyle w:val="Point1"/>
        <w:rPr>
          <w:rFonts w:ascii="Verdana" w:hAnsi="Verdana"/>
          <w:noProof/>
          <w:sz w:val="16"/>
        </w:rPr>
      </w:pPr>
      <w:r>
        <w:rPr>
          <w:noProof/>
        </w:rPr>
        <w:t>i.</w:t>
      </w:r>
      <w:r>
        <w:rPr>
          <w:noProof/>
        </w:rPr>
        <w:tab/>
        <w:t>Omfördelning av oanvända licenser inom en tullkvot.</w:t>
      </w:r>
      <w:r>
        <w:rPr>
          <w:noProof/>
          <w:vertAlign w:val="superscript"/>
        </w:rPr>
        <w:t xml:space="preserve"> </w:t>
      </w:r>
    </w:p>
    <w:p>
      <w:pPr>
        <w:pStyle w:val="Point1"/>
        <w:rPr>
          <w:noProof/>
        </w:rPr>
      </w:pPr>
      <w:r>
        <w:rPr>
          <w:noProof/>
        </w:rPr>
        <w:t>ii.</w:t>
      </w:r>
      <w:r>
        <w:rPr>
          <w:noProof/>
        </w:rPr>
        <w:tab/>
        <w:t>Omfördelningsprocesser, inklusive avseende landspecifika fördelningar</w:t>
      </w:r>
      <w:r>
        <w:rPr>
          <w:rStyle w:val="FootnoteReference"/>
          <w:noProof/>
        </w:rPr>
        <w:footnoteReference w:id="7"/>
      </w:r>
      <w:r>
        <w:rPr>
          <w:noProof/>
        </w:rPr>
        <w:t>.</w:t>
      </w:r>
    </w:p>
    <w:p>
      <w:pPr>
        <w:pStyle w:val="Point1"/>
        <w:rPr>
          <w:noProof/>
        </w:rPr>
      </w:pPr>
      <w:r>
        <w:rPr>
          <w:noProof/>
        </w:rPr>
        <w:t>iii.</w:t>
      </w:r>
      <w:r>
        <w:rPr>
          <w:noProof/>
        </w:rPr>
        <w:tab/>
        <w:t>Utbyte av erfarenheter och bästa praxis avseende bättre utnyttjande av tullkvoterna, inklusive omfördelning av tullkvoterna inom ramen för regionala handelsavtal.</w:t>
      </w:r>
    </w:p>
    <w:p>
      <w:pPr>
        <w:rPr>
          <w:b/>
          <w:noProof/>
          <w:szCs w:val="24"/>
        </w:rPr>
      </w:pPr>
      <w:r>
        <w:rPr>
          <w:b/>
          <w:noProof/>
        </w:rPr>
        <w:t xml:space="preserve">KRAV PÅ TRANSPARENS AVSEENDE TULLKVOTER  </w:t>
      </w:r>
    </w:p>
    <w:p>
      <w:pPr>
        <w:pStyle w:val="Point1"/>
        <w:rPr>
          <w:noProof/>
        </w:rPr>
      </w:pPr>
      <w:r>
        <w:rPr>
          <w:noProof/>
        </w:rPr>
        <w:t>i.</w:t>
      </w:r>
      <w:r>
        <w:rPr>
          <w:noProof/>
        </w:rPr>
        <w:tab/>
        <w:t>Snabba och fullständiga anmälningar av tullkvoter.</w:t>
      </w:r>
    </w:p>
    <w:p>
      <w:pPr>
        <w:pStyle w:val="Point1"/>
        <w:rPr>
          <w:noProof/>
        </w:rPr>
      </w:pPr>
      <w:r>
        <w:rPr>
          <w:noProof/>
        </w:rPr>
        <w:t>ii.</w:t>
      </w:r>
      <w:r>
        <w:rPr>
          <w:noProof/>
        </w:rPr>
        <w:tab/>
        <w:t>Snabb rapportering av förändringar i förvaltningen av tullkvoter.</w:t>
      </w:r>
    </w:p>
    <w:p>
      <w:pPr>
        <w:pStyle w:val="Point1"/>
        <w:rPr>
          <w:noProof/>
        </w:rPr>
      </w:pPr>
      <w:r>
        <w:rPr>
          <w:noProof/>
        </w:rPr>
        <w:t>iii.</w:t>
      </w:r>
      <w:r>
        <w:rPr>
          <w:noProof/>
        </w:rPr>
        <w:tab/>
        <w:t>Konsekvent rapportering om utnyttjandegraden avseende tullkvoter från alla medlemmar som har gjort tullkvotsåtaganden.</w:t>
      </w:r>
    </w:p>
    <w:p>
      <w:pPr>
        <w:pStyle w:val="Point1"/>
        <w:rPr>
          <w:noProof/>
        </w:rPr>
      </w:pPr>
      <w:r>
        <w:rPr>
          <w:noProof/>
        </w:rPr>
        <w:t>iv.</w:t>
      </w:r>
      <w:r>
        <w:rPr>
          <w:noProof/>
        </w:rPr>
        <w:tab/>
        <w:t>Harmoniserade anmälningsrutiner (t.ex. när det gäller tullkvoter som inte öppnats eller planerade tullkvoter utan tullförmåner).</w:t>
      </w:r>
    </w:p>
    <w:p>
      <w:pPr>
        <w:pStyle w:val="Point1"/>
        <w:rPr>
          <w:noProof/>
        </w:rPr>
      </w:pPr>
      <w:r>
        <w:rPr>
          <w:noProof/>
        </w:rPr>
        <w:t>v.</w:t>
      </w:r>
      <w:r>
        <w:rPr>
          <w:noProof/>
        </w:rPr>
        <w:tab/>
        <w:t>Rapportering av skälen till underutnyttjande.</w:t>
      </w:r>
    </w:p>
    <w:p>
      <w:pPr>
        <w:pStyle w:val="Point1"/>
        <w:rPr>
          <w:noProof/>
        </w:rPr>
      </w:pPr>
      <w:r>
        <w:rPr>
          <w:noProof/>
        </w:rPr>
        <w:t>vi.</w:t>
      </w:r>
      <w:r>
        <w:rPr>
          <w:noProof/>
        </w:rPr>
        <w:tab/>
        <w:t>Utbyte av nationella erfarenheter och bästa praxis avseende förvaltning av tullkvoter.</w:t>
      </w:r>
    </w:p>
    <w:p>
      <w:pPr>
        <w:pStyle w:val="Point1"/>
        <w:rPr>
          <w:noProof/>
        </w:rPr>
      </w:pPr>
      <w:r>
        <w:rPr>
          <w:noProof/>
        </w:rPr>
        <w:t>vii.</w:t>
      </w:r>
      <w:r>
        <w:rPr>
          <w:noProof/>
        </w:rPr>
        <w:tab/>
        <w:t>Särskild och differentierad behandling (Hur pass betungande anmälningskraven är).</w:t>
      </w:r>
    </w:p>
    <w:p>
      <w:pPr>
        <w:pStyle w:val="Point1"/>
        <w:rPr>
          <w:noProof/>
        </w:rPr>
      </w:pPr>
      <w:r>
        <w:rPr>
          <w:noProof/>
        </w:rPr>
        <w:t>viii.</w:t>
      </w:r>
      <w:r>
        <w:rPr>
          <w:noProof/>
        </w:rPr>
        <w:tab/>
        <w:t>Kopplingen till anmälningskraven när det gäller importlicensförfaranden.</w:t>
      </w:r>
    </w:p>
    <w:p>
      <w:pPr>
        <w:pStyle w:val="Point1"/>
        <w:rPr>
          <w:noProof/>
        </w:rPr>
      </w:pPr>
      <w:r>
        <w:rPr>
          <w:noProof/>
        </w:rPr>
        <w:t>ix.</w:t>
      </w:r>
      <w:r>
        <w:rPr>
          <w:noProof/>
        </w:rPr>
        <w:tab/>
        <w:t>Tekniskt bistånd från sekretariatet för att få medlemmarna att uppfylla anmälningskraven i högre grad.</w:t>
      </w:r>
    </w:p>
    <w:p>
      <w:pPr>
        <w:rPr>
          <w:b/>
          <w:noProof/>
          <w:szCs w:val="24"/>
        </w:rPr>
      </w:pPr>
      <w:r>
        <w:rPr>
          <w:b/>
          <w:noProof/>
        </w:rPr>
        <w:t>MEKANISMEN FÖR UNDERUTNYTTJANDE</w:t>
      </w:r>
    </w:p>
    <w:p>
      <w:pPr>
        <w:pStyle w:val="Point1"/>
        <w:rPr>
          <w:noProof/>
        </w:rPr>
      </w:pPr>
      <w:r>
        <w:rPr>
          <w:noProof/>
        </w:rPr>
        <w:t>i.</w:t>
      </w:r>
      <w:r>
        <w:rPr>
          <w:noProof/>
        </w:rPr>
        <w:tab/>
        <w:t>Medlemmarna har olika skyldigheter (punkt 4 i bilaga A).</w:t>
      </w:r>
    </w:p>
    <w:p>
      <w:pPr>
        <w:pStyle w:val="Point1"/>
        <w:rPr>
          <w:noProof/>
        </w:rPr>
      </w:pPr>
      <w:r>
        <w:rPr>
          <w:noProof/>
        </w:rPr>
        <w:t>ii.</w:t>
      </w:r>
      <w:r>
        <w:rPr>
          <w:noProof/>
        </w:rPr>
        <w:tab/>
        <w:t>Särskild och differentierad behandling.</w:t>
      </w:r>
    </w:p>
    <w:p>
      <w:pPr>
        <w:pStyle w:val="Point1"/>
        <w:rPr>
          <w:noProof/>
        </w:rPr>
      </w:pPr>
      <w:r>
        <w:rPr>
          <w:noProof/>
        </w:rPr>
        <w:t>iii.</w:t>
      </w:r>
      <w:r>
        <w:rPr>
          <w:noProof/>
        </w:rPr>
        <w:tab/>
        <w:t>Potentiell framtida tillämpning som inte är allmän.</w:t>
      </w:r>
    </w:p>
    <w:p>
      <w:pPr>
        <w:pStyle w:val="Point1"/>
        <w:rPr>
          <w:noProof/>
        </w:rPr>
      </w:pPr>
      <w:r>
        <w:rPr>
          <w:noProof/>
        </w:rPr>
        <w:t>iv.</w:t>
      </w:r>
      <w:r>
        <w:rPr>
          <w:noProof/>
        </w:rPr>
        <w:tab/>
        <w:t>Koppling mellan bilaga B och punkt 4 i bilaga A.</w:t>
      </w:r>
    </w:p>
    <w:p>
      <w:pPr>
        <w:pStyle w:val="Point1"/>
        <w:rPr>
          <w:noProof/>
        </w:rPr>
      </w:pPr>
      <w:r>
        <w:rPr>
          <w:noProof/>
        </w:rPr>
        <w:t>v.</w:t>
      </w:r>
      <w:r>
        <w:rPr>
          <w:noProof/>
        </w:rPr>
        <w:tab/>
        <w:t>Undersökning av orsakerna till underutnyttjande.</w:t>
      </w:r>
    </w:p>
    <w:p>
      <w:pPr>
        <w:pStyle w:val="Point1"/>
        <w:rPr>
          <w:noProof/>
        </w:rPr>
      </w:pPr>
      <w:r>
        <w:rPr>
          <w:noProof/>
        </w:rPr>
        <w:t>vi.</w:t>
      </w:r>
      <w:r>
        <w:rPr>
          <w:noProof/>
        </w:rPr>
        <w:tab/>
        <w:t>Riktad granskning av underutnyttjande av tullkvoterna inom några specifika sektorer.</w:t>
      </w:r>
    </w:p>
    <w:p>
      <w:pPr>
        <w:pStyle w:val="Point1"/>
        <w:rPr>
          <w:noProof/>
        </w:rPr>
      </w:pPr>
      <w:r>
        <w:rPr>
          <w:noProof/>
        </w:rPr>
        <w:t>vii.</w:t>
      </w:r>
      <w:r>
        <w:rPr>
          <w:noProof/>
        </w:rPr>
        <w:tab/>
        <w:t>Praktisk tillämpning av mekanismen för underutnyttjande (undersökning av skälen, inklusive potentiell komplexitet, till att den ännu inte åberopats, utbyte av erfarenheter, förenkling av förfarandekraven).</w:t>
      </w:r>
    </w:p>
    <w:p>
      <w:pPr>
        <w:pStyle w:val="Point1"/>
        <w:rPr>
          <w:noProof/>
        </w:rPr>
      </w:pPr>
      <w:r>
        <w:rPr>
          <w:noProof/>
        </w:rPr>
        <w:t>viii.</w:t>
      </w:r>
      <w:r>
        <w:rPr>
          <w:noProof/>
        </w:rPr>
        <w:tab/>
        <w:t>Sekretariatets upprätthållande av en förteckning över underutnyttjandena av tullkvoter.</w:t>
      </w:r>
    </w:p>
    <w:p>
      <w:pPr>
        <w:pStyle w:val="Point0number"/>
        <w:rPr>
          <w:noProof/>
        </w:rPr>
      </w:pPr>
      <w:r>
        <w:rPr>
          <w:noProof/>
        </w:rPr>
        <w:t xml:space="preserve">I fråga om den framtida funktionen för punkt 4 i mekanismen för underutnyttjande och den därmed sammanhängande bestämmelsen om särskild och differentierad behandling intog medlemmarna skiljaktiga ståndpunkter. Några utvecklingsländer framhöll att bestämmelserna om särskild och differentierad behandling i Bali-beslutet om tullkvoter inte bör urvattnas. Några andra medlemmar ansåg att den särskilda och differentierade behandlingen av utvecklingsländer inte bör leda till ett undantag och att de mottagande utvecklingsländerna i stället bör respektera åtagandena avseende hantering av tullkvoter, med beaktande av sin utvecklingsstatus. </w:t>
      </w:r>
    </w:p>
    <w:p>
      <w:pPr>
        <w:pStyle w:val="Point0number"/>
        <w:rPr>
          <w:noProof/>
        </w:rPr>
      </w:pPr>
      <w:r>
        <w:rPr>
          <w:noProof/>
        </w:rPr>
        <w:t>Flera medlemmar ansåg att översynen skulle begränsas till att försöka förbättra förvaltningen av tullkvoter för att särskilja den från förhandlingarna om marknadstillträde. En del andra hänvisade till möjligheten att föra in handelskvotsrelaterade frågor i förhandlingarna om marknadstillträde.</w:t>
      </w:r>
    </w:p>
    <w:p>
      <w:pPr>
        <w:pStyle w:val="Point0number"/>
        <w:rPr>
          <w:noProof/>
        </w:rPr>
      </w:pPr>
      <w:r>
        <w:rPr>
          <w:noProof/>
        </w:rPr>
        <w:t>Några medlemmar ansåg att kommittén, på grundval av medlemmarnas bidrag, bör undersöka skälen till att mekanismen för underutnyttjande ännu inte åberopats.</w:t>
      </w:r>
    </w:p>
    <w:p>
      <w:pPr>
        <w:pStyle w:val="Point0number"/>
        <w:rPr>
          <w:noProof/>
        </w:rPr>
      </w:pPr>
      <w:r>
        <w:rPr>
          <w:noProof/>
        </w:rPr>
        <w:t xml:space="preserve">I enlighet med punkterna 13–15 i Bali-beslutet om tullkvoter (WT/MIN(13)/39) har kommittén vid sitt möte den 30 oktober 2019 godkänt rekommendationerna i </w:t>
      </w:r>
      <w:r>
        <w:rPr>
          <w:b/>
          <w:bCs/>
          <w:noProof/>
        </w:rPr>
        <w:t>bilaga 2</w:t>
      </w:r>
      <w:r>
        <w:rPr>
          <w:noProof/>
        </w:rPr>
        <w:t xml:space="preserve"> till denna rapport, för att föreläggas det allmänna rådet.  </w:t>
      </w:r>
    </w:p>
    <w:p>
      <w:pPr>
        <w:spacing w:before="0" w:after="200" w:line="276" w:lineRule="auto"/>
        <w:jc w:val="left"/>
        <w:rPr>
          <w:noProof/>
          <w:szCs w:val="24"/>
        </w:rPr>
      </w:pPr>
      <w:r>
        <w:rPr>
          <w:noProof/>
        </w:rPr>
        <w:br w:type="page"/>
      </w:r>
    </w:p>
    <w:p>
      <w:pPr>
        <w:spacing w:before="0" w:after="240"/>
        <w:jc w:val="center"/>
        <w:rPr>
          <w:noProof/>
          <w:szCs w:val="24"/>
        </w:rPr>
      </w:pPr>
      <w:r>
        <w:rPr>
          <w:b/>
          <w:noProof/>
        </w:rPr>
        <w:t>Bilaga 1</w:t>
      </w:r>
    </w:p>
    <w:tbl>
      <w:tblPr>
        <w:tblStyle w:val="WTOTable1"/>
        <w:tblW w:w="5000" w:type="pct"/>
        <w:tblLook w:val="04A0" w:firstRow="1" w:lastRow="0" w:firstColumn="1" w:lastColumn="0" w:noHBand="0" w:noVBand="1"/>
      </w:tblPr>
      <w:tblGrid>
        <w:gridCol w:w="2332"/>
        <w:gridCol w:w="6957"/>
      </w:tblGrid>
      <w:tr>
        <w:trPr>
          <w:cnfStyle w:val="100000000000" w:firstRow="1" w:lastRow="0" w:firstColumn="0" w:lastColumn="0" w:oddVBand="0" w:evenVBand="0" w:oddHBand="0" w:evenHBand="0" w:firstRowFirstColumn="0" w:firstRowLastColumn="0" w:lastRowFirstColumn="0" w:lastRowLastColumn="0"/>
          <w:trHeight w:val="20"/>
        </w:trPr>
        <w:tc>
          <w:tcPr>
            <w:tcW w:w="9016" w:type="dxa"/>
            <w:gridSpan w:val="2"/>
          </w:tcPr>
          <w:p>
            <w:pPr>
              <w:spacing w:before="0" w:after="0" w:line="360" w:lineRule="auto"/>
              <w:jc w:val="center"/>
              <w:rPr>
                <w:b w:val="0"/>
                <w:noProof/>
                <w:color w:val="auto"/>
                <w:szCs w:val="24"/>
              </w:rPr>
            </w:pPr>
            <w:r>
              <w:rPr>
                <w:noProof/>
              </w:rPr>
              <w:t>Förteckning över dokument</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G/AG/W/169</w:t>
            </w:r>
          </w:p>
          <w:p>
            <w:pPr>
              <w:spacing w:before="0" w:after="0"/>
              <w:rPr>
                <w:noProof/>
                <w:szCs w:val="24"/>
              </w:rPr>
            </w:pPr>
            <w:r>
              <w:rPr>
                <w:noProof/>
              </w:rPr>
              <w:t>10 oktober 2017</w:t>
            </w:r>
          </w:p>
        </w:tc>
        <w:tc>
          <w:tcPr>
            <w:tcW w:w="6753" w:type="dxa"/>
          </w:tcPr>
          <w:p>
            <w:pPr>
              <w:tabs>
                <w:tab w:val="left" w:pos="1134"/>
              </w:tabs>
              <w:spacing w:after="0"/>
              <w:jc w:val="left"/>
              <w:rPr>
                <w:noProof/>
                <w:szCs w:val="24"/>
              </w:rPr>
            </w:pPr>
            <w:r>
              <w:rPr>
                <w:noProof/>
              </w:rPr>
              <w:t>Monitoring and review of Members' obligations established under the Bali Decision on TRQ administration (övervakning och översyn av medlemmarnas skyldigheter enligt beslutet från Bali om förvaltning av tullkvoter).</w:t>
            </w:r>
          </w:p>
          <w:p>
            <w:pPr>
              <w:tabs>
                <w:tab w:val="left" w:pos="1134"/>
              </w:tabs>
              <w:spacing w:before="0" w:after="0"/>
              <w:jc w:val="left"/>
              <w:rPr>
                <w:noProof/>
                <w:szCs w:val="24"/>
              </w:rPr>
            </w:pPr>
          </w:p>
          <w:p>
            <w:pPr>
              <w:tabs>
                <w:tab w:val="left" w:pos="1134"/>
              </w:tabs>
              <w:spacing w:before="0"/>
              <w:rPr>
                <w:noProof/>
                <w:szCs w:val="24"/>
              </w:rPr>
            </w:pPr>
            <w:r>
              <w:rPr>
                <w:noProof/>
              </w:rPr>
              <w:t>Anmärkning från sekretariatet</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G/AG/W/171</w:t>
            </w:r>
          </w:p>
          <w:p>
            <w:pPr>
              <w:spacing w:before="0" w:after="0"/>
              <w:rPr>
                <w:rFonts w:eastAsia="Times New Roman"/>
                <w:bCs/>
                <w:noProof/>
                <w:szCs w:val="24"/>
              </w:rPr>
            </w:pPr>
            <w:r>
              <w:rPr>
                <w:noProof/>
              </w:rPr>
              <w:t>9 februari 2018</w:t>
            </w:r>
          </w:p>
        </w:tc>
        <w:tc>
          <w:tcPr>
            <w:tcW w:w="6753" w:type="dxa"/>
          </w:tcPr>
          <w:p>
            <w:pPr>
              <w:tabs>
                <w:tab w:val="left" w:pos="1134"/>
              </w:tabs>
              <w:spacing w:after="0"/>
              <w:jc w:val="left"/>
              <w:rPr>
                <w:rFonts w:eastAsia="Times New Roman"/>
                <w:bCs/>
                <w:noProof/>
                <w:szCs w:val="24"/>
              </w:rPr>
            </w:pPr>
            <w:r>
              <w:rPr>
                <w:noProof/>
              </w:rPr>
              <w:t>Proposed process for the Review of the Operation of the Bali Decision on TRQ Administration (föreslagen process för översynen av hur beslutet från Bali om förvaltning av tullkvoter fungerar).</w:t>
            </w:r>
          </w:p>
          <w:p>
            <w:pPr>
              <w:tabs>
                <w:tab w:val="left" w:pos="1134"/>
              </w:tabs>
              <w:spacing w:before="0" w:after="0"/>
              <w:jc w:val="left"/>
              <w:rPr>
                <w:rFonts w:eastAsia="Times New Roman"/>
                <w:bCs/>
                <w:noProof/>
                <w:szCs w:val="24"/>
              </w:rPr>
            </w:pPr>
          </w:p>
          <w:p>
            <w:pPr>
              <w:tabs>
                <w:tab w:val="left" w:pos="1134"/>
              </w:tabs>
              <w:spacing w:before="0"/>
              <w:rPr>
                <w:rFonts w:eastAsia="Times New Roman"/>
                <w:bCs/>
                <w:noProof/>
                <w:szCs w:val="24"/>
              </w:rPr>
            </w:pPr>
            <w:r>
              <w:rPr>
                <w:noProof/>
              </w:rPr>
              <w:t>Anmärkning från sekretariatet</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G/AG/W/175</w:t>
            </w:r>
          </w:p>
          <w:p>
            <w:pPr>
              <w:spacing w:before="0" w:after="0"/>
              <w:rPr>
                <w:noProof/>
                <w:szCs w:val="24"/>
              </w:rPr>
            </w:pPr>
            <w:r>
              <w:rPr>
                <w:noProof/>
              </w:rPr>
              <w:t>18 maj 2018</w:t>
            </w:r>
          </w:p>
          <w:p>
            <w:pPr>
              <w:spacing w:before="0" w:after="0"/>
              <w:rPr>
                <w:noProof/>
                <w:szCs w:val="24"/>
              </w:rPr>
            </w:pPr>
            <w:r>
              <w:rPr>
                <w:noProof/>
              </w:rPr>
              <w:t xml:space="preserve">       </w:t>
            </w:r>
          </w:p>
          <w:p>
            <w:pPr>
              <w:spacing w:before="0" w:after="0"/>
              <w:rPr>
                <w:noProof/>
                <w:szCs w:val="24"/>
              </w:rPr>
            </w:pPr>
            <w:r>
              <w:rPr>
                <w:noProof/>
              </w:rPr>
              <w:t xml:space="preserve">         och</w:t>
            </w:r>
          </w:p>
          <w:p>
            <w:pPr>
              <w:spacing w:after="0"/>
              <w:jc w:val="left"/>
              <w:rPr>
                <w:rFonts w:eastAsia="Times New Roman"/>
                <w:bCs/>
                <w:noProof/>
                <w:szCs w:val="24"/>
              </w:rPr>
            </w:pPr>
            <w:r>
              <w:rPr>
                <w:noProof/>
              </w:rPr>
              <w:t>G/AG/W/175/Add.1</w:t>
            </w:r>
          </w:p>
          <w:p>
            <w:pPr>
              <w:spacing w:before="0" w:after="0"/>
              <w:rPr>
                <w:noProof/>
                <w:szCs w:val="24"/>
              </w:rPr>
            </w:pPr>
            <w:r>
              <w:rPr>
                <w:noProof/>
              </w:rPr>
              <w:t>7 maj 2019</w:t>
            </w:r>
          </w:p>
          <w:p>
            <w:pPr>
              <w:spacing w:before="0" w:after="0"/>
              <w:rPr>
                <w:noProof/>
                <w:szCs w:val="24"/>
              </w:rPr>
            </w:pPr>
          </w:p>
        </w:tc>
        <w:tc>
          <w:tcPr>
            <w:tcW w:w="6753" w:type="dxa"/>
          </w:tcPr>
          <w:p>
            <w:pPr>
              <w:spacing w:after="0"/>
              <w:jc w:val="left"/>
              <w:rPr>
                <w:noProof/>
                <w:szCs w:val="24"/>
              </w:rPr>
            </w:pPr>
          </w:p>
          <w:p>
            <w:pPr>
              <w:spacing w:after="0"/>
              <w:jc w:val="left"/>
              <w:rPr>
                <w:noProof/>
                <w:szCs w:val="24"/>
              </w:rPr>
            </w:pPr>
            <w:r>
              <w:rPr>
                <w:noProof/>
              </w:rPr>
              <w:t>Europeiska unionens bidrag till jordbrukskommittén avseende processen för översynen av hur beslutet från Bali om förvaltning av tullkvoter fungerar</w:t>
            </w:r>
            <w:r>
              <w:rPr>
                <w:rStyle w:val="FootnoteReference"/>
                <w:noProof/>
              </w:rPr>
              <w:footnoteReference w:id="8"/>
            </w:r>
            <w:r>
              <w:rPr>
                <w:noProof/>
              </w:rPr>
              <w:t>.</w:t>
            </w:r>
          </w:p>
          <w:p>
            <w:pPr>
              <w:spacing w:before="0" w:after="0"/>
              <w:rPr>
                <w:noProof/>
                <w:szCs w:val="24"/>
              </w:rPr>
            </w:pPr>
          </w:p>
          <w:p>
            <w:pPr>
              <w:spacing w:before="0" w:after="0"/>
              <w:rPr>
                <w:noProof/>
                <w:szCs w:val="24"/>
              </w:rPr>
            </w:pPr>
          </w:p>
          <w:p>
            <w:pPr>
              <w:tabs>
                <w:tab w:val="left" w:pos="1134"/>
              </w:tabs>
              <w:spacing w:before="0"/>
              <w:rPr>
                <w:noProof/>
                <w:szCs w:val="24"/>
              </w:rPr>
            </w:pPr>
            <w:r>
              <w:rPr>
                <w:noProof/>
              </w:rPr>
              <w:t>Meddelanden från Europeiska unionen</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G/AG/W/179</w:t>
            </w:r>
          </w:p>
          <w:p>
            <w:pPr>
              <w:spacing w:before="0" w:after="0"/>
              <w:rPr>
                <w:noProof/>
                <w:szCs w:val="24"/>
              </w:rPr>
            </w:pPr>
            <w:r>
              <w:rPr>
                <w:noProof/>
              </w:rPr>
              <w:t>6 juni 2018</w:t>
            </w:r>
          </w:p>
        </w:tc>
        <w:tc>
          <w:tcPr>
            <w:tcW w:w="6753" w:type="dxa"/>
          </w:tcPr>
          <w:p>
            <w:pPr>
              <w:spacing w:after="0"/>
              <w:jc w:val="left"/>
              <w:rPr>
                <w:rFonts w:eastAsiaTheme="majorEastAsia"/>
                <w:caps/>
                <w:noProof/>
                <w:kern w:val="28"/>
                <w:szCs w:val="24"/>
              </w:rPr>
            </w:pPr>
            <w:r>
              <w:rPr>
                <w:noProof/>
                <w:lang w:val="en-US"/>
              </w:rPr>
              <w:t>Review of the Operation of the Bali Ministerial Decision on ”Understanding on Tariff Rate Quota Administration provisions of Agricultural Products…”</w:t>
            </w:r>
            <w:r>
              <w:rPr>
                <w:rStyle w:val="FootnoteReference"/>
                <w:noProof/>
              </w:rPr>
              <w:footnoteReference w:id="9"/>
            </w:r>
            <w:r>
              <w:rPr>
                <w:noProof/>
                <w:lang w:val="en-US"/>
              </w:rPr>
              <w:t xml:space="preserve"> </w:t>
            </w:r>
            <w:r>
              <w:rPr>
                <w:noProof/>
              </w:rPr>
              <w:t>(översyn av hur ministerbeslutet från Bali om överenskommelsen om förvaltningen av tullkvoter för jordbruksprodukter fungerar).</w:t>
            </w:r>
          </w:p>
          <w:p>
            <w:pPr>
              <w:spacing w:before="0" w:after="0"/>
              <w:rPr>
                <w:noProof/>
                <w:szCs w:val="24"/>
              </w:rPr>
            </w:pPr>
          </w:p>
          <w:p>
            <w:pPr>
              <w:tabs>
                <w:tab w:val="left" w:pos="1134"/>
              </w:tabs>
              <w:spacing w:before="0"/>
              <w:rPr>
                <w:noProof/>
                <w:szCs w:val="24"/>
              </w:rPr>
            </w:pPr>
            <w:r>
              <w:rPr>
                <w:noProof/>
              </w:rPr>
              <w:t>Bidrag från Cairnsgruppen</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G/AG/W/183</w:t>
            </w:r>
          </w:p>
          <w:p>
            <w:pPr>
              <w:spacing w:before="0" w:after="0"/>
              <w:rPr>
                <w:noProof/>
                <w:szCs w:val="24"/>
              </w:rPr>
            </w:pPr>
            <w:r>
              <w:rPr>
                <w:noProof/>
              </w:rPr>
              <w:t>31 juli 2018</w:t>
            </w:r>
          </w:p>
        </w:tc>
        <w:tc>
          <w:tcPr>
            <w:tcW w:w="6753" w:type="dxa"/>
          </w:tcPr>
          <w:p>
            <w:pPr>
              <w:tabs>
                <w:tab w:val="left" w:pos="1134"/>
              </w:tabs>
              <w:spacing w:after="0"/>
              <w:jc w:val="left"/>
              <w:rPr>
                <w:noProof/>
                <w:szCs w:val="24"/>
              </w:rPr>
            </w:pPr>
            <w:r>
              <w:rPr>
                <w:noProof/>
              </w:rPr>
              <w:t>Tariff quota administration methods and fill rates 2007–2016 (metoder för förvaltning av tullkvoter och utnyttjandegraden 2007–2016).</w:t>
            </w:r>
          </w:p>
          <w:p>
            <w:pPr>
              <w:tabs>
                <w:tab w:val="left" w:pos="1134"/>
              </w:tabs>
              <w:spacing w:before="0" w:after="0"/>
              <w:jc w:val="left"/>
              <w:rPr>
                <w:noProof/>
                <w:szCs w:val="24"/>
              </w:rPr>
            </w:pPr>
          </w:p>
          <w:p>
            <w:pPr>
              <w:tabs>
                <w:tab w:val="left" w:pos="1134"/>
              </w:tabs>
              <w:spacing w:before="0"/>
              <w:rPr>
                <w:noProof/>
                <w:szCs w:val="24"/>
              </w:rPr>
            </w:pPr>
            <w:r>
              <w:rPr>
                <w:noProof/>
              </w:rPr>
              <w:t>Bakgrundsdokument från sekretariatet</w:t>
            </w:r>
          </w:p>
        </w:tc>
      </w:tr>
      <w:tr>
        <w:trPr>
          <w:cnfStyle w:val="000000010000" w:firstRow="0" w:lastRow="0" w:firstColumn="0" w:lastColumn="0" w:oddVBand="0" w:evenVBand="0" w:oddHBand="0" w:evenHBand="1"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G/AG/W/186</w:t>
            </w:r>
          </w:p>
          <w:p>
            <w:pPr>
              <w:spacing w:before="0" w:after="0"/>
              <w:rPr>
                <w:noProof/>
                <w:szCs w:val="24"/>
              </w:rPr>
            </w:pPr>
            <w:r>
              <w:rPr>
                <w:noProof/>
              </w:rPr>
              <w:t>19 september 2018</w:t>
            </w:r>
          </w:p>
        </w:tc>
        <w:tc>
          <w:tcPr>
            <w:tcW w:w="6753" w:type="dxa"/>
          </w:tcPr>
          <w:p>
            <w:pPr>
              <w:tabs>
                <w:tab w:val="left" w:pos="1134"/>
              </w:tabs>
              <w:spacing w:after="0"/>
              <w:jc w:val="left"/>
              <w:rPr>
                <w:noProof/>
                <w:szCs w:val="24"/>
              </w:rPr>
            </w:pPr>
            <w:r>
              <w:rPr>
                <w:noProof/>
              </w:rPr>
              <w:t>Review of Bali Decision on TRQ administration (översyn av beslutet från Bali om förvaltning av tullkvoter).</w:t>
            </w:r>
          </w:p>
          <w:p>
            <w:pPr>
              <w:tabs>
                <w:tab w:val="left" w:pos="1134"/>
              </w:tabs>
              <w:spacing w:before="0" w:after="0"/>
              <w:jc w:val="left"/>
              <w:rPr>
                <w:noProof/>
                <w:szCs w:val="24"/>
              </w:rPr>
            </w:pPr>
          </w:p>
          <w:p>
            <w:pPr>
              <w:spacing w:before="0"/>
              <w:rPr>
                <w:noProof/>
                <w:szCs w:val="24"/>
              </w:rPr>
            </w:pPr>
            <w:r>
              <w:rPr>
                <w:noProof/>
              </w:rPr>
              <w:t>Bidrag från Australien</w:t>
            </w:r>
          </w:p>
        </w:tc>
      </w:tr>
      <w:tr>
        <w:trPr>
          <w:cnfStyle w:val="000000100000" w:firstRow="0" w:lastRow="0" w:firstColumn="0" w:lastColumn="0" w:oddVBand="0" w:evenVBand="0" w:oddHBand="1" w:evenHBand="0" w:firstRowFirstColumn="0" w:firstRowLastColumn="0" w:lastRowFirstColumn="0" w:lastRowLastColumn="0"/>
          <w:trHeight w:val="20"/>
        </w:trPr>
        <w:tc>
          <w:tcPr>
            <w:tcW w:w="2263" w:type="dxa"/>
          </w:tcPr>
          <w:p>
            <w:pPr>
              <w:spacing w:after="0"/>
              <w:jc w:val="left"/>
              <w:rPr>
                <w:rFonts w:eastAsia="Times New Roman"/>
                <w:bCs/>
                <w:noProof/>
                <w:szCs w:val="24"/>
              </w:rPr>
            </w:pPr>
            <w:r>
              <w:rPr>
                <w:noProof/>
              </w:rPr>
              <w:t>G/AG/W/197</w:t>
            </w:r>
          </w:p>
          <w:p>
            <w:pPr>
              <w:spacing w:before="0" w:after="0"/>
              <w:rPr>
                <w:noProof/>
                <w:szCs w:val="24"/>
              </w:rPr>
            </w:pPr>
            <w:r>
              <w:rPr>
                <w:noProof/>
              </w:rPr>
              <w:t>24 maj 2019</w:t>
            </w:r>
          </w:p>
        </w:tc>
        <w:tc>
          <w:tcPr>
            <w:tcW w:w="6753" w:type="dxa"/>
          </w:tcPr>
          <w:p>
            <w:pPr>
              <w:tabs>
                <w:tab w:val="left" w:pos="1134"/>
              </w:tabs>
              <w:spacing w:after="0"/>
              <w:jc w:val="left"/>
              <w:rPr>
                <w:noProof/>
                <w:szCs w:val="24"/>
              </w:rPr>
            </w:pPr>
            <w:r>
              <w:rPr>
                <w:noProof/>
              </w:rPr>
              <w:t>The Underfill Mechanism of the Bali TRQ Administration Decision (mekanismen för underutnyttjande i beslutet från Bali om förvaltning av tullkvoter).</w:t>
            </w:r>
          </w:p>
          <w:p>
            <w:pPr>
              <w:tabs>
                <w:tab w:val="left" w:pos="1134"/>
              </w:tabs>
              <w:spacing w:after="0"/>
              <w:jc w:val="left"/>
              <w:rPr>
                <w:noProof/>
                <w:szCs w:val="24"/>
              </w:rPr>
            </w:pPr>
            <w:r>
              <w:rPr>
                <w:noProof/>
              </w:rPr>
              <w:t>Bidrag på Cairnsgruppens vägnar</w:t>
            </w:r>
          </w:p>
        </w:tc>
      </w:tr>
    </w:tbl>
    <w:p>
      <w:pPr>
        <w:spacing w:before="0" w:after="200" w:line="276" w:lineRule="auto"/>
        <w:jc w:val="left"/>
        <w:rPr>
          <w:b/>
          <w:noProof/>
          <w:szCs w:val="24"/>
        </w:rPr>
      </w:pPr>
      <w:r>
        <w:rPr>
          <w:noProof/>
        </w:rPr>
        <w:br w:type="page"/>
      </w:r>
    </w:p>
    <w:p>
      <w:pPr>
        <w:spacing w:before="0" w:after="240"/>
        <w:jc w:val="center"/>
        <w:rPr>
          <w:b/>
          <w:noProof/>
          <w:szCs w:val="24"/>
        </w:rPr>
      </w:pPr>
      <w:r>
        <w:rPr>
          <w:b/>
          <w:noProof/>
        </w:rPr>
        <w:t>Bilaga 2</w:t>
      </w:r>
    </w:p>
    <w:p>
      <w:pPr>
        <w:pStyle w:val="Point0number"/>
        <w:numPr>
          <w:ilvl w:val="0"/>
          <w:numId w:val="2"/>
        </w:numPr>
        <w:rPr>
          <w:noProof/>
        </w:rPr>
      </w:pPr>
      <w:r>
        <w:rPr>
          <w:noProof/>
        </w:rPr>
        <w:t>[Tidsfristen i punkt 14 och fotnot 2 i Bali-beslutet om tullkvoter för ett beslut om punkt 4 i bilaga A ska förlängas till slutet av 2021 eller den trettonde ministerkonferensen, beroende på vilket som infaller först. [Om varken ministerkonferensen eller det allmänna rådet före slutet av 2021 beslutar att förlänga punkt 4 i bilaga A till Bali-beslutet om tullkvoter i dess nuvarande eller i modifierad form, med förbehåll för punkt 15 i det beslutet, ska, för ökad säkerhet, punkt 4 i bilaga A inte längre tillämpas från och med den 1 januari 2022 [när det gäller medlemmar som är förtecknade i bilaga B, samt alla medlemmar som före slutet av 2021 begär att upptas i bilaga B].]</w:t>
      </w:r>
    </w:p>
    <w:p>
      <w:pPr>
        <w:pStyle w:val="Point0number"/>
        <w:numPr>
          <w:ilvl w:val="0"/>
          <w:numId w:val="2"/>
        </w:numPr>
        <w:rPr>
          <w:noProof/>
        </w:rPr>
      </w:pPr>
      <w:r>
        <w:rPr>
          <w:noProof/>
        </w:rPr>
        <w:t xml:space="preserve">Under tiden kommer jordbrukskommittén (nedan kallad </w:t>
      </w:r>
      <w:r>
        <w:rPr>
          <w:i/>
          <w:iCs/>
          <w:noProof/>
        </w:rPr>
        <w:t>kommittén</w:t>
      </w:r>
      <w:r>
        <w:rPr>
          <w:noProof/>
        </w:rPr>
        <w:t>) att fortsätta diskussionerna om tillämpningen av punkt 4 i bilaga A. [För ökad säkerhet ska Bali-avtalet om tullkvoter och dess bilagor upprätthållas under tiden som diskussionerna pågår.]</w:t>
      </w:r>
    </w:p>
    <w:p>
      <w:pPr>
        <w:pStyle w:val="Point0number"/>
        <w:numPr>
          <w:ilvl w:val="0"/>
          <w:numId w:val="2"/>
        </w:numPr>
        <w:rPr>
          <w:noProof/>
        </w:rPr>
      </w:pPr>
      <w:r>
        <w:rPr>
          <w:noProof/>
        </w:rPr>
        <w:t>Kommittén kommer att lämna rekommendationer till det allmänna rådet med avseende på tillämpningen av punkt 4 [i bilaga A och i enlighet med punkt 14] före slutet av 2021.]</w:t>
      </w:r>
    </w:p>
    <w:p>
      <w:pPr>
        <w:pStyle w:val="Point0number"/>
        <w:numPr>
          <w:ilvl w:val="0"/>
          <w:numId w:val="2"/>
        </w:numPr>
        <w:rPr>
          <w:noProof/>
        </w:rPr>
      </w:pPr>
      <w:r>
        <w:rPr>
          <w:noProof/>
        </w:rPr>
        <w:t>Kommittén, som inser vikten av ökad transparens i förvaltningen av och utnyttjandegraden avseende tullkvoter samt av att medlemmarna snabbt lämnar in anmälningar och som är medveten om att systemet för onlineanmälningar avseende jordbruk bör leda till bättre harmonisering, enas om följande:</w:t>
      </w:r>
    </w:p>
    <w:p>
      <w:pPr>
        <w:pStyle w:val="Point1letter"/>
        <w:rPr>
          <w:noProof/>
        </w:rPr>
      </w:pPr>
      <w:r>
        <w:rPr>
          <w:noProof/>
        </w:rPr>
        <w:t xml:space="preserve">Sekretariatet ska utarbeta en förteckning över medlemmarnas befintliga rutiner för anmälan av tullkvoter, inklusive i de fall där en planerad tullkvot inte öppnats. </w:t>
      </w:r>
    </w:p>
    <w:p>
      <w:pPr>
        <w:pStyle w:val="Point1letter"/>
        <w:rPr>
          <w:noProof/>
        </w:rPr>
      </w:pPr>
      <w:r>
        <w:rPr>
          <w:noProof/>
        </w:rPr>
        <w:t xml:space="preserve">Kommittén kommer att inleda diskussioner om harmonisering av medlemmarnas rutiner för anmälan av tullkvoter, inklusive utnyttjandegraden avseende tullkvoter.  </w:t>
      </w:r>
    </w:p>
    <w:p>
      <w:pPr>
        <w:pStyle w:val="Point1letter"/>
        <w:rPr>
          <w:noProof/>
        </w:rPr>
      </w:pPr>
      <w:r>
        <w:rPr>
          <w:noProof/>
        </w:rPr>
        <w:t>Kommittén uppmanar medlemmarna att införa en förklaring i sina tabell MA:2-anmälningar i de fall där de planerade tullkvoterna inte öppnats.</w:t>
      </w:r>
    </w:p>
    <w:p>
      <w:pPr>
        <w:pStyle w:val="Point1letter"/>
        <w:rPr>
          <w:noProof/>
        </w:rPr>
      </w:pPr>
      <w:r>
        <w:rPr>
          <w:noProof/>
        </w:rPr>
        <w:t>Sekretariatet kommer regelbundet att uppdatera de uppgifter om förvaltningen av och utnyttjandegraden avseende tullkvoter som finns i G/AG/W/183</w:t>
      </w:r>
      <w:r>
        <w:rPr>
          <w:rStyle w:val="FootnoteReference"/>
          <w:noProof/>
        </w:rPr>
        <w:footnoteReference w:id="10"/>
      </w:r>
      <w:r>
        <w:rPr>
          <w:noProof/>
        </w:rPr>
        <w:t xml:space="preserve"> på grundval av uppdaterade uppgifter i anslutning till medlemmarnas anmälningar av utnyttjandegraden och frågor som tagits upp i kommittén rörande utnyttjandegrader.</w:t>
      </w:r>
    </w:p>
    <w:p>
      <w:pPr>
        <w:pStyle w:val="Point1letter"/>
        <w:rPr>
          <w:noProof/>
        </w:rPr>
      </w:pPr>
      <w:r>
        <w:rPr>
          <w:noProof/>
        </w:rPr>
        <w:t>På grundval av medlemmarnas bidrag kommer kommittén att undersöka skälen till att mekanismen för underutnyttjande ännu inte åberopats.</w:t>
      </w:r>
    </w:p>
    <w:p>
      <w:pPr>
        <w:pStyle w:val="Point0number"/>
        <w:rPr>
          <w:noProof/>
        </w:rPr>
      </w:pPr>
      <w:r>
        <w:rPr>
          <w:noProof/>
        </w:rPr>
        <w:t>Kommittén enas om att göra regelbundna översyner av hur Bali-beslutet om tullkvoter fungerar vart tredje år efter att denna översyn har slutförts. Dessa regelbundna översyner kommer bland annat att omfatta en undersökning av medlemmarnas användning av mekanismen för underutnyttjande, på grundval av deras bidrag.</w:t>
      </w:r>
    </w:p>
    <w:p>
      <w:pPr>
        <w:spacing w:before="0" w:after="0"/>
        <w:jc w:val="center"/>
        <w:rPr>
          <w:noProof/>
          <w:szCs w:val="24"/>
        </w:rPr>
      </w:pPr>
      <w:r>
        <w:rPr>
          <w:b/>
          <w:noProof/>
        </w:rPr>
        <w:t>__________</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firstLine="0"/>
      </w:pPr>
      <w:r>
        <w:rPr>
          <w:rStyle w:val="FootnoteReference"/>
          <w:szCs w:val="16"/>
        </w:rPr>
        <w:footnoteRef/>
      </w:r>
      <w:r>
        <w:tab/>
        <w:t>Punkt 13 i WT/MIN(13)/39. Erfarenheterna av användningen av mekanismen för underutnyttjande har ännu inte rapporterats.</w:t>
      </w:r>
    </w:p>
  </w:footnote>
  <w:footnote w:id="2">
    <w:p>
      <w:pPr>
        <w:pStyle w:val="FootnoteText"/>
        <w:ind w:firstLine="0"/>
      </w:pPr>
      <w:r>
        <w:rPr>
          <w:rStyle w:val="FootnoteReference"/>
          <w:szCs w:val="16"/>
        </w:rPr>
        <w:footnoteRef/>
      </w:r>
      <w:r>
        <w:tab/>
        <w:t>Se avsnitt 2.2.1 i G/AG/R/86.</w:t>
      </w:r>
    </w:p>
  </w:footnote>
  <w:footnote w:id="3">
    <w:p>
      <w:pPr>
        <w:pStyle w:val="FootnoteText"/>
        <w:ind w:firstLine="0"/>
      </w:pPr>
      <w:r>
        <w:rPr>
          <w:rStyle w:val="FootnoteReference"/>
          <w:szCs w:val="16"/>
        </w:rPr>
        <w:footnoteRef/>
      </w:r>
      <w:r>
        <w:tab/>
        <w:t xml:space="preserve">Se avsnitt 2.5.1 i G/AG/R/87. </w:t>
      </w:r>
    </w:p>
  </w:footnote>
  <w:footnote w:id="4">
    <w:p>
      <w:pPr>
        <w:pStyle w:val="FootnoteText"/>
        <w:ind w:firstLine="0"/>
      </w:pPr>
      <w:r>
        <w:rPr>
          <w:rStyle w:val="FootnoteReference"/>
        </w:rPr>
        <w:footnoteRef/>
      </w:r>
      <w:r>
        <w:tab/>
        <w:t xml:space="preserve">Vid mötet i juni 2019 beslutade kommittén att förlänga tidsfristen till sitt möte i oktober 2019 för att kunna slutföra översynsrapporten.  </w:t>
      </w:r>
    </w:p>
  </w:footnote>
  <w:footnote w:id="5">
    <w:p>
      <w:pPr>
        <w:pStyle w:val="FootnoteText"/>
        <w:ind w:firstLine="0"/>
      </w:pPr>
      <w:r>
        <w:rPr>
          <w:rStyle w:val="FootnoteReference"/>
          <w:szCs w:val="16"/>
        </w:rPr>
        <w:footnoteRef/>
      </w:r>
      <w:r>
        <w:tab/>
        <w:t>G/AG/W/183.</w:t>
      </w:r>
    </w:p>
  </w:footnote>
  <w:footnote w:id="6">
    <w:p>
      <w:pPr>
        <w:pStyle w:val="FootnoteText"/>
        <w:ind w:firstLine="0"/>
        <w:rPr>
          <w:vertAlign w:val="superscript"/>
        </w:rPr>
      </w:pPr>
      <w:r>
        <w:rPr>
          <w:rStyle w:val="FootnoteReference"/>
          <w:szCs w:val="16"/>
        </w:rPr>
        <w:footnoteRef/>
      </w:r>
      <w:r>
        <w:tab/>
        <w:t>Medlemmarna har inte nått någon överenskommelse om dessa punkter eller om hur de ska behandlas i rekommendationerna.</w:t>
      </w:r>
    </w:p>
  </w:footnote>
  <w:footnote w:id="7">
    <w:p>
      <w:pPr>
        <w:pStyle w:val="FootnoteText"/>
        <w:ind w:firstLine="0"/>
      </w:pPr>
      <w:r>
        <w:rPr>
          <w:rStyle w:val="FootnoteReference"/>
        </w:rPr>
        <w:footnoteRef/>
      </w:r>
      <w:r>
        <w:tab/>
        <w:t>Punkt 9 i Bali-beslutet om tullkvoter avser omfördelningsprocessen. Vidare avser fotnoterna 3 och 5 i bilaga A till Bali-beslutet de rättigheter som innehas av medlemmar med en landspecifik fördelning, särskilt i samband med mekanismen för underutnyttjande.</w:t>
      </w:r>
    </w:p>
  </w:footnote>
  <w:footnote w:id="8">
    <w:p>
      <w:pPr>
        <w:pStyle w:val="FootnoteText"/>
      </w:pPr>
      <w:r>
        <w:rPr>
          <w:rStyle w:val="FootnoteReference"/>
        </w:rPr>
        <w:footnoteRef/>
      </w:r>
      <w:r>
        <w:tab/>
        <w:t>Dokument G/AG/W/171 av den 9 februari 2018.</w:t>
      </w:r>
    </w:p>
  </w:footnote>
  <w:footnote w:id="9">
    <w:p>
      <w:pPr>
        <w:pStyle w:val="FootnoteText"/>
      </w:pPr>
      <w:r>
        <w:rPr>
          <w:rStyle w:val="FootnoteReference"/>
        </w:rPr>
        <w:footnoteRef/>
      </w:r>
      <w:r>
        <w:tab/>
        <w:t>WT/MIN (13)/39 och WT/L/914</w:t>
      </w:r>
      <w:r>
        <w:rPr>
          <w:rStyle w:val="FootnoteReference"/>
          <w:szCs w:val="16"/>
        </w:rPr>
        <w:t xml:space="preserve"> </w:t>
      </w:r>
      <w:r>
        <w:t>av den 11 december 2013.</w:t>
      </w:r>
    </w:p>
  </w:footnote>
  <w:footnote w:id="10">
    <w:p>
      <w:pPr>
        <w:pStyle w:val="FootnoteText"/>
      </w:pPr>
      <w:r>
        <w:rPr>
          <w:rStyle w:val="FootnoteReference"/>
        </w:rPr>
        <w:footnoteRef/>
      </w:r>
      <w:r>
        <w:tab/>
        <w:t>Sekretariatets bakgrundsinformation kan särskilt innehålla en förteckning över tullkvoter för vilka det inte har lämnats in någon tabell MA:2-anmälan eller där utnyttjandegraden är lägre än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3C9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C41F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E03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EEE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C038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9A0C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E8B336"/>
    <w:lvl w:ilvl="0">
      <w:start w:val="1"/>
      <w:numFmt w:val="decimal"/>
      <w:pStyle w:val="ListNumber"/>
      <w:lvlText w:val="%1."/>
      <w:lvlJc w:val="left"/>
      <w:pPr>
        <w:tabs>
          <w:tab w:val="num" w:pos="360"/>
        </w:tabs>
        <w:ind w:left="360" w:hanging="360"/>
      </w:pPr>
    </w:lvl>
  </w:abstractNum>
  <w:abstractNum w:abstractNumId="7">
    <w:nsid w:val="FFFFFF89"/>
    <w:multiLevelType w:val="singleLevel"/>
    <w:tmpl w:val="F34060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551E12"/>
    <w:multiLevelType w:val="multilevel"/>
    <w:tmpl w:val="CC5217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7"/>
  </w:num>
  <w:num w:numId="36">
    <w:abstractNumId w:val="18"/>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48: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C11F5F21-6F6E-46CF-BFAD-9D4EC5DD5EB9"/>
    <w:docVar w:name="LW_COVERPAGE_TYPE" w:val="1"/>
    <w:docVar w:name="LW_CROSSREFERENCE" w:val="&lt;UNUSED&gt;"/>
    <w:docVar w:name="LW_DocType" w:val="ANNEX"/>
    <w:docVar w:name="LW_EMISSION" w:val="30.10.2019"/>
    <w:docVar w:name="LW_EMISSION_ISODATE" w:val="2019-10-30"/>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unionens vägnar i Världshandelsorganisationens allmänna råd"/>
    <w:docVar w:name="LW_OBJETACTEPRINCIPAL.CP" w:val="om den ståndpunkt som ska intas på unionens vägnar i Världshandelsorganisationens allmänna råd"/>
    <w:docVar w:name="LW_PART_NBR" w:val="1"/>
    <w:docVar w:name="LW_PART_NBR_TOTAL" w:val="1"/>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_x000b_RÅDETS BESLUT_x000b_"/>
    <w:docVar w:name="LW_TYPEACTEPRINCIPAL.CP" w:val="förslag till_x000b_RÅDETS BESLUT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sv-SE"/>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sv-SE"/>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sv-SE"/>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sv-SE"/>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sv-SE"/>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Heading6"/>
    <w:link w:val="Heading5Char"/>
    <w:uiPriority w:val="2"/>
    <w:qFormat/>
    <w:pPr>
      <w:keepNext/>
      <w:keepLines/>
      <w:spacing w:before="0"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pPr>
      <w:keepNext/>
      <w:keepLines/>
      <w:spacing w:before="0" w:after="240"/>
      <w:outlineLvl w:val="5"/>
    </w:pPr>
    <w:rPr>
      <w:rFonts w:ascii="Verdana" w:eastAsiaTheme="majorEastAsia" w:hAnsi="Verdana" w:cstheme="majorBidi"/>
      <w:b/>
      <w:iCs/>
      <w:color w:val="00628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lang w:val="sv-SE"/>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lang w:val="sv-SE"/>
    </w:rPr>
  </w:style>
  <w:style w:type="paragraph" w:styleId="BodyText">
    <w:name w:val="Body Text"/>
    <w:basedOn w:val="Normal"/>
    <w:link w:val="BodyTextChar"/>
    <w:uiPriority w:val="1"/>
    <w:qFormat/>
    <w:pPr>
      <w:spacing w:before="0" w:after="240"/>
    </w:pPr>
    <w:rPr>
      <w:rFonts w:ascii="Verdana" w:hAnsi="Verdana" w:cstheme="minorBidi"/>
      <w:sz w:val="18"/>
    </w:rPr>
  </w:style>
  <w:style w:type="character" w:customStyle="1" w:styleId="BodyTextChar">
    <w:name w:val="Body Text Char"/>
    <w:basedOn w:val="DefaultParagraphFont"/>
    <w:link w:val="BodyText"/>
    <w:uiPriority w:val="1"/>
    <w:rPr>
      <w:rFonts w:ascii="Verdana" w:hAnsi="Verdana"/>
      <w:sz w:val="18"/>
      <w:lang w:val="sv-SE"/>
    </w:rPr>
  </w:style>
  <w:style w:type="paragraph" w:styleId="BodyText2">
    <w:name w:val="Body Text 2"/>
    <w:basedOn w:val="Normal"/>
    <w:link w:val="BodyText2Char"/>
    <w:uiPriority w:val="1"/>
    <w:qFormat/>
    <w:pPr>
      <w:tabs>
        <w:tab w:val="left" w:pos="1134"/>
      </w:tabs>
      <w:spacing w:before="0" w:after="240"/>
      <w:ind w:left="1134" w:hanging="567"/>
    </w:pPr>
    <w:rPr>
      <w:rFonts w:ascii="Verdana" w:hAnsi="Verdana" w:cstheme="minorBidi"/>
      <w:sz w:val="18"/>
    </w:rPr>
  </w:style>
  <w:style w:type="character" w:customStyle="1" w:styleId="BodyText2Char">
    <w:name w:val="Body Text 2 Char"/>
    <w:basedOn w:val="DefaultParagraphFont"/>
    <w:link w:val="BodyText2"/>
    <w:uiPriority w:val="1"/>
    <w:rPr>
      <w:rFonts w:ascii="Verdana" w:hAnsi="Verdana"/>
      <w:sz w:val="18"/>
      <w:lang w:val="sv-SE"/>
    </w:rPr>
  </w:style>
  <w:style w:type="paragraph" w:styleId="BodyText3">
    <w:name w:val="Body Text 3"/>
    <w:basedOn w:val="Normal"/>
    <w:link w:val="BodyText3Char"/>
    <w:uiPriority w:val="1"/>
    <w:qFormat/>
    <w:pPr>
      <w:tabs>
        <w:tab w:val="num" w:pos="1701"/>
      </w:tabs>
      <w:spacing w:before="0" w:after="240"/>
      <w:ind w:left="1701" w:hanging="567"/>
    </w:pPr>
    <w:rPr>
      <w:rFonts w:ascii="Verdana" w:hAnsi="Verdana" w:cstheme="minorBidi"/>
      <w:sz w:val="18"/>
      <w:szCs w:val="16"/>
    </w:rPr>
  </w:style>
  <w:style w:type="character" w:customStyle="1" w:styleId="BodyText3Char">
    <w:name w:val="Body Text 3 Char"/>
    <w:basedOn w:val="DefaultParagraphFont"/>
    <w:link w:val="BodyText3"/>
    <w:uiPriority w:val="1"/>
    <w:rPr>
      <w:rFonts w:ascii="Verdana" w:hAnsi="Verdana"/>
      <w:sz w:val="18"/>
      <w:szCs w:val="16"/>
      <w:lang w:val="sv-SE"/>
    </w:rPr>
  </w:style>
  <w:style w:type="numbering" w:customStyle="1" w:styleId="LegalHeadings">
    <w:name w:val="LegalHeadings"/>
    <w:uiPriority w:val="99"/>
    <w:pPr>
      <w:numPr>
        <w:numId w:val="1"/>
      </w:numPr>
    </w:p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pPr>
    <w:rPr>
      <w:rFonts w:ascii="Verdana" w:hAnsi="Verdana" w:cstheme="minorBidi"/>
      <w:sz w:val="20"/>
      <w:szCs w:val="20"/>
    </w:rPr>
  </w:style>
  <w:style w:type="character" w:customStyle="1" w:styleId="CommentTextChar">
    <w:name w:val="Comment Text Char"/>
    <w:basedOn w:val="DefaultParagraphFont"/>
    <w:link w:val="CommentText"/>
    <w:uiPriority w:val="99"/>
    <w:rPr>
      <w:rFonts w:ascii="Verdana" w:hAnsi="Verdana"/>
      <w:sz w:val="20"/>
      <w:szCs w:val="20"/>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a">
    <w:name w:val="$"/>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7</Pages>
  <Words>1313</Words>
  <Characters>8340</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Stina (DGT)</dc:creator>
  <cp:keywords/>
  <dc:description/>
  <cp:lastModifiedBy>WES PDFC Administrator</cp:lastModifiedBy>
  <cp:revision>9</cp:revision>
  <dcterms:created xsi:type="dcterms:W3CDTF">2019-10-28T08:48:00Z</dcterms:created>
  <dcterms:modified xsi:type="dcterms:W3CDTF">2019-10-28T14:48:00Z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