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C653BD6-5749-4A6A-B9AD-926961B71C79" style="width:450.25pt;height:410.95pt">
            <v:imagedata r:id="rId8" o:title=""/>
          </v:shape>
        </w:pict>
      </w:r>
    </w:p>
    <w:p>
      <w:pPr>
        <w:rPr>
          <w:noProof/>
          <w:u w:val="single"/>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szCs w:val="24"/>
          <w:u w:val="none"/>
        </w:rPr>
      </w:pPr>
      <w:bookmarkStart w:id="0" w:name="_GoBack"/>
      <w:bookmarkEnd w:id="0"/>
      <w:r>
        <w:rPr>
          <w:noProof/>
          <w:u w:val="none"/>
        </w:rPr>
        <w:lastRenderedPageBreak/>
        <w:t xml:space="preserve">LISA </w:t>
      </w:r>
    </w:p>
    <w:p>
      <w:pPr>
        <w:spacing w:before="480" w:after="240"/>
        <w:contextualSpacing/>
        <w:jc w:val="center"/>
        <w:rPr>
          <w:rFonts w:eastAsiaTheme="majorEastAsia"/>
          <w:b/>
          <w:caps/>
          <w:noProof/>
          <w:kern w:val="28"/>
          <w:szCs w:val="24"/>
        </w:rPr>
      </w:pPr>
      <w:r>
        <w:rPr>
          <w:b/>
          <w:caps/>
          <w:noProof/>
        </w:rPr>
        <w:t>Tariifikvootide haldamist käsitleva Bali otsuse toimimise läbivaatamine</w:t>
      </w:r>
    </w:p>
    <w:p>
      <w:pPr>
        <w:spacing w:before="0" w:after="360"/>
        <w:jc w:val="center"/>
        <w:rPr>
          <w:rFonts w:eastAsia="Calibri"/>
          <w:caps/>
          <w:noProof/>
          <w:szCs w:val="24"/>
        </w:rPr>
      </w:pPr>
      <w:r>
        <w:rPr>
          <w:caps/>
          <w:noProof/>
        </w:rPr>
        <w:t xml:space="preserve">Aruanne peanõukogule </w:t>
      </w:r>
    </w:p>
    <w:p>
      <w:pPr>
        <w:pStyle w:val="Point0number"/>
        <w:numPr>
          <w:ilvl w:val="0"/>
          <w:numId w:val="3"/>
        </w:numPr>
        <w:rPr>
          <w:noProof/>
          <w:szCs w:val="24"/>
        </w:rPr>
      </w:pPr>
      <w:r>
        <w:rPr>
          <w:noProof/>
        </w:rPr>
        <w:t>Ministrite konverentsi üheksandal istungil võtsid ministrid vastu otsuse põllumajanduslepingu artiklis 2 määratletud põllumajandussaaduste tariifikvootide haldamise käsitusleppe kohta (WT/MIN (13)/39) („Bali otsus“). Ministrid tegid komiteele ülesandeks vaadata läbi liikmetele Bali otsusega ettenähtud kohustuste täitmine ja seda jälgida, et läbivaatamise tulemusel jätkuks hiljemalt 2017. aastal alanud tariifikvootide kasutamise protsessi täiustamine, võttes arvesse seniseid kogemusi selle kohaldamisel</w:t>
      </w:r>
      <w:r>
        <w:rPr>
          <w:rStyle w:val="FootnoteReference"/>
          <w:noProof/>
        </w:rPr>
        <w:footnoteReference w:id="1"/>
      </w:r>
      <w:r>
        <w:rPr>
          <w:noProof/>
        </w:rPr>
        <w:t>. Läbivaatamist käsitlevad arutelud algasid komitee 2017. aasta oktoobri koosolekul</w:t>
      </w:r>
      <w:r>
        <w:rPr>
          <w:rStyle w:val="FootnoteReference"/>
          <w:noProof/>
        </w:rPr>
        <w:footnoteReference w:id="2"/>
      </w:r>
      <w:r>
        <w:rPr>
          <w:noProof/>
        </w:rPr>
        <w:t>. Veebruaris 2018 kokku tulnud komitee kiitis heaks dokumendi G/AG/W/171 kohase läbivaatamise protsessi ja ajakava</w:t>
      </w:r>
      <w:r>
        <w:rPr>
          <w:rStyle w:val="FootnoteReference"/>
          <w:noProof/>
        </w:rPr>
        <w:footnoteReference w:id="3"/>
      </w:r>
      <w:r>
        <w:rPr>
          <w:noProof/>
        </w:rPr>
        <w:t>. Kokkulepitud menetluse kohaselt toimub läbivaatamine komitee mitteametlikel avatud koosolekutel, mis toimuvad paralleelselt komitee korraliste koosolekutega</w:t>
      </w:r>
      <w:r>
        <w:rPr>
          <w:rStyle w:val="FootnoteReference"/>
          <w:noProof/>
        </w:rPr>
        <w:footnoteReference w:id="4"/>
      </w:r>
      <w:r>
        <w:rPr>
          <w:noProof/>
        </w:rPr>
        <w:t>.</w:t>
      </w:r>
    </w:p>
    <w:p>
      <w:pPr>
        <w:pStyle w:val="Point0number"/>
        <w:rPr>
          <w:noProof/>
        </w:rPr>
      </w:pPr>
      <w:r>
        <w:rPr>
          <w:noProof/>
        </w:rPr>
        <w:t>Liikmed arutasid läbivaatamist komitee neljal mitteametlikul koosolekul 2018. aasta 20. veebruaril, 11. juunil, 25. septembril ja 26. novembril. Mitteametlikul kohtumisel novembris toimus tariifikvootide haldamist ja alatäitmist käsitlev temaatiline arutelu, kuhu olid kaasatud ka asjaomase sektori esindajad. Aruteludele aitasid kaasa liikmete kirjalikud seisukohad. Samuti koostas sekretariaat vastuseks liikmete taotlustele ning kokkulepitud menetluse ja ajakava kohaselt taustdokumendi</w:t>
      </w:r>
      <w:r>
        <w:rPr>
          <w:rStyle w:val="FootnoteReference"/>
          <w:noProof/>
        </w:rPr>
        <w:footnoteReference w:id="5"/>
      </w:r>
      <w:r>
        <w:rPr>
          <w:noProof/>
        </w:rPr>
        <w:t xml:space="preserve"> tariifikvootide haldamise ja täitmise määrade kohta, et läbivaatamist lihtsustada. </w:t>
      </w:r>
      <w:r>
        <w:rPr>
          <w:b/>
          <w:bCs/>
          <w:noProof/>
        </w:rPr>
        <w:t>1. lisas</w:t>
      </w:r>
      <w:r>
        <w:rPr>
          <w:noProof/>
        </w:rPr>
        <w:t xml:space="preserve"> on loetelu kõigist kirjalikest dokumentidest, millega on siiani läbivaatamise jooksul tutvutud. </w:t>
      </w:r>
    </w:p>
    <w:p>
      <w:pPr>
        <w:pStyle w:val="Point0number"/>
        <w:rPr>
          <w:noProof/>
        </w:rPr>
      </w:pPr>
      <w:r>
        <w:rPr>
          <w:noProof/>
        </w:rPr>
        <w:t>Liikmed on läbivaatamise arutelude käigus välja sõelunud järgmised teemad: 1) Bali otsusest tulenevate oluliste kohustuste tõhus rakendamine ja järelevalve; 2) tariifikvootide läbipaistvusnõuded; 3) alakasutuse mehhanism. Allpool on esitatud kõigis kolmes teemavaldkonnas esile toodud tegurid</w:t>
      </w:r>
      <w:r>
        <w:rPr>
          <w:rStyle w:val="FootnoteReference"/>
          <w:noProof/>
        </w:rPr>
        <w:footnoteReference w:id="6"/>
      </w:r>
      <w:r>
        <w:rPr>
          <w:noProof/>
        </w:rPr>
        <w:t>, mida käsitletakse muu hulgas novembris toimuvate temaatiliste arutelude käigus.</w:t>
      </w:r>
    </w:p>
    <w:p>
      <w:pPr>
        <w:spacing w:before="0" w:after="240"/>
        <w:outlineLvl w:val="1"/>
        <w:rPr>
          <w:b/>
          <w:noProof/>
          <w:szCs w:val="24"/>
        </w:rPr>
      </w:pPr>
      <w:r>
        <w:rPr>
          <w:b/>
          <w:noProof/>
        </w:rPr>
        <w:t xml:space="preserve">TÕHUS RAKENDAMINE JA JÄRELEVALVE </w:t>
      </w:r>
    </w:p>
    <w:p>
      <w:pPr>
        <w:pStyle w:val="Point1"/>
        <w:rPr>
          <w:rFonts w:ascii="Verdana" w:hAnsi="Verdana"/>
          <w:noProof/>
          <w:sz w:val="16"/>
        </w:rPr>
      </w:pPr>
      <w:r>
        <w:rPr>
          <w:noProof/>
        </w:rPr>
        <w:t>i.</w:t>
      </w:r>
      <w:r>
        <w:rPr>
          <w:noProof/>
        </w:rPr>
        <w:tab/>
        <w:t>Kasutamata jäänud litsentside ümberjaotamine tariifikvoodi piires;</w:t>
      </w:r>
      <w:r>
        <w:rPr>
          <w:noProof/>
          <w:vertAlign w:val="superscript"/>
        </w:rPr>
        <w:t xml:space="preserve"> </w:t>
      </w:r>
    </w:p>
    <w:p>
      <w:pPr>
        <w:pStyle w:val="Point1"/>
        <w:rPr>
          <w:noProof/>
        </w:rPr>
      </w:pPr>
      <w:r>
        <w:rPr>
          <w:noProof/>
        </w:rPr>
        <w:t>ii.</w:t>
      </w:r>
      <w:r>
        <w:rPr>
          <w:noProof/>
        </w:rPr>
        <w:tab/>
        <w:t>Ümberjaotamise kord, sh riigipõhiste eraldiste osas</w:t>
      </w:r>
      <w:r>
        <w:rPr>
          <w:rStyle w:val="FootnoteReference"/>
          <w:noProof/>
        </w:rPr>
        <w:footnoteReference w:id="7"/>
      </w:r>
      <w:r>
        <w:rPr>
          <w:noProof/>
        </w:rPr>
        <w:t>;</w:t>
      </w:r>
    </w:p>
    <w:p>
      <w:pPr>
        <w:pStyle w:val="Point1"/>
        <w:rPr>
          <w:noProof/>
        </w:rPr>
      </w:pPr>
      <w:r>
        <w:rPr>
          <w:noProof/>
        </w:rPr>
        <w:t>iii.</w:t>
      </w:r>
      <w:r>
        <w:rPr>
          <w:noProof/>
        </w:rPr>
        <w:tab/>
        <w:t>Tariifikvootide kasutamise parandamisega seotud kogemuste ja parimate tavade jagamine, sealhulgas tariifikvootide ümberjaotamine piirkondlike kaubanduslepingute raames.</w:t>
      </w:r>
    </w:p>
    <w:p>
      <w:pPr>
        <w:rPr>
          <w:b/>
          <w:noProof/>
          <w:szCs w:val="24"/>
        </w:rPr>
      </w:pPr>
      <w:r>
        <w:rPr>
          <w:b/>
          <w:noProof/>
        </w:rPr>
        <w:t xml:space="preserve">TARIIFIKVOOTIDE LÄBIPAISTVUSNÕUDED  </w:t>
      </w:r>
    </w:p>
    <w:p>
      <w:pPr>
        <w:pStyle w:val="Point1"/>
        <w:rPr>
          <w:noProof/>
        </w:rPr>
      </w:pPr>
      <w:r>
        <w:rPr>
          <w:noProof/>
        </w:rPr>
        <w:t>i.</w:t>
      </w:r>
      <w:r>
        <w:rPr>
          <w:noProof/>
        </w:rPr>
        <w:tab/>
        <w:t>Õigeaegsed ja korrektselt täidetud tariifikvootide teated;</w:t>
      </w:r>
    </w:p>
    <w:p>
      <w:pPr>
        <w:pStyle w:val="Point1"/>
        <w:rPr>
          <w:noProof/>
        </w:rPr>
      </w:pPr>
      <w:r>
        <w:rPr>
          <w:noProof/>
        </w:rPr>
        <w:t>ii.</w:t>
      </w:r>
      <w:r>
        <w:rPr>
          <w:noProof/>
        </w:rPr>
        <w:tab/>
        <w:t>Kiire teavitamine muudatustest tariifikvootide haldamisel;</w:t>
      </w:r>
    </w:p>
    <w:p>
      <w:pPr>
        <w:pStyle w:val="Point1"/>
        <w:rPr>
          <w:noProof/>
        </w:rPr>
      </w:pPr>
      <w:r>
        <w:rPr>
          <w:noProof/>
        </w:rPr>
        <w:t>iii.</w:t>
      </w:r>
      <w:r>
        <w:rPr>
          <w:noProof/>
        </w:rPr>
        <w:tab/>
        <w:t>Kõigi tariifikvoodi alaste kohustusega liikmete ühtne aruandlus tariifikvootide kasutamise määrade kohta;</w:t>
      </w:r>
    </w:p>
    <w:p>
      <w:pPr>
        <w:pStyle w:val="Point1"/>
        <w:rPr>
          <w:noProof/>
        </w:rPr>
      </w:pPr>
      <w:r>
        <w:rPr>
          <w:noProof/>
        </w:rPr>
        <w:t>iv.</w:t>
      </w:r>
      <w:r>
        <w:rPr>
          <w:noProof/>
        </w:rPr>
        <w:tab/>
        <w:t>Ühtlustatud teavitamistavad (nt avamata tariifikvoodid või kavandamata tariifikvoodid tariifist tuleneva eeliseta);</w:t>
      </w:r>
    </w:p>
    <w:p>
      <w:pPr>
        <w:pStyle w:val="Point1"/>
        <w:rPr>
          <w:noProof/>
        </w:rPr>
      </w:pPr>
      <w:r>
        <w:rPr>
          <w:noProof/>
        </w:rPr>
        <w:t>v.</w:t>
      </w:r>
      <w:r>
        <w:rPr>
          <w:noProof/>
        </w:rPr>
        <w:tab/>
        <w:t xml:space="preserve">Aruanne alatäitmise põhjuste kohta; </w:t>
      </w:r>
    </w:p>
    <w:p>
      <w:pPr>
        <w:pStyle w:val="Point1"/>
        <w:rPr>
          <w:noProof/>
        </w:rPr>
      </w:pPr>
      <w:r>
        <w:rPr>
          <w:noProof/>
        </w:rPr>
        <w:t>vi.</w:t>
      </w:r>
      <w:r>
        <w:rPr>
          <w:noProof/>
        </w:rPr>
        <w:tab/>
        <w:t>Riiklike kogemuste ja tariifikvootide haldamise parimate tavade jagamine;</w:t>
      </w:r>
    </w:p>
    <w:p>
      <w:pPr>
        <w:pStyle w:val="Point1"/>
        <w:rPr>
          <w:noProof/>
        </w:rPr>
      </w:pPr>
      <w:r>
        <w:rPr>
          <w:noProof/>
        </w:rPr>
        <w:t>vii.</w:t>
      </w:r>
      <w:r>
        <w:rPr>
          <w:noProof/>
        </w:rPr>
        <w:tab/>
        <w:t>Eri- ja diferentseeritud kohtlemine (teavitamiskohustuste koormavuse suurenemine);</w:t>
      </w:r>
    </w:p>
    <w:p>
      <w:pPr>
        <w:pStyle w:val="Point1"/>
        <w:rPr>
          <w:noProof/>
        </w:rPr>
      </w:pPr>
      <w:r>
        <w:rPr>
          <w:noProof/>
        </w:rPr>
        <w:t>viii.</w:t>
      </w:r>
      <w:r>
        <w:rPr>
          <w:noProof/>
        </w:rPr>
        <w:tab/>
        <w:t>Seos teavitamiskohustusega impordi litsentsimise protseduuride valdkonnas;</w:t>
      </w:r>
    </w:p>
    <w:p>
      <w:pPr>
        <w:pStyle w:val="Point1"/>
        <w:rPr>
          <w:noProof/>
        </w:rPr>
      </w:pPr>
      <w:r>
        <w:rPr>
          <w:noProof/>
        </w:rPr>
        <w:t>ix.</w:t>
      </w:r>
      <w:r>
        <w:rPr>
          <w:noProof/>
        </w:rPr>
        <w:tab/>
        <w:t>Sekretariaadi tehniline abi, mille eesmärk on parandada liikmete teavitamiskohustuse täitmist.</w:t>
      </w:r>
    </w:p>
    <w:p>
      <w:pPr>
        <w:rPr>
          <w:b/>
          <w:noProof/>
          <w:szCs w:val="24"/>
        </w:rPr>
      </w:pPr>
      <w:r>
        <w:rPr>
          <w:b/>
          <w:noProof/>
        </w:rPr>
        <w:t>ALAKASUTUSE MEHHANISM</w:t>
      </w:r>
    </w:p>
    <w:p>
      <w:pPr>
        <w:pStyle w:val="Point1"/>
        <w:rPr>
          <w:noProof/>
        </w:rPr>
      </w:pPr>
      <w:r>
        <w:rPr>
          <w:noProof/>
        </w:rPr>
        <w:t>i.</w:t>
      </w:r>
      <w:r>
        <w:rPr>
          <w:noProof/>
        </w:rPr>
        <w:tab/>
        <w:t>Liikmete erinevad kohustused (A lisa punkt 4);</w:t>
      </w:r>
    </w:p>
    <w:p>
      <w:pPr>
        <w:pStyle w:val="Point1"/>
        <w:rPr>
          <w:noProof/>
        </w:rPr>
      </w:pPr>
      <w:r>
        <w:rPr>
          <w:noProof/>
        </w:rPr>
        <w:t>ii.</w:t>
      </w:r>
      <w:r>
        <w:rPr>
          <w:noProof/>
        </w:rPr>
        <w:tab/>
        <w:t>Eri- ja diferentseeritud kohtlemine;</w:t>
      </w:r>
    </w:p>
    <w:p>
      <w:pPr>
        <w:pStyle w:val="Point1"/>
        <w:rPr>
          <w:noProof/>
        </w:rPr>
      </w:pPr>
      <w:r>
        <w:rPr>
          <w:noProof/>
        </w:rPr>
        <w:t>iii.</w:t>
      </w:r>
      <w:r>
        <w:rPr>
          <w:noProof/>
        </w:rPr>
        <w:tab/>
        <w:t>Võimalik ebaühtlane kohaldamine tulevikus;</w:t>
      </w:r>
    </w:p>
    <w:p>
      <w:pPr>
        <w:pStyle w:val="Point1"/>
        <w:rPr>
          <w:noProof/>
        </w:rPr>
      </w:pPr>
      <w:r>
        <w:rPr>
          <w:noProof/>
        </w:rPr>
        <w:t>iv.</w:t>
      </w:r>
      <w:r>
        <w:rPr>
          <w:noProof/>
        </w:rPr>
        <w:tab/>
        <w:t>B lisa ja A lisa punkti 4 vaheline seos;</w:t>
      </w:r>
    </w:p>
    <w:p>
      <w:pPr>
        <w:pStyle w:val="Point1"/>
        <w:rPr>
          <w:noProof/>
        </w:rPr>
      </w:pPr>
      <w:r>
        <w:rPr>
          <w:noProof/>
        </w:rPr>
        <w:t>v.</w:t>
      </w:r>
      <w:r>
        <w:rPr>
          <w:noProof/>
        </w:rPr>
        <w:tab/>
        <w:t>Alakasutuse põhjuste uurimine;</w:t>
      </w:r>
    </w:p>
    <w:p>
      <w:pPr>
        <w:pStyle w:val="Point1"/>
        <w:rPr>
          <w:noProof/>
        </w:rPr>
      </w:pPr>
      <w:r>
        <w:rPr>
          <w:noProof/>
        </w:rPr>
        <w:t>vi.</w:t>
      </w:r>
      <w:r>
        <w:rPr>
          <w:noProof/>
        </w:rPr>
        <w:tab/>
        <w:t>Tariifikvootide alakasutuse sihipärane kontrollimine teatavates konkreetsetes sektorites;</w:t>
      </w:r>
    </w:p>
    <w:p>
      <w:pPr>
        <w:pStyle w:val="Point1"/>
        <w:rPr>
          <w:noProof/>
        </w:rPr>
      </w:pPr>
      <w:r>
        <w:rPr>
          <w:noProof/>
        </w:rPr>
        <w:t>vii.</w:t>
      </w:r>
      <w:r>
        <w:rPr>
          <w:noProof/>
        </w:rPr>
        <w:tab/>
        <w:t>Alakasutuse mehhanismi praktiline kohaldatavus (põhjuste uurimine, sealhulgas võimalik keerukus, miks seda ei ole veel kasutatud, kogemuste jagamine, menetlusnõuete lihtsustamine);</w:t>
      </w:r>
    </w:p>
    <w:p>
      <w:pPr>
        <w:pStyle w:val="Point1"/>
        <w:rPr>
          <w:noProof/>
        </w:rPr>
      </w:pPr>
      <w:r>
        <w:rPr>
          <w:noProof/>
        </w:rPr>
        <w:t>viii.</w:t>
      </w:r>
      <w:r>
        <w:rPr>
          <w:noProof/>
        </w:rPr>
        <w:tab/>
        <w:t>Alakasutatud tariifikvootide loetelu pidamine sekretariaadis.</w:t>
      </w:r>
    </w:p>
    <w:p>
      <w:pPr>
        <w:pStyle w:val="Point0number"/>
        <w:rPr>
          <w:noProof/>
        </w:rPr>
      </w:pPr>
      <w:r>
        <w:rPr>
          <w:noProof/>
        </w:rPr>
        <w:t xml:space="preserve">Alakasutuse mehhanismi punkti 4 ja sellega seotud eri- ja diferentseeritud kohtlemise sätte edasise toime kohta olid liikmete seisukohad erinevad. Mõned arenguriigist liikmed väitsid, et Bali otsuse eri- ja diferentseeritud kohtlemise sätteid ei tohiks leevendada; mõned teised liikmed väitsid, et arenguriikide eri- ja diferentseeritud kohtlemine ei tohiks kaasa tuua erandite kohaldamist ning et abi saavad arenguriigid peaksid pigem võtma tariifikvootide haldamise kohustuse, lähtudes nende arengualasest staatusest. </w:t>
      </w:r>
    </w:p>
    <w:p>
      <w:pPr>
        <w:pStyle w:val="Point0number"/>
        <w:rPr>
          <w:noProof/>
        </w:rPr>
      </w:pPr>
      <w:r>
        <w:rPr>
          <w:noProof/>
        </w:rPr>
        <w:t>Mitmed liikmed leidsid, et läbivaatamine piirdub eesmärgiga parandada tariifikvootide haldamist, et eristada seda turulepääsu üle peetavatest läbirääkimistest. Teised viitasid võimalusele tõstatada tariifikvootide haldamisega seotud küsimused turulepääsu üle peetavatel läbirääkimistel.</w:t>
      </w:r>
    </w:p>
    <w:p>
      <w:pPr>
        <w:pStyle w:val="Point0number"/>
        <w:rPr>
          <w:noProof/>
        </w:rPr>
      </w:pPr>
      <w:r>
        <w:rPr>
          <w:noProof/>
        </w:rPr>
        <w:t>Mõned liikmed leidsid, et liikmete seisukohtade kohaselt peaks komitee uurima põhjusi, miks alakasutuse mehhanismi ei ole veel kasutatud.</w:t>
      </w:r>
    </w:p>
    <w:p>
      <w:pPr>
        <w:pStyle w:val="Point0number"/>
        <w:rPr>
          <w:noProof/>
        </w:rPr>
      </w:pPr>
      <w:r>
        <w:rPr>
          <w:noProof/>
        </w:rPr>
        <w:t xml:space="preserve">Vastavalt Bali otsuse (WT/MIN (13)/39) 13.–15. lõigule nõustub komitee oma 30. oktoobri 2019. aasta kohtumisel järgmiste soovitustega, mis on esitatud käesoleva aruande </w:t>
      </w:r>
      <w:r>
        <w:rPr>
          <w:b/>
          <w:bCs/>
          <w:noProof/>
        </w:rPr>
        <w:t>2. lisas</w:t>
      </w:r>
      <w:r>
        <w:rPr>
          <w:noProof/>
        </w:rPr>
        <w:t>, et peanõukogu saaks neid arutada.</w:t>
      </w:r>
    </w:p>
    <w:p>
      <w:pPr>
        <w:spacing w:before="0" w:after="200" w:line="276" w:lineRule="auto"/>
        <w:jc w:val="left"/>
        <w:rPr>
          <w:noProof/>
          <w:szCs w:val="24"/>
        </w:rPr>
      </w:pPr>
      <w:r>
        <w:rPr>
          <w:noProof/>
        </w:rPr>
        <w:br w:type="page"/>
      </w:r>
    </w:p>
    <w:p>
      <w:pPr>
        <w:spacing w:before="0" w:after="240"/>
        <w:jc w:val="center"/>
        <w:rPr>
          <w:noProof/>
          <w:szCs w:val="24"/>
        </w:rPr>
      </w:pPr>
      <w:r>
        <w:rPr>
          <w:b/>
          <w:noProof/>
        </w:rPr>
        <w:t>1. lisa</w:t>
      </w:r>
    </w:p>
    <w:tbl>
      <w:tblPr>
        <w:tblStyle w:val="WTOTable1"/>
        <w:tblW w:w="5000" w:type="pct"/>
        <w:tblLook w:val="04A0" w:firstRow="1" w:lastRow="0" w:firstColumn="1" w:lastColumn="0" w:noHBand="0" w:noVBand="1"/>
      </w:tblPr>
      <w:tblGrid>
        <w:gridCol w:w="2332"/>
        <w:gridCol w:w="6957"/>
      </w:tblGrid>
      <w:tr>
        <w:trPr>
          <w:cnfStyle w:val="100000000000" w:firstRow="1" w:lastRow="0" w:firstColumn="0" w:lastColumn="0" w:oddVBand="0" w:evenVBand="0" w:oddHBand="0" w:evenHBand="0" w:firstRowFirstColumn="0" w:firstRowLastColumn="0" w:lastRowFirstColumn="0" w:lastRowLastColumn="0"/>
          <w:trHeight w:val="20"/>
        </w:trPr>
        <w:tc>
          <w:tcPr>
            <w:tcW w:w="9016" w:type="dxa"/>
            <w:gridSpan w:val="2"/>
          </w:tcPr>
          <w:p>
            <w:pPr>
              <w:spacing w:before="0" w:after="0" w:line="360" w:lineRule="auto"/>
              <w:jc w:val="center"/>
              <w:rPr>
                <w:b w:val="0"/>
                <w:noProof/>
                <w:color w:val="auto"/>
                <w:szCs w:val="24"/>
              </w:rPr>
            </w:pPr>
            <w:r>
              <w:rPr>
                <w:noProof/>
              </w:rPr>
              <w:t>Dokumentide loetelu</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G/AG/W/169</w:t>
            </w:r>
          </w:p>
          <w:p>
            <w:pPr>
              <w:spacing w:before="0" w:after="0"/>
              <w:rPr>
                <w:noProof/>
                <w:szCs w:val="24"/>
              </w:rPr>
            </w:pPr>
            <w:r>
              <w:rPr>
                <w:noProof/>
              </w:rPr>
              <w:t>10. oktoober 2017</w:t>
            </w:r>
          </w:p>
        </w:tc>
        <w:tc>
          <w:tcPr>
            <w:tcW w:w="6753" w:type="dxa"/>
          </w:tcPr>
          <w:p>
            <w:pPr>
              <w:tabs>
                <w:tab w:val="left" w:pos="1134"/>
              </w:tabs>
              <w:spacing w:after="0"/>
              <w:jc w:val="left"/>
              <w:rPr>
                <w:noProof/>
                <w:szCs w:val="24"/>
              </w:rPr>
            </w:pPr>
            <w:r>
              <w:rPr>
                <w:noProof/>
              </w:rPr>
              <w:t>Tariifikvootide haldamist käsitleva Bali otsusega kehtestatud liikmete kohustuste jälgimine ja läbivaatamine.</w:t>
            </w:r>
          </w:p>
          <w:p>
            <w:pPr>
              <w:tabs>
                <w:tab w:val="left" w:pos="1134"/>
              </w:tabs>
              <w:spacing w:before="0" w:after="0"/>
              <w:jc w:val="left"/>
              <w:rPr>
                <w:noProof/>
                <w:szCs w:val="24"/>
              </w:rPr>
            </w:pPr>
          </w:p>
          <w:p>
            <w:pPr>
              <w:tabs>
                <w:tab w:val="left" w:pos="1134"/>
              </w:tabs>
              <w:spacing w:before="0"/>
              <w:rPr>
                <w:noProof/>
                <w:szCs w:val="24"/>
              </w:rPr>
            </w:pPr>
            <w:r>
              <w:rPr>
                <w:noProof/>
              </w:rPr>
              <w:t>Sekretariaadi märkus</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G/AG/W/171</w:t>
            </w:r>
          </w:p>
          <w:p>
            <w:pPr>
              <w:spacing w:before="0" w:after="0"/>
              <w:rPr>
                <w:rFonts w:eastAsia="Times New Roman"/>
                <w:bCs/>
                <w:noProof/>
                <w:szCs w:val="24"/>
              </w:rPr>
            </w:pPr>
            <w:r>
              <w:rPr>
                <w:noProof/>
              </w:rPr>
              <w:t>9. veebruar 2018</w:t>
            </w:r>
          </w:p>
        </w:tc>
        <w:tc>
          <w:tcPr>
            <w:tcW w:w="6753" w:type="dxa"/>
          </w:tcPr>
          <w:p>
            <w:pPr>
              <w:tabs>
                <w:tab w:val="left" w:pos="1134"/>
              </w:tabs>
              <w:spacing w:after="0"/>
              <w:jc w:val="left"/>
              <w:rPr>
                <w:rFonts w:eastAsia="Times New Roman"/>
                <w:bCs/>
                <w:noProof/>
                <w:szCs w:val="24"/>
              </w:rPr>
            </w:pPr>
            <w:r>
              <w:rPr>
                <w:noProof/>
              </w:rPr>
              <w:t>Tariifikoodide haldamist käsitleva Bali otsuse toimimise kavandatud läbivaatamine</w:t>
            </w:r>
          </w:p>
          <w:p>
            <w:pPr>
              <w:tabs>
                <w:tab w:val="left" w:pos="1134"/>
              </w:tabs>
              <w:spacing w:before="0" w:after="0"/>
              <w:jc w:val="left"/>
              <w:rPr>
                <w:rFonts w:eastAsia="Times New Roman"/>
                <w:bCs/>
                <w:noProof/>
                <w:szCs w:val="24"/>
              </w:rPr>
            </w:pPr>
          </w:p>
          <w:p>
            <w:pPr>
              <w:tabs>
                <w:tab w:val="left" w:pos="1134"/>
              </w:tabs>
              <w:spacing w:before="0"/>
              <w:rPr>
                <w:rFonts w:eastAsia="Times New Roman"/>
                <w:bCs/>
                <w:noProof/>
                <w:szCs w:val="24"/>
              </w:rPr>
            </w:pPr>
            <w:r>
              <w:rPr>
                <w:noProof/>
              </w:rPr>
              <w:t>Sekretariaadi märkus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G/AG/W/175</w:t>
            </w:r>
          </w:p>
          <w:p>
            <w:pPr>
              <w:spacing w:before="0" w:after="0"/>
              <w:rPr>
                <w:noProof/>
                <w:szCs w:val="24"/>
              </w:rPr>
            </w:pPr>
            <w:r>
              <w:rPr>
                <w:noProof/>
              </w:rPr>
              <w:t>18. mai 2018</w:t>
            </w:r>
          </w:p>
          <w:p>
            <w:pPr>
              <w:spacing w:before="0" w:after="0"/>
              <w:rPr>
                <w:noProof/>
                <w:szCs w:val="24"/>
              </w:rPr>
            </w:pPr>
            <w:r>
              <w:rPr>
                <w:noProof/>
              </w:rPr>
              <w:t xml:space="preserve">       </w:t>
            </w:r>
          </w:p>
          <w:p>
            <w:pPr>
              <w:spacing w:before="0" w:after="0"/>
              <w:rPr>
                <w:noProof/>
                <w:szCs w:val="24"/>
              </w:rPr>
            </w:pPr>
            <w:r>
              <w:rPr>
                <w:noProof/>
              </w:rPr>
              <w:t xml:space="preserve">         ning</w:t>
            </w:r>
          </w:p>
          <w:p>
            <w:pPr>
              <w:spacing w:after="0"/>
              <w:jc w:val="left"/>
              <w:rPr>
                <w:rFonts w:eastAsia="Times New Roman"/>
                <w:bCs/>
                <w:noProof/>
                <w:szCs w:val="24"/>
              </w:rPr>
            </w:pPr>
            <w:r>
              <w:rPr>
                <w:noProof/>
              </w:rPr>
              <w:t>G/AG/W/175/Add.1</w:t>
            </w:r>
          </w:p>
          <w:p>
            <w:pPr>
              <w:spacing w:before="0" w:after="0"/>
              <w:rPr>
                <w:noProof/>
                <w:szCs w:val="24"/>
              </w:rPr>
            </w:pPr>
            <w:r>
              <w:rPr>
                <w:noProof/>
              </w:rPr>
              <w:t>7. mai 2019</w:t>
            </w:r>
          </w:p>
          <w:p>
            <w:pPr>
              <w:spacing w:before="0" w:after="0"/>
              <w:rPr>
                <w:noProof/>
                <w:szCs w:val="24"/>
              </w:rPr>
            </w:pPr>
          </w:p>
        </w:tc>
        <w:tc>
          <w:tcPr>
            <w:tcW w:w="6753" w:type="dxa"/>
          </w:tcPr>
          <w:p>
            <w:pPr>
              <w:spacing w:after="0"/>
              <w:jc w:val="left"/>
              <w:rPr>
                <w:noProof/>
                <w:szCs w:val="24"/>
              </w:rPr>
            </w:pPr>
          </w:p>
          <w:p>
            <w:pPr>
              <w:spacing w:after="0"/>
              <w:jc w:val="left"/>
              <w:rPr>
                <w:noProof/>
                <w:szCs w:val="24"/>
              </w:rPr>
            </w:pPr>
            <w:r>
              <w:rPr>
                <w:noProof/>
              </w:rPr>
              <w:t>Euroopa Liidu esildis põllumajanduskomiteele tariifikvootide haldamist käsitleva Bali otsuse toimimise läbivaatamise kohta</w:t>
            </w:r>
            <w:r>
              <w:rPr>
                <w:rStyle w:val="FootnoteReference"/>
                <w:noProof/>
              </w:rPr>
              <w:footnoteReference w:id="8"/>
            </w:r>
            <w:r>
              <w:rPr>
                <w:noProof/>
              </w:rPr>
              <w:t>.</w:t>
            </w:r>
          </w:p>
          <w:p>
            <w:pPr>
              <w:spacing w:before="0" w:after="0"/>
              <w:rPr>
                <w:noProof/>
                <w:szCs w:val="24"/>
              </w:rPr>
            </w:pPr>
          </w:p>
          <w:p>
            <w:pPr>
              <w:spacing w:before="0" w:after="0"/>
              <w:rPr>
                <w:noProof/>
                <w:szCs w:val="24"/>
              </w:rPr>
            </w:pPr>
          </w:p>
          <w:p>
            <w:pPr>
              <w:tabs>
                <w:tab w:val="left" w:pos="1134"/>
              </w:tabs>
              <w:spacing w:before="0"/>
              <w:rPr>
                <w:noProof/>
                <w:szCs w:val="24"/>
              </w:rPr>
            </w:pPr>
            <w:r>
              <w:rPr>
                <w:noProof/>
              </w:rPr>
              <w:t>Euroopa Liidu teatised</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G/AG/W/179</w:t>
            </w:r>
          </w:p>
          <w:p>
            <w:pPr>
              <w:spacing w:before="0" w:after="0"/>
              <w:rPr>
                <w:noProof/>
                <w:szCs w:val="24"/>
              </w:rPr>
            </w:pPr>
            <w:r>
              <w:rPr>
                <w:noProof/>
              </w:rPr>
              <w:t>6. juuni 2018</w:t>
            </w:r>
          </w:p>
        </w:tc>
        <w:tc>
          <w:tcPr>
            <w:tcW w:w="6753" w:type="dxa"/>
          </w:tcPr>
          <w:p>
            <w:pPr>
              <w:spacing w:after="0"/>
              <w:jc w:val="left"/>
              <w:rPr>
                <w:rFonts w:eastAsiaTheme="majorEastAsia"/>
                <w:caps/>
                <w:noProof/>
                <w:kern w:val="28"/>
                <w:szCs w:val="24"/>
              </w:rPr>
            </w:pPr>
            <w:r>
              <w:rPr>
                <w:noProof/>
              </w:rPr>
              <w:t>Balil toimunud ministrite konverentsil vastu võetud „[...] põllumajandussaaduste tariifikvootide haldamise käsituslepet“ käsitleva otsuse toimimise läbivaatamine</w:t>
            </w:r>
            <w:r>
              <w:rPr>
                <w:rStyle w:val="FootnoteReference"/>
                <w:noProof/>
              </w:rPr>
              <w:footnoteReference w:id="9"/>
            </w:r>
            <w:r>
              <w:rPr>
                <w:noProof/>
              </w:rPr>
              <w:t>.</w:t>
            </w:r>
          </w:p>
          <w:p>
            <w:pPr>
              <w:spacing w:before="0" w:after="0"/>
              <w:rPr>
                <w:noProof/>
                <w:szCs w:val="24"/>
              </w:rPr>
            </w:pPr>
          </w:p>
          <w:p>
            <w:pPr>
              <w:tabs>
                <w:tab w:val="left" w:pos="1134"/>
              </w:tabs>
              <w:spacing w:before="0"/>
              <w:rPr>
                <w:noProof/>
                <w:szCs w:val="24"/>
              </w:rPr>
            </w:pPr>
            <w:r>
              <w:rPr>
                <w:noProof/>
              </w:rPr>
              <w:t>Cairnsi rühma esildis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G/AG/W/183</w:t>
            </w:r>
          </w:p>
          <w:p>
            <w:pPr>
              <w:spacing w:before="0" w:after="0"/>
              <w:rPr>
                <w:noProof/>
                <w:szCs w:val="24"/>
              </w:rPr>
            </w:pPr>
            <w:r>
              <w:rPr>
                <w:noProof/>
              </w:rPr>
              <w:t>31. juuli 2018</w:t>
            </w:r>
          </w:p>
        </w:tc>
        <w:tc>
          <w:tcPr>
            <w:tcW w:w="6753" w:type="dxa"/>
          </w:tcPr>
          <w:p>
            <w:pPr>
              <w:tabs>
                <w:tab w:val="left" w:pos="1134"/>
              </w:tabs>
              <w:spacing w:after="0"/>
              <w:jc w:val="left"/>
              <w:rPr>
                <w:noProof/>
                <w:szCs w:val="24"/>
              </w:rPr>
            </w:pPr>
            <w:r>
              <w:rPr>
                <w:noProof/>
              </w:rPr>
              <w:t>Tariifkvoodi haldamise meetodid ja kasutamise määrad 2007–2016.</w:t>
            </w:r>
          </w:p>
          <w:p>
            <w:pPr>
              <w:tabs>
                <w:tab w:val="left" w:pos="1134"/>
              </w:tabs>
              <w:spacing w:before="0" w:after="0"/>
              <w:jc w:val="left"/>
              <w:rPr>
                <w:noProof/>
                <w:szCs w:val="24"/>
              </w:rPr>
            </w:pPr>
          </w:p>
          <w:p>
            <w:pPr>
              <w:tabs>
                <w:tab w:val="left" w:pos="1134"/>
              </w:tabs>
              <w:spacing w:before="0"/>
              <w:rPr>
                <w:noProof/>
                <w:szCs w:val="24"/>
              </w:rPr>
            </w:pPr>
            <w:r>
              <w:rPr>
                <w:noProof/>
              </w:rPr>
              <w:t>Sekretariaadi koostatud taustdokument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G/AG/W/186</w:t>
            </w:r>
          </w:p>
          <w:p>
            <w:pPr>
              <w:spacing w:before="0" w:after="0"/>
              <w:rPr>
                <w:noProof/>
                <w:szCs w:val="24"/>
              </w:rPr>
            </w:pPr>
            <w:r>
              <w:rPr>
                <w:noProof/>
              </w:rPr>
              <w:t>19. september 2018</w:t>
            </w:r>
          </w:p>
        </w:tc>
        <w:tc>
          <w:tcPr>
            <w:tcW w:w="6753" w:type="dxa"/>
          </w:tcPr>
          <w:p>
            <w:pPr>
              <w:tabs>
                <w:tab w:val="left" w:pos="1134"/>
              </w:tabs>
              <w:spacing w:after="0"/>
              <w:jc w:val="left"/>
              <w:rPr>
                <w:noProof/>
                <w:szCs w:val="24"/>
              </w:rPr>
            </w:pPr>
            <w:r>
              <w:rPr>
                <w:noProof/>
              </w:rPr>
              <w:t>Tariifikvootide haldamist käsitleva Bali otsuse läbivaatamine.</w:t>
            </w:r>
          </w:p>
          <w:p>
            <w:pPr>
              <w:tabs>
                <w:tab w:val="left" w:pos="1134"/>
              </w:tabs>
              <w:spacing w:before="0" w:after="0"/>
              <w:jc w:val="left"/>
              <w:rPr>
                <w:noProof/>
                <w:szCs w:val="24"/>
              </w:rPr>
            </w:pPr>
          </w:p>
          <w:p>
            <w:pPr>
              <w:spacing w:before="0"/>
              <w:rPr>
                <w:noProof/>
                <w:szCs w:val="24"/>
              </w:rPr>
            </w:pPr>
            <w:r>
              <w:rPr>
                <w:noProof/>
              </w:rPr>
              <w:t>Austraalia esildis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G/AG/W/197</w:t>
            </w:r>
          </w:p>
          <w:p>
            <w:pPr>
              <w:spacing w:before="0" w:after="0"/>
              <w:rPr>
                <w:noProof/>
                <w:szCs w:val="24"/>
              </w:rPr>
            </w:pPr>
            <w:r>
              <w:rPr>
                <w:noProof/>
              </w:rPr>
              <w:t>24. mai 2019</w:t>
            </w:r>
          </w:p>
        </w:tc>
        <w:tc>
          <w:tcPr>
            <w:tcW w:w="6753" w:type="dxa"/>
          </w:tcPr>
          <w:p>
            <w:pPr>
              <w:tabs>
                <w:tab w:val="left" w:pos="1134"/>
              </w:tabs>
              <w:spacing w:after="0"/>
              <w:jc w:val="left"/>
              <w:rPr>
                <w:noProof/>
                <w:szCs w:val="24"/>
              </w:rPr>
            </w:pPr>
            <w:r>
              <w:rPr>
                <w:noProof/>
              </w:rPr>
              <w:t>Tariifikvootide haldamise Bali otsuse alakasutuse mehhanism</w:t>
            </w:r>
          </w:p>
          <w:p>
            <w:pPr>
              <w:tabs>
                <w:tab w:val="left" w:pos="1134"/>
              </w:tabs>
              <w:spacing w:after="0"/>
              <w:jc w:val="left"/>
              <w:rPr>
                <w:noProof/>
                <w:szCs w:val="24"/>
              </w:rPr>
            </w:pPr>
            <w:r>
              <w:rPr>
                <w:noProof/>
              </w:rPr>
              <w:t>Esildis Cairnsi rühma nimel</w:t>
            </w:r>
          </w:p>
        </w:tc>
      </w:tr>
    </w:tbl>
    <w:p>
      <w:pPr>
        <w:spacing w:before="0" w:after="200" w:line="276" w:lineRule="auto"/>
        <w:jc w:val="left"/>
        <w:rPr>
          <w:b/>
          <w:noProof/>
          <w:szCs w:val="24"/>
        </w:rPr>
      </w:pPr>
      <w:r>
        <w:rPr>
          <w:noProof/>
        </w:rPr>
        <w:br w:type="page"/>
      </w:r>
    </w:p>
    <w:p>
      <w:pPr>
        <w:spacing w:before="0" w:after="240"/>
        <w:jc w:val="center"/>
        <w:rPr>
          <w:b/>
          <w:noProof/>
          <w:szCs w:val="24"/>
        </w:rPr>
      </w:pPr>
      <w:r>
        <w:rPr>
          <w:b/>
          <w:noProof/>
        </w:rPr>
        <w:t>2. lisa</w:t>
      </w:r>
    </w:p>
    <w:p>
      <w:pPr>
        <w:pStyle w:val="Point0number"/>
        <w:numPr>
          <w:ilvl w:val="0"/>
          <w:numId w:val="2"/>
        </w:numPr>
        <w:rPr>
          <w:noProof/>
        </w:rPr>
      </w:pPr>
      <w:r>
        <w:rPr>
          <w:noProof/>
        </w:rPr>
        <w:t>[Bali otsuse punktis 14 ja 2. joonealuses märkuses sätestatud ajakava otsuse tegemiseks A lisa punkti 4 kohta pikendatakse kuni 2021. aasta lõpuni või ministrite 13. konverentsini, olenevalt sellest, kumb on varasem. [Kui ei ministrite konverents ega peanõukogu ei otsusta enne 2021. aasta lõppu pikendada Bali otsuse A lisa punkti 4 kohaldamist selle praegusel kujul või muudetud kujul, ei kohaldata suurema kindluse tagamiseks (kui nimetatud otsuse punktist 15 ei tulene teisiti) A lisa punkti 4 enam alates 1. jaanuarist 2022 [B lisas loetletud liikmete suhtes, samuti ühegi liikme suhtes, kes on enne 2021. aasta lõppu esitanud taotluse B lisasse kandmiseks].]</w:t>
      </w:r>
    </w:p>
    <w:p>
      <w:pPr>
        <w:pStyle w:val="Point0number"/>
        <w:numPr>
          <w:ilvl w:val="0"/>
          <w:numId w:val="2"/>
        </w:numPr>
        <w:rPr>
          <w:noProof/>
        </w:rPr>
      </w:pPr>
      <w:r>
        <w:rPr>
          <w:noProof/>
        </w:rPr>
        <w:t>Vahepealsel ajal jätkab põllumajanduskomitee (edaspidi „komitee“) arutelu A lisa punkti 4 kohaldamise üle. [Suurema kindluse tagamiseks kohaldatakse arutelude toimumise ajal jätkuvalt Bali otsust koos selle lisadega.]</w:t>
      </w:r>
    </w:p>
    <w:p>
      <w:pPr>
        <w:pStyle w:val="Point0number"/>
        <w:numPr>
          <w:ilvl w:val="0"/>
          <w:numId w:val="2"/>
        </w:numPr>
        <w:rPr>
          <w:noProof/>
        </w:rPr>
      </w:pPr>
      <w:r>
        <w:rPr>
          <w:noProof/>
        </w:rPr>
        <w:t>Komitee esitab peanõukogule soovitused [A lisa] punkti 4 kohaldamise kohta [punkti 14 kohaselt] enne 2021. aasta lõppu.]</w:t>
      </w:r>
    </w:p>
    <w:p>
      <w:pPr>
        <w:pStyle w:val="Point0number"/>
        <w:numPr>
          <w:ilvl w:val="0"/>
          <w:numId w:val="2"/>
        </w:numPr>
        <w:rPr>
          <w:noProof/>
        </w:rPr>
      </w:pPr>
      <w:r>
        <w:rPr>
          <w:noProof/>
        </w:rPr>
        <w:t>Tunnistades tariifikvootide haldamise ja kasutamise suurema läbipaistvuse tähtsust ning selle olulisust, et liikmed esitavad oma teabe õigeaegselt, ning tunnistades, et veebipõhine põllumajandusteadete süsteem peaks aitama ühtlustamist suurendada, on komitee nõus järgmisega:</w:t>
      </w:r>
    </w:p>
    <w:p>
      <w:pPr>
        <w:pStyle w:val="Point1letter"/>
        <w:rPr>
          <w:noProof/>
        </w:rPr>
      </w:pPr>
      <w:r>
        <w:rPr>
          <w:noProof/>
        </w:rPr>
        <w:t xml:space="preserve">Sekretariaat koostab nimekirja liikmete tariifikvootidest teavitamise tavadest, sealhulgas juhtudel, kui kavandatud tariifikvoote ei avatud. </w:t>
      </w:r>
    </w:p>
    <w:p>
      <w:pPr>
        <w:pStyle w:val="Point1letter"/>
        <w:rPr>
          <w:noProof/>
        </w:rPr>
      </w:pPr>
      <w:r>
        <w:rPr>
          <w:noProof/>
        </w:rPr>
        <w:t xml:space="preserve">Komitee algatab arutelu liikmete tariifikvootidest, sealhulgas tariifikvootide kasutamisest teavitamise tavade ühtlustamise üle.  </w:t>
      </w:r>
    </w:p>
    <w:p>
      <w:pPr>
        <w:pStyle w:val="Point1letter"/>
        <w:rPr>
          <w:noProof/>
        </w:rPr>
      </w:pPr>
      <w:r>
        <w:rPr>
          <w:noProof/>
        </w:rPr>
        <w:t>Komitee julgustab liikmeid lisama turulepääsu (tabel MA:2) teatistele selgituse juhtudel, kui kavandatud tariifikvoote ei avata.</w:t>
      </w:r>
    </w:p>
    <w:p>
      <w:pPr>
        <w:pStyle w:val="Point1letter"/>
        <w:rPr>
          <w:noProof/>
        </w:rPr>
      </w:pPr>
      <w:r>
        <w:rPr>
          <w:noProof/>
        </w:rPr>
        <w:t>Sekretariaat ajakohastab korrapäraselt teavet tariifikvootide haldamise ja nende kasutamise määrade kohta vastavalt dokumendile G/AG/ W/183</w:t>
      </w:r>
      <w:r>
        <w:rPr>
          <w:rStyle w:val="FootnoteReference"/>
          <w:noProof/>
        </w:rPr>
        <w:footnoteReference w:id="10"/>
      </w:r>
      <w:r>
        <w:rPr>
          <w:noProof/>
        </w:rPr>
        <w:t>, samuti teavet liikmete kohta, kes on teatanud kasutusmääradest, ning komitee poolt kasutusmääradega seoses tõstatatud probleemide kohta.</w:t>
      </w:r>
    </w:p>
    <w:p>
      <w:pPr>
        <w:pStyle w:val="Point1letter"/>
        <w:rPr>
          <w:noProof/>
        </w:rPr>
      </w:pPr>
      <w:r>
        <w:rPr>
          <w:noProof/>
        </w:rPr>
        <w:t>Komitee vaatab liikmete esildiste alusel läbi põhjused, miks alakasutuse mehhanismi ei ole veel kasutatud.</w:t>
      </w:r>
    </w:p>
    <w:p>
      <w:pPr>
        <w:pStyle w:val="Point0number"/>
        <w:rPr>
          <w:noProof/>
        </w:rPr>
      </w:pPr>
      <w:r>
        <w:rPr>
          <w:noProof/>
        </w:rPr>
        <w:t>Komitee on nõus Bali otsuse toimimist korrapäraselt läbi vaatama iga kolme aasta järel pärast käesoleva läbivaatamise lõppu. Need korrapärased läbivaatamised hõlmavad muu hulgas liikmete poolt esildiste põhjal läbi viidud alakasutuse mehhanismi kasutamise uurimist.</w:t>
      </w:r>
    </w:p>
    <w:p>
      <w:pPr>
        <w:spacing w:before="0" w:after="0"/>
        <w:jc w:val="center"/>
        <w:rPr>
          <w:noProof/>
          <w:szCs w:val="24"/>
        </w:rPr>
      </w:pPr>
      <w:r>
        <w:rPr>
          <w:b/>
          <w:noProof/>
        </w:rPr>
        <w:t>__________</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firstLine="0"/>
      </w:pPr>
      <w:r>
        <w:rPr>
          <w:rStyle w:val="FootnoteReference"/>
          <w:szCs w:val="16"/>
        </w:rPr>
        <w:footnoteRef/>
      </w:r>
      <w:r>
        <w:tab/>
        <w:t>WT/MIN(13)/39 13. lõik. Seni ei ole teada antud alakasutuse meetme kasutamise kogemustest.</w:t>
      </w:r>
    </w:p>
  </w:footnote>
  <w:footnote w:id="2">
    <w:p>
      <w:pPr>
        <w:pStyle w:val="FootnoteText"/>
        <w:ind w:firstLine="0"/>
      </w:pPr>
      <w:r>
        <w:rPr>
          <w:rStyle w:val="FootnoteReference"/>
          <w:szCs w:val="16"/>
        </w:rPr>
        <w:footnoteRef/>
      </w:r>
      <w:r>
        <w:tab/>
        <w:t>Vt G/AG/R/86 punkt 2.2.1.</w:t>
      </w:r>
    </w:p>
  </w:footnote>
  <w:footnote w:id="3">
    <w:p>
      <w:pPr>
        <w:pStyle w:val="FootnoteText"/>
        <w:ind w:firstLine="0"/>
      </w:pPr>
      <w:r>
        <w:rPr>
          <w:rStyle w:val="FootnoteReference"/>
          <w:szCs w:val="16"/>
        </w:rPr>
        <w:footnoteRef/>
      </w:r>
      <w:r>
        <w:tab/>
        <w:t xml:space="preserve">Vt G/AG/R/87 punkt 2.5.1. </w:t>
      </w:r>
    </w:p>
  </w:footnote>
  <w:footnote w:id="4">
    <w:p>
      <w:pPr>
        <w:pStyle w:val="FootnoteText"/>
        <w:ind w:firstLine="0"/>
      </w:pPr>
      <w:r>
        <w:rPr>
          <w:rStyle w:val="FootnoteReference"/>
        </w:rPr>
        <w:footnoteRef/>
      </w:r>
      <w:r>
        <w:tab/>
        <w:t xml:space="preserve">2019. aasta juunis toimunud koosolekul nõustus komitee pikendama läbivaatamise lõpparuande koostamise ajakava komitee koosolekuni oktoobris 2019.  </w:t>
      </w:r>
    </w:p>
  </w:footnote>
  <w:footnote w:id="5">
    <w:p>
      <w:pPr>
        <w:pStyle w:val="FootnoteText"/>
        <w:ind w:firstLine="0"/>
      </w:pPr>
      <w:r>
        <w:rPr>
          <w:rStyle w:val="FootnoteReference"/>
          <w:szCs w:val="16"/>
        </w:rPr>
        <w:footnoteRef/>
      </w:r>
      <w:r>
        <w:tab/>
        <w:t>G/AG/W/183.</w:t>
      </w:r>
    </w:p>
  </w:footnote>
  <w:footnote w:id="6">
    <w:p>
      <w:pPr>
        <w:pStyle w:val="FootnoteText"/>
        <w:ind w:firstLine="0"/>
        <w:rPr>
          <w:vertAlign w:val="superscript"/>
        </w:rPr>
      </w:pPr>
      <w:r>
        <w:rPr>
          <w:rStyle w:val="FootnoteReference"/>
          <w:szCs w:val="16"/>
        </w:rPr>
        <w:footnoteRef/>
      </w:r>
      <w:r>
        <w:tab/>
        <w:t>Oma soovitustes ei ole liikmed neis elementides ega nende käsitlemise viisides üksmeelel.</w:t>
      </w:r>
    </w:p>
  </w:footnote>
  <w:footnote w:id="7">
    <w:p>
      <w:pPr>
        <w:pStyle w:val="FootnoteText"/>
        <w:ind w:firstLine="0"/>
      </w:pPr>
      <w:r>
        <w:rPr>
          <w:rStyle w:val="FootnoteReference"/>
        </w:rPr>
        <w:footnoteRef/>
      </w:r>
      <w:r>
        <w:tab/>
        <w:t>Bali otsuse 9. lõigus osutatakse ümberjaotamise korrale. Lisaks viidatakse Bali otsuse A lisa 3. ja 5. joonealuses märkuses nende liikmete õigustele, kellele on tehtud riigipõhised eraldised konkreetselt alatäitmise mehhanismi kontekstis.</w:t>
      </w:r>
    </w:p>
  </w:footnote>
  <w:footnote w:id="8">
    <w:p>
      <w:pPr>
        <w:pStyle w:val="FootnoteText"/>
      </w:pPr>
      <w:r>
        <w:rPr>
          <w:rStyle w:val="FootnoteReference"/>
        </w:rPr>
        <w:footnoteRef/>
      </w:r>
      <w:r>
        <w:tab/>
        <w:t>Dokument G/AG/W/171, 9. veebruar 2018.</w:t>
      </w:r>
    </w:p>
  </w:footnote>
  <w:footnote w:id="9">
    <w:p>
      <w:pPr>
        <w:pStyle w:val="FootnoteText"/>
      </w:pPr>
      <w:r>
        <w:rPr>
          <w:rStyle w:val="FootnoteReference"/>
        </w:rPr>
        <w:footnoteRef/>
      </w:r>
      <w:r>
        <w:tab/>
        <w:t>WT/MIN (13)/39 AND WT/L/914</w:t>
      </w:r>
      <w:r>
        <w:rPr>
          <w:rStyle w:val="FootnoteReference"/>
          <w:szCs w:val="16"/>
        </w:rPr>
        <w:t xml:space="preserve"> </w:t>
      </w:r>
      <w:r>
        <w:t>11. detsember 2013.</w:t>
      </w:r>
    </w:p>
  </w:footnote>
  <w:footnote w:id="10">
    <w:p>
      <w:pPr>
        <w:pStyle w:val="FootnoteText"/>
      </w:pPr>
      <w:r>
        <w:rPr>
          <w:rStyle w:val="FootnoteReference"/>
        </w:rPr>
        <w:footnoteRef/>
      </w:r>
      <w:r>
        <w:tab/>
        <w:t>Sekretariaadi taustdokument võib konkreetselt sisaldada tariifikvootide nimekirja, kui tabeli MA:2 kohast teatist ei ole esitatud või kui kasutuse määr on alla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3C9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C41F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E03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EEE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C038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A0C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E8B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F34060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551E12"/>
    <w:multiLevelType w:val="multilevel"/>
    <w:tmpl w:val="CC5217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48: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FC653BD6-5749-4A6A-B9AD-926961B71C79"/>
    <w:docVar w:name="LW_COVERPAGE_TYPE" w:val="1"/>
    <w:docVar w:name="LW_CROSSREFERENCE" w:val="&lt;UNUSED&gt;"/>
    <w:docVar w:name="LW_DocType" w:val="ANNEX"/>
    <w:docVar w:name="LW_EMISSION" w:val="30.10.2019"/>
    <w:docVar w:name="LW_EMISSION_ISODATE" w:val="2019-10-30"/>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Maailma Kaubandusorganisatsiooni peanõukogus"/>
    <w:docVar w:name="LW_OBJETACTEPRINCIPAL.CP" w:val="seisukoha kohta, mis võetakse Euroopa Liidu nimel Maailma Kaubandusorganisatsiooni peanõukogus"/>
    <w:docVar w:name="LW_PART_NBR" w:val="1"/>
    <w:docVar w:name="LW_PART_NBR_TOTAL" w:val="1"/>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_x000b__x000b_NÕUKOGU OTSUS"/>
    <w:docVar w:name="LW_TYPEACTEPRINCIPAL.CP" w:val="Ettepanek:_x000b__x000b_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et-EE"/>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et-EE"/>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et-EE"/>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et-EE"/>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et-EE"/>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et-EE"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et-EE"/>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et-EE"/>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et-EE"/>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et-EE"/>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et-EE"/>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et-EE"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985</Words>
  <Characters>7382</Characters>
  <Application>Microsoft Office Word</Application>
  <DocSecurity>0</DocSecurity>
  <Lines>164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Christiane (AGRI)</dc:creator>
  <cp:keywords/>
  <dc:description/>
  <cp:lastModifiedBy>WES PDFC Administrator</cp:lastModifiedBy>
  <cp:revision>9</cp:revision>
  <dcterms:created xsi:type="dcterms:W3CDTF">2019-10-28T08:41:00Z</dcterms:created>
  <dcterms:modified xsi:type="dcterms:W3CDTF">2019-10-28T14:48:00Z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