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4308E26-2B8B-4B94-9AE0-503B35B1B1C4"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rPr>
          <w:rFonts w:eastAsia="Arial Unicode MS"/>
          <w:noProof/>
        </w:rPr>
      </w:pPr>
      <w:r>
        <w:rPr>
          <w:noProof/>
        </w:rPr>
        <w:t xml:space="preserve">Detta förslag avser ett beslut om fastställande av den ståndpunkt som ska intas på Europeiska unionens vägnar i gemensamma genomförandekommittén (nedan kallad </w:t>
      </w:r>
      <w:r>
        <w:rPr>
          <w:i/>
          <w:iCs/>
          <w:noProof/>
        </w:rPr>
        <w:t>gemensamma kommittén</w:t>
      </w:r>
      <w:r>
        <w:rPr>
          <w:noProof/>
        </w:rPr>
        <w:t>) som inrättats i enlighet med artikel 18 i det frivilliga partnerskapsavtalet mellan Europeiska unionen och Socialistiska republiken Vietnam om skogslagstiftningens efterlevnad och förvaltning av och handel med skog, i samband med det planerade antagandet av gemensamma kommitténs arbetsordning.</w:t>
      </w:r>
    </w:p>
    <w:p>
      <w:pPr>
        <w:pStyle w:val="ManualHeading1"/>
        <w:rPr>
          <w:noProof/>
        </w:rPr>
      </w:pPr>
      <w:r>
        <w:t>2.</w:t>
      </w:r>
      <w:r>
        <w:tab/>
      </w:r>
      <w:r>
        <w:rPr>
          <w:noProof/>
        </w:rPr>
        <w:t>Bakgrund till förslaget</w:t>
      </w:r>
    </w:p>
    <w:p>
      <w:pPr>
        <w:pStyle w:val="ManualHeading2"/>
        <w:rPr>
          <w:noProof/>
        </w:rPr>
      </w:pPr>
      <w:r>
        <w:t>2.1.</w:t>
      </w:r>
      <w:r>
        <w:tab/>
      </w:r>
      <w:r>
        <w:rPr>
          <w:noProof/>
        </w:rPr>
        <w:t xml:space="preserve">Det frivilliga partnerskapsavtalet mellan Europeiska unionen och Socialistiska republiken Vietnam om skogslagstiftningens efterlevnad och förvaltning av och handel med skog </w:t>
      </w:r>
    </w:p>
    <w:p>
      <w:pPr>
        <w:rPr>
          <w:rFonts w:eastAsia="Arial Unicode MS"/>
          <w:noProof/>
        </w:rPr>
      </w:pPr>
      <w:r>
        <w:rPr>
          <w:noProof/>
        </w:rPr>
        <w:t xml:space="preserve">Det frivilliga partnerskapsavtalet mellan Europeiska unionen och Socialistiska republiken Vietnam om skogslagstiftningens efterlevnad och förvaltning av och handel med skog (nedan kallat </w:t>
      </w:r>
      <w:r>
        <w:rPr>
          <w:i/>
          <w:iCs/>
          <w:noProof/>
        </w:rPr>
        <w:t>avtalet</w:t>
      </w:r>
      <w:r>
        <w:rPr>
          <w:noProof/>
        </w:rPr>
        <w:t xml:space="preserve">) syftar till att säkerställa att allt timmer och alla trävaror som omfattas av avtalet och importeras till unionen från Vietnam har producerats lagligt. Detta kommer att uppnås genom inrättande och genomförande av Vietnams laglighetsförsäkringssystem för timmer (Vietnam Timber Legality Assurance System, </w:t>
      </w:r>
      <w:r>
        <w:rPr>
          <w:i/>
          <w:iCs/>
          <w:noProof/>
        </w:rPr>
        <w:t>VNTLAS</w:t>
      </w:r>
      <w:r>
        <w:rPr>
          <w:noProof/>
        </w:rPr>
        <w:t>) för att kontrollera att timmer och trävaror har producerats lagligt och för att säkerställa att endast sändningar som verifierats som lagliga exporteras till unionen. Avtalet trädde i kraft den 1 juni 2019.</w:t>
      </w:r>
    </w:p>
    <w:p>
      <w:pPr>
        <w:pStyle w:val="ManualHeading2"/>
        <w:rPr>
          <w:noProof/>
        </w:rPr>
      </w:pPr>
      <w:r>
        <w:t>2.2.</w:t>
      </w:r>
      <w:r>
        <w:tab/>
      </w:r>
      <w:r>
        <w:rPr>
          <w:noProof/>
        </w:rPr>
        <w:t>Gemensamma kommittén</w:t>
      </w:r>
    </w:p>
    <w:p>
      <w:pPr>
        <w:rPr>
          <w:rFonts w:eastAsiaTheme="majorEastAsia"/>
          <w:b/>
          <w:bCs/>
          <w:noProof/>
          <w:szCs w:val="26"/>
        </w:rPr>
      </w:pPr>
      <w:r>
        <w:rPr>
          <w:noProof/>
        </w:rPr>
        <w:t>Gemensamma kommittén, som föreskrivs i artikel 18 i avtalet och som beskrivs närmare i bilaga IX till avtalet, ska underlätta förvaltningen, övervakningen och översynen av avtalet. Gemensamma kommittén ska också främja dialogen och informationsutbytet mellan avtalsparterna. Gemensamma kommittén ska fatta sina beslut i samförstånd. Gemensamma kommitténs ordförandeskap ska innehas gemensamt av vice ministern vid ministeriet för jordbruk och landsbygdsutveckling och chefen för Europeiska unionens delegation i Socialistiska republiken Vietnam.</w:t>
      </w:r>
    </w:p>
    <w:p>
      <w:pPr>
        <w:pStyle w:val="ManualHeading2"/>
        <w:rPr>
          <w:noProof/>
        </w:rPr>
      </w:pPr>
      <w:r>
        <w:t>2.3.</w:t>
      </w:r>
      <w:r>
        <w:tab/>
      </w:r>
      <w:r>
        <w:rPr>
          <w:noProof/>
        </w:rPr>
        <w:t>Akt som planeras av gemensamma kommittén</w:t>
      </w:r>
    </w:p>
    <w:p>
      <w:pPr>
        <w:rPr>
          <w:rFonts w:eastAsia="Arial Unicode MS"/>
          <w:noProof/>
        </w:rPr>
      </w:pPr>
      <w:r>
        <w:rPr>
          <w:noProof/>
        </w:rPr>
        <w:t xml:space="preserve">Under veckan den 11–15 november 2019 ska gemensamma kommittén vid sitt första möte anta sin arbetsordning (nedan kallad </w:t>
      </w:r>
      <w:r>
        <w:rPr>
          <w:i/>
          <w:iCs/>
          <w:noProof/>
        </w:rPr>
        <w:t>den planerade akten</w:t>
      </w:r>
      <w:r>
        <w:rPr>
          <w:noProof/>
        </w:rPr>
        <w:t>).</w:t>
      </w:r>
    </w:p>
    <w:p>
      <w:pPr>
        <w:rPr>
          <w:rFonts w:eastAsia="Arial Unicode MS"/>
          <w:noProof/>
        </w:rPr>
      </w:pPr>
      <w:r>
        <w:rPr>
          <w:noProof/>
        </w:rPr>
        <w:t>Syftet med den planerade akten är att reglera parternas samarbete inom gemensamma kommittén. Den beskriver gemensamma kommitténs sammansättning, möjligheten att inrätta underordnade organ, dess sekretariat och hur gemensamma kommitténs möten ska organiseras. Enligt den planerade akten ska gemensamma kommittén anta beslut och rekommendationer i samförstånd genom skriftligt förfarande bestående av en notväxling i enlighet med avtalet.</w:t>
      </w:r>
    </w:p>
    <w:p>
      <w:pPr>
        <w:pStyle w:val="ManualHeading1"/>
        <w:rPr>
          <w:rFonts w:eastAsia="Arial Unicode MS"/>
          <w:noProof/>
        </w:rPr>
      </w:pPr>
      <w:r>
        <w:t>3.</w:t>
      </w:r>
      <w:r>
        <w:tab/>
      </w:r>
      <w:r>
        <w:rPr>
          <w:noProof/>
        </w:rPr>
        <w:t>Den ståndpunkt som ska intas på unionens vägnar</w:t>
      </w:r>
    </w:p>
    <w:p>
      <w:pPr>
        <w:rPr>
          <w:noProof/>
        </w:rPr>
      </w:pPr>
      <w:r>
        <w:rPr>
          <w:noProof/>
        </w:rPr>
        <w:t>Den planerade akten fastställer den ståndpunkt som ska intas på unionens vägnar i gemensamma kommittén, i enlighet med artikel 18 i avtalet, i fråga om antagandet av gemensamma kommitténs arbetsordning.</w:t>
      </w:r>
    </w:p>
    <w:p>
      <w:pPr>
        <w:rPr>
          <w:noProof/>
        </w:rPr>
      </w:pPr>
      <w:r>
        <w:rPr>
          <w:noProof/>
        </w:rPr>
        <w:lastRenderedPageBreak/>
        <w:t>Avtalsparterna har enats om utkastet till arbetsordning. Om inte annat följer av unionens beslutsförfaranden bör arbetsordningen antas vid gemensamma kommitténs första möte, som är planerat till november 2019.</w:t>
      </w:r>
    </w:p>
    <w:p>
      <w:pPr>
        <w:rPr>
          <w:noProof/>
        </w:rPr>
      </w:pPr>
      <w:r>
        <w:rPr>
          <w:noProof/>
        </w:rPr>
        <w:t>Gemensamma kommitténs arbetsordning är mycket lik den arbetsordning som antagits av de gemensamma genomförandekommittéer som inrättats genom andra frivilliga partnerskapsavtal.</w:t>
      </w:r>
    </w:p>
    <w:p>
      <w:pPr>
        <w:rPr>
          <w:noProof/>
        </w:rPr>
      </w:pPr>
      <w:r>
        <w:rPr>
          <w:noProof/>
        </w:rPr>
        <w:t>Antagandet av detta dokument är väsentligt för att göra bestämmelserna i avtalet operativa. Närmare bestämt möjliggör det för gemensamma kommittén att genomföra bestämmelserna i artikel 9 (ihållande meningsskiljaktigheter eller problem vid samråd om Flegtlicenser), 10 (klagomål från den oberoende utvärderaren som hänskjuts till gemensamma kommittén), 12 (underrättelse, beställning av en oberoende bedömning av systemet med Flegtlicenser, och rekommendation om ett datum då hela systemet med Flegtlicensiering ska vara operativt), 18 (inrättande av gemensamma kommittén) och bilaga IX till avtalet (funktioner för gemensamma kommittén).</w:t>
      </w:r>
    </w:p>
    <w:p>
      <w:pPr>
        <w:pStyle w:val="ManualHeading1"/>
        <w:rPr>
          <w:noProof/>
        </w:rPr>
      </w:pPr>
      <w:r>
        <w:t>4.</w:t>
      </w:r>
      <w:r>
        <w:tab/>
      </w:r>
      <w:r>
        <w:rPr>
          <w:noProof/>
        </w:rPr>
        <w:t>Rättslig grund</w:t>
      </w:r>
    </w:p>
    <w:p>
      <w:pPr>
        <w:pStyle w:val="ManualHeading2"/>
        <w:rPr>
          <w:noProof/>
        </w:rPr>
      </w:pPr>
      <w:r>
        <w:t>4.1.</w:t>
      </w:r>
      <w:r>
        <w:tab/>
      </w:r>
      <w:r>
        <w:rPr>
          <w:noProof/>
        </w:rPr>
        <w:t>Förfarandemässig rättslig grund</w:t>
      </w:r>
    </w:p>
    <w:p>
      <w:pPr>
        <w:pStyle w:val="ManualHeading3"/>
        <w:rPr>
          <w:noProof/>
        </w:rPr>
      </w:pPr>
      <w:r>
        <w:t>4.1.1.</w:t>
      </w:r>
      <w:r>
        <w:tab/>
      </w:r>
      <w:r>
        <w:rPr>
          <w:noProof/>
        </w:rPr>
        <w:t>Principer</w:t>
      </w:r>
    </w:p>
    <w:p>
      <w:pPr>
        <w:rPr>
          <w:noProof/>
        </w:rPr>
      </w:pPr>
      <w:r>
        <w:rPr>
          <w:noProof/>
        </w:rPr>
        <w:t xml:space="preserve">I artikel 218.9 i fördraget om Europeiska unionens funktionssätt (nedan kallat </w:t>
      </w:r>
      <w:r>
        <w:rPr>
          <w:i/>
          <w:iCs/>
          <w:noProof/>
        </w:rPr>
        <w:t>EUF-fördraget</w:t>
      </w:r>
      <w:r>
        <w:rPr>
          <w:noProof/>
        </w:rPr>
        <w:t>) föreskrivs att beslut ska antas ”</w:t>
      </w:r>
      <w:r>
        <w:rPr>
          <w:i/>
          <w:iCs/>
          <w:noProof/>
        </w:rPr>
        <w:t>om fastställande av vilka ståndpunkter som på unionens vägnar ska intas i ett organ som inrättas genom ett avtal, om detta organ ska anta akter med rättslig verkan, med undantag av sådana akter som kompletterar eller ändrar avtalets institutionella ram.</w:t>
      </w:r>
      <w:r>
        <w:rPr>
          <w:noProof/>
        </w:rPr>
        <w:t>”.</w:t>
      </w:r>
    </w:p>
    <w:p>
      <w:pPr>
        <w:rPr>
          <w:noProof/>
        </w:rPr>
      </w:pPr>
      <w:r>
        <w:rPr>
          <w:noProof/>
        </w:rPr>
        <w:t xml:space="preserve">Begreppet </w:t>
      </w:r>
      <w:r>
        <w:rPr>
          <w:i/>
          <w:iCs/>
          <w:noProof/>
        </w:rPr>
        <w:t>akter med rättslig verkan</w:t>
      </w:r>
      <w:r>
        <w:rPr>
          <w:noProof/>
        </w:rPr>
        <w:t xml:space="preserve"> omfattar akter som har rättslig verkan med stöd av de regler i internationell rätt som tillämpas på organet i fråga. Det omfattar även instrument som inte har bindande verkan enligt internationell rätt, men som är ”</w:t>
      </w:r>
      <w:r>
        <w:rPr>
          <w:i/>
          <w:iCs/>
          <w:noProof/>
        </w:rPr>
        <w:t>ägnade att på ett avgörande sätt påverka innehållet i de bestämmelser som antas av unionslagstiftaren</w:t>
      </w:r>
      <w:r>
        <w:rPr>
          <w:noProof/>
        </w:rPr>
        <w:t>”</w:t>
      </w:r>
      <w:r>
        <w:rPr>
          <w:rStyle w:val="FootnoteReference"/>
          <w:noProof/>
        </w:rPr>
        <w:footnoteReference w:id="1"/>
      </w:r>
      <w:r>
        <w:rPr>
          <w:noProof/>
        </w:rPr>
        <w:t>.</w:t>
      </w:r>
    </w:p>
    <w:p>
      <w:pPr>
        <w:pStyle w:val="ManualHeading3"/>
        <w:rPr>
          <w:noProof/>
        </w:rPr>
      </w:pPr>
      <w:r>
        <w:t>4.1.2.</w:t>
      </w:r>
      <w:r>
        <w:tab/>
      </w:r>
      <w:r>
        <w:rPr>
          <w:noProof/>
        </w:rPr>
        <w:t>Tillämpning i det aktuella fallet</w:t>
      </w:r>
    </w:p>
    <w:p>
      <w:pPr>
        <w:rPr>
          <w:noProof/>
        </w:rPr>
      </w:pPr>
      <w:r>
        <w:rPr>
          <w:noProof/>
        </w:rPr>
        <w:t>Gemensamma kommittén är ett organ som inrättas genom ett avtal, nämligen det frivilliga partnerskapsavtalet mellan Europeiska unionen och Socialistiska republiken Vietnam om skogslagstiftningens efterlevnad och förvaltning av och handel med skog.</w:t>
      </w:r>
    </w:p>
    <w:p>
      <w:pPr>
        <w:rPr>
          <w:noProof/>
        </w:rPr>
      </w:pPr>
      <w:r>
        <w:rPr>
          <w:noProof/>
        </w:rPr>
        <w:t>Den akt som gemensamma kommittén ska anta utgör en akt med rättslig verkan, eftersom den reglerar hur parterna i avtalet ska samarbeta vid genomförandet av avtalet, inbegripet när det gäller att eventuellt anta ändringar av bilagorna till avtalet.</w:t>
      </w:r>
    </w:p>
    <w:p>
      <w:pPr>
        <w:rPr>
          <w:noProof/>
        </w:rPr>
      </w:pPr>
      <w:r>
        <w:rPr>
          <w:noProof/>
        </w:rPr>
        <w:t>Den planerade akten varken kompletterar eller ändrar avtalets institutionella ram.</w:t>
      </w:r>
    </w:p>
    <w:p>
      <w:pPr>
        <w:rPr>
          <w:noProof/>
        </w:rPr>
      </w:pPr>
      <w:r>
        <w:rPr>
          <w:noProof/>
        </w:rPr>
        <w:t>Den förfarandemässiga rättsliga grunden för det föreslagna beslutet är därför artikel 218.9 i EUF-fördraget.</w:t>
      </w:r>
    </w:p>
    <w:p>
      <w:pPr>
        <w:pStyle w:val="ManualHeading2"/>
        <w:rPr>
          <w:noProof/>
        </w:rPr>
      </w:pPr>
      <w:r>
        <w:t>4.2.</w:t>
      </w:r>
      <w:r>
        <w:tab/>
      </w:r>
      <w:r>
        <w:rPr>
          <w:noProof/>
        </w:rPr>
        <w:t>Materiell rättslig grund</w:t>
      </w:r>
    </w:p>
    <w:p>
      <w:pPr>
        <w:pStyle w:val="ManualHeading3"/>
        <w:rPr>
          <w:noProof/>
        </w:rPr>
      </w:pPr>
      <w:r>
        <w:t>4.2.1.</w:t>
      </w:r>
      <w:r>
        <w:tab/>
      </w:r>
      <w:r>
        <w:rPr>
          <w:noProof/>
        </w:rPr>
        <w:t>Principer</w:t>
      </w:r>
    </w:p>
    <w:p>
      <w:pPr>
        <w:rPr>
          <w:noProof/>
        </w:rPr>
      </w:pPr>
      <w:r>
        <w:rPr>
          <w:noProof/>
        </w:rPr>
        <w:t xml:space="preserve">Den materiella rättsliga grunden för ett beslut enligt artikel 218.9 i EUF-fördraget är främst beroende av syftet med och innehållet i den planerade akt avseende vilken en ståndpunkt intas </w:t>
      </w:r>
      <w:r>
        <w:rPr>
          <w:noProof/>
        </w:rPr>
        <w:lastRenderedPageBreak/>
        <w:t>på unionens vägnar. Om den planerade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t>4.2.2.</w:t>
      </w:r>
      <w:r>
        <w:tab/>
      </w:r>
      <w:r>
        <w:rPr>
          <w:noProof/>
        </w:rPr>
        <w:t>Tillämpning i det aktuella fallet</w:t>
      </w:r>
    </w:p>
    <w:p>
      <w:pPr>
        <w:rPr>
          <w:noProof/>
        </w:rPr>
      </w:pPr>
      <w:r>
        <w:rPr>
          <w:noProof/>
        </w:rPr>
        <w:t>Den planerade aktens huvudsakliga syfte och innehåll rör, allmänt sett, hur de internationella organ som inrättats på grundval av avtalet fungerar. Av detta följer att det område som beslutet avser ska bedömas med hänsyn tagen till avtalet i dess helhet (mål C-244/17 kommissionen/rådet (Kazakstan), ECLI:EU:C:2018:662). Syftet med avtalet är att skapa en rättslig ram som säkerställer att allt timmer och alla trävaror som omfattas av avtalet och importeras till unionen från Vietnam har producerats lagligt. Avtalets huvudsakliga beståndsdel är den gemensamma handelspolitiken.</w:t>
      </w:r>
    </w:p>
    <w:p>
      <w:pPr>
        <w:rPr>
          <w:noProof/>
        </w:rPr>
      </w:pPr>
      <w:r>
        <w:rPr>
          <w:noProof/>
        </w:rPr>
        <w:t>Den materiella rättsliga grunden för förslaget till beslut är därför artikel 207.3 och 207.4 första stycket i EUF-fördraget.</w:t>
      </w:r>
    </w:p>
    <w:p>
      <w:pPr>
        <w:pStyle w:val="ManualHeading2"/>
        <w:rPr>
          <w:noProof/>
        </w:rPr>
      </w:pPr>
      <w:r>
        <w:t>4.3.</w:t>
      </w:r>
      <w:r>
        <w:tab/>
      </w:r>
      <w:r>
        <w:rPr>
          <w:noProof/>
        </w:rPr>
        <w:t>Slutsats</w:t>
      </w:r>
    </w:p>
    <w:p>
      <w:pPr>
        <w:rPr>
          <w:noProof/>
        </w:rPr>
      </w:pPr>
      <w:r>
        <w:rPr>
          <w:noProof/>
        </w:rPr>
        <w:t>Den rättsliga grunden för det föreslagna beslutet bör vara artikel 207.3 och 207.4 första stycket i EUF-fördraget jämförd med artikel 218.9 i EUF-fördraget.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2019/0244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i den gemensamma genomförandekommitté som inrättats i enlighet med artikel 18 i det frivilliga partnerskapsavtalet mellan Europeiska unionen och Socialistiska republiken Vietnam om skogslagstiftningens efterlevnad och förvaltning av och handel med skog, vad gäller antagandet av arbetsordning för gemensamma genomförandekommittén</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 särskilt artikel 207.3 och 207.4 första stycket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Det frivilliga partnerskapsavtalet mellan Europeiska unionen och Socialistiska republiken Vietnam om skogslagstiftningens efterlevnad och förvaltning av och handel med skog (nedan kallat </w:t>
      </w:r>
      <w:r>
        <w:rPr>
          <w:i/>
          <w:iCs/>
          <w:noProof/>
        </w:rPr>
        <w:t>avtalet</w:t>
      </w:r>
      <w:r>
        <w:rPr>
          <w:noProof/>
        </w:rPr>
        <w:t>) ingicks av unionen genom rådets beslut (EU) 2019/854 av den 15 april 2019</w:t>
      </w:r>
      <w:r>
        <w:rPr>
          <w:rStyle w:val="FootnoteReference"/>
          <w:noProof/>
        </w:rPr>
        <w:footnoteReference w:id="2"/>
      </w:r>
      <w:r>
        <w:rPr>
          <w:noProof/>
        </w:rPr>
        <w:t xml:space="preserve"> och trädde i kraft den 1 juni 2019. </w:t>
      </w:r>
    </w:p>
    <w:p>
      <w:pPr>
        <w:pStyle w:val="ManualConsidrant"/>
        <w:rPr>
          <w:noProof/>
        </w:rPr>
      </w:pPr>
      <w:r>
        <w:t>(2)</w:t>
      </w:r>
      <w:r>
        <w:tab/>
      </w:r>
      <w:r>
        <w:rPr>
          <w:noProof/>
        </w:rPr>
        <w:t xml:space="preserve">Enligt artikel 18.3 i avtalet ska gemensamma genomförandekommittén (nedan kallad </w:t>
      </w:r>
      <w:r>
        <w:rPr>
          <w:i/>
          <w:iCs/>
          <w:noProof/>
        </w:rPr>
        <w:t>gemensamma kommittén</w:t>
      </w:r>
      <w:r>
        <w:rPr>
          <w:noProof/>
        </w:rPr>
        <w:t>) anta sin arbetsordning.</w:t>
      </w:r>
    </w:p>
    <w:p>
      <w:pPr>
        <w:pStyle w:val="ManualConsidrant"/>
        <w:rPr>
          <w:noProof/>
        </w:rPr>
      </w:pPr>
      <w:r>
        <w:t>(3)</w:t>
      </w:r>
      <w:r>
        <w:tab/>
      </w:r>
      <w:r>
        <w:rPr>
          <w:noProof/>
        </w:rPr>
        <w:t xml:space="preserve">Gemensamma kommittén ska vid sitt möte den 13 november 2019 anta sin arbetsordning. </w:t>
      </w:r>
    </w:p>
    <w:p>
      <w:pPr>
        <w:pStyle w:val="ManualConsidrant"/>
        <w:rPr>
          <w:noProof/>
        </w:rPr>
      </w:pPr>
      <w:r>
        <w:t>(4)</w:t>
      </w:r>
      <w:r>
        <w:tab/>
      </w:r>
      <w:r>
        <w:rPr>
          <w:noProof/>
        </w:rPr>
        <w:t>Det är lämpligt att fastställa den ståndpunkt som ska intas på unionens vägnar i gemensamma kommittén, eftersom arbetsordningen kommer att vara bindande för unionen.</w:t>
      </w:r>
    </w:p>
    <w:p>
      <w:pPr>
        <w:pStyle w:val="ManualConsidrant"/>
        <w:rPr>
          <w:noProof/>
        </w:rPr>
      </w:pPr>
      <w:r>
        <w:t>(5)</w:t>
      </w:r>
      <w:r>
        <w:tab/>
      </w:r>
      <w:r>
        <w:rPr>
          <w:noProof/>
        </w:rPr>
        <w:t>Gemensamma kommittén bör vid sitt första möte anta den arbetsordning som bifogas detta beslut, för att säkerställa ett smidigt och öppet samarbete mellan Europeiska unionen och Socialistiska republiken Vietnam redan från början när det gäller genomförandet av avtalet och så småningom av EU:s licenssystem för skogslagstiftningens efterlevnad samt förvaltning av och handel med skog.</w:t>
      </w:r>
    </w:p>
    <w:p>
      <w:pPr>
        <w:pStyle w:val="Formuledadoption"/>
        <w:rPr>
          <w:noProof/>
        </w:rPr>
      </w:pPr>
      <w:r>
        <w:rPr>
          <w:noProof/>
        </w:rPr>
        <w:t>HÄRIGENOM FÖRESKRIVS FÖLJANDE.</w:t>
      </w:r>
    </w:p>
    <w:p>
      <w:pPr>
        <w:pStyle w:val="Titrearticle"/>
        <w:rPr>
          <w:noProof/>
        </w:rPr>
      </w:pPr>
      <w:r>
        <w:rPr>
          <w:noProof/>
        </w:rPr>
        <w:t>Artikel 1</w:t>
      </w:r>
    </w:p>
    <w:p>
      <w:pPr>
        <w:rPr>
          <w:noProof/>
        </w:rPr>
      </w:pPr>
    </w:p>
    <w:p>
      <w:pPr>
        <w:pStyle w:val="ManualNumPar1"/>
        <w:rPr>
          <w:noProof/>
        </w:rPr>
      </w:pPr>
      <w:r>
        <w:t>1.</w:t>
      </w:r>
      <w:r>
        <w:tab/>
      </w:r>
      <w:r>
        <w:rPr>
          <w:noProof/>
        </w:rPr>
        <w:t xml:space="preserve">Den ståndpunkt som ska intas på unionens vägnar under det första mötet i gemensamma kommittén ska grundas på det utkast till arbetsordning för gemensamma kommittén som åtföljer detta beslut. </w:t>
      </w:r>
    </w:p>
    <w:p>
      <w:pPr>
        <w:pStyle w:val="ManualNumPar1"/>
        <w:rPr>
          <w:noProof/>
        </w:rPr>
      </w:pPr>
      <w:r>
        <w:lastRenderedPageBreak/>
        <w:t>2.</w:t>
      </w:r>
      <w:r>
        <w:tab/>
      </w:r>
      <w:r>
        <w:rPr>
          <w:noProof/>
        </w:rPr>
        <w:t>Mot bakgrund av utvecklingen vid den kommande partskonferensen får unionens företrädare, i samråd med medlemsstaterna under samordningsmöten på plats, godkänna mindre ändringar av det utkast till arbetsordning som åtföljer detta beslut utan ett nytt rådsbeslut.</w:t>
      </w:r>
    </w:p>
    <w:p>
      <w:pPr>
        <w:pStyle w:val="Titrearticle"/>
        <w:rPr>
          <w:noProof/>
        </w:rPr>
      </w:pPr>
      <w:r>
        <w:rPr>
          <w:noProof/>
        </w:rPr>
        <w:t>Artikel 2</w:t>
      </w:r>
    </w:p>
    <w:p>
      <w:pPr>
        <w:rPr>
          <w:noProof/>
        </w:rPr>
      </w:pPr>
      <w:r>
        <w:rPr>
          <w:noProof/>
        </w:rPr>
        <w:t>Detta beslut riktar sig till kommissionen.</w:t>
      </w:r>
    </w:p>
    <w:p>
      <w:pPr>
        <w:rPr>
          <w:noProof/>
        </w:rPr>
      </w:pP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footnotePr>
        <w:numRestart w:val="eachPage"/>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Domstolens dom av den 7 oktober 2014, Tyskland/rådet, C-399/12, ECLI:EU:C:2014:2258, punkterna 61–64. </w:t>
      </w:r>
    </w:p>
  </w:footnote>
  <w:footnote w:id="2">
    <w:p>
      <w:pPr>
        <w:pStyle w:val="FootnoteText"/>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A4BF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4A71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5EBA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6E11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089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BA8B9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1A1BEC"/>
    <w:lvl w:ilvl="0">
      <w:start w:val="1"/>
      <w:numFmt w:val="decimal"/>
      <w:pStyle w:val="ListNumber"/>
      <w:lvlText w:val="%1."/>
      <w:lvlJc w:val="left"/>
      <w:pPr>
        <w:tabs>
          <w:tab w:val="num" w:pos="360"/>
        </w:tabs>
        <w:ind w:left="360" w:hanging="360"/>
      </w:pPr>
    </w:lvl>
  </w:abstractNum>
  <w:abstractNum w:abstractNumId="7">
    <w:nsid w:val="FFFFFF89"/>
    <w:multiLevelType w:val="singleLevel"/>
    <w:tmpl w:val="5C4662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8 16:02:0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4308E26-2B8B-4B94-9AE0-503B35B1B1C4"/>
    <w:docVar w:name="LW_COVERPAGE_TYPE" w:val="1"/>
    <w:docVar w:name="LW_CROSSREFERENCE" w:val="&lt;UNUSED&gt;"/>
    <w:docVar w:name="LW_DocType" w:val="COM"/>
    <w:docVar w:name="LW_EMISSION" w:val="31.10.2019"/>
    <w:docVar w:name="LW_EMISSION_ISODATE" w:val="2019-10-31"/>
    <w:docVar w:name="LW_EMISSION_LOCATION" w:val="BRX"/>
    <w:docVar w:name="LW_EMISSION_PREFIX" w:val="Bry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44"/>
    <w:docVar w:name="LW_REF.II.NEW.CP_YEAR" w:val="2019"/>
    <w:docVar w:name="LW_REF.INST.NEW" w:val="COM"/>
    <w:docVar w:name="LW_REF.INST.NEW_ADOPTED" w:val="final"/>
    <w:docVar w:name="LW_REF.INST.NEW_TEXT" w:val="(2019) 5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i den gemensamma genomförandekommitté som inrättats i enlighet med artikel 18 i det frivilliga partnerskapsavtalet mellan Europeiska unionen och Socialistiska republiken Vietnam om skogslagstiftningens efterlevnad och förvaltning av och handel med skog, vad gäller antagandet av arbetsordning för gemensamma genomförandekommittén"/>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outputecli">
    <w:name w:val="outputecli"/>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outputecli">
    <w:name w:val="outputecli"/>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E60F-378B-482B-B262-546DB935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1314</Words>
  <Characters>8177</Characters>
  <Application>Microsoft Office Word</Application>
  <DocSecurity>0</DocSecurity>
  <Lines>148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2019-10-24T13:59:00Z</dcterms:created>
  <dcterms:modified xsi:type="dcterms:W3CDTF">2019-10-28T15:02:00Z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