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53215F1-90A4-4B70-B49C-0BD6301C692E"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rPr>
          <w:rFonts w:eastAsia="Arial Unicode MS"/>
          <w:noProof/>
        </w:rPr>
      </w:pPr>
      <w:r>
        <w:rPr>
          <w:noProof/>
        </w:rPr>
        <w:t>Šis priekšlikums ir par lēmumu, ar kuru nosaka nostāju, kas Apvienotajā īstenošanas komitejā (AĪK), kura izveidota atbilstīgi 18. pantam Brīvprātīgu partnerattiecību nolīgumā starp Eiropas Savienību un Vjetnamas Sociālistisko Republiku par meža tiesību aktu ieviešanu, pārvaldību un tirdzniecību, Eiropas Savienības vārdā jāieņem saistībā ar AĪK reglamenta paredzamo pieņemšanu</w:t>
      </w:r>
    </w:p>
    <w:p>
      <w:pPr>
        <w:pStyle w:val="ManualHeading1"/>
        <w:rPr>
          <w:noProof/>
        </w:rPr>
      </w:pPr>
      <w:r>
        <w:t>2.</w:t>
      </w:r>
      <w:r>
        <w:tab/>
      </w:r>
      <w:r>
        <w:rPr>
          <w:noProof/>
        </w:rPr>
        <w:t>Priekšlikuma konteksts</w:t>
      </w:r>
    </w:p>
    <w:p>
      <w:pPr>
        <w:pStyle w:val="ManualHeading2"/>
        <w:rPr>
          <w:noProof/>
        </w:rPr>
      </w:pPr>
      <w:r>
        <w:t>2.1.</w:t>
      </w:r>
      <w:r>
        <w:tab/>
      </w:r>
      <w:r>
        <w:rPr>
          <w:noProof/>
        </w:rPr>
        <w:t>Brīvprātīgu partnerattiecību nolīgums starp Eiropas Savienību un Vjetnamas Sociālistisko Republiku par meža tiesību aktu ieviešanu, pārvaldību un tirdzniecību</w:t>
      </w:r>
    </w:p>
    <w:p>
      <w:pPr>
        <w:rPr>
          <w:rFonts w:eastAsia="Arial Unicode MS"/>
          <w:noProof/>
        </w:rPr>
      </w:pPr>
      <w:r>
        <w:rPr>
          <w:noProof/>
        </w:rPr>
        <w:t>Brīvprātīgu partnerattiecību nolīgums starp Eiropas Savienību un Vjetnamas Sociālistisko Republiku par meža tiesību aktu ieviešanu, pārvaldību un tirdzniecību (“nolīgums”) tiecas nodrošināt, ka visi nolīguma aptvertie kokmateriāli un koka izstrādājumi, kurus Eiropas Savienībā importē no Vjetnamas Sociālistiskās Republikas, ir iegūti likumīgi. Tas tiks panākts, izveidojot un īstenojot Vjetnamas Kokmateriālu likumīguma nodrošināšanas sistēmu (“</w:t>
      </w:r>
      <w:r>
        <w:rPr>
          <w:i/>
          <w:iCs/>
          <w:noProof/>
        </w:rPr>
        <w:t>VNTLAS</w:t>
      </w:r>
      <w:r>
        <w:rPr>
          <w:noProof/>
        </w:rPr>
        <w:t>”), kas izmantojama, lai verificētu, ka kokmateriāli un koka izstrādājumi ir iegūti likumīgi, un lai nodrošinātu, ka uz Savienību tiek eksportēti tikai šādi verificēti sūtījumi. Nolīgums stājās spēkā 2019. gada 1. jūnijā</w:t>
      </w:r>
      <w:r>
        <w:t>.</w:t>
      </w:r>
    </w:p>
    <w:p>
      <w:pPr>
        <w:pStyle w:val="ManualHeading2"/>
        <w:rPr>
          <w:noProof/>
        </w:rPr>
      </w:pPr>
      <w:r>
        <w:t>2.2.</w:t>
      </w:r>
      <w:r>
        <w:tab/>
      </w:r>
      <w:r>
        <w:rPr>
          <w:noProof/>
        </w:rPr>
        <w:t>Apvienotā īstenošanas komiteja</w:t>
      </w:r>
    </w:p>
    <w:p>
      <w:pPr>
        <w:rPr>
          <w:rFonts w:eastAsiaTheme="majorEastAsia"/>
          <w:b/>
          <w:bCs/>
          <w:noProof/>
          <w:szCs w:val="26"/>
        </w:rPr>
      </w:pPr>
      <w:r>
        <w:rPr>
          <w:noProof/>
        </w:rPr>
        <w:t>Nolīguma 18. pantā paredzētā un nolīguma IX pielikumā sīkāk aprakstītā AĪK kalpo mērķim atvieglot šā nolīguma pārvaldību, uzraudzību un izskatīšanu. AĪK sekmē arī dialogu un informācijas apmaiņu starp nolīguma pusēm. AĪK lēmumus pieņem vienprātīgi. AĪK līdzpriekšsēdētāji ir ministra vietnieks no Lauksaimniecības un lauku attīstības ministrijas un delegācijas vadītājs no Eiropas Savienības delegācijas Vjetnamas Sociālistiskajā Republikā.</w:t>
      </w:r>
    </w:p>
    <w:p>
      <w:pPr>
        <w:pStyle w:val="ManualHeading2"/>
        <w:rPr>
          <w:noProof/>
        </w:rPr>
      </w:pPr>
      <w:r>
        <w:t>2.3.</w:t>
      </w:r>
      <w:r>
        <w:tab/>
      </w:r>
      <w:r>
        <w:rPr>
          <w:noProof/>
        </w:rPr>
        <w:t>Paredzētais AĪK akts</w:t>
      </w:r>
    </w:p>
    <w:p>
      <w:pPr>
        <w:rPr>
          <w:rFonts w:eastAsia="Arial Unicode MS"/>
          <w:noProof/>
        </w:rPr>
      </w:pPr>
      <w:r>
        <w:rPr>
          <w:noProof/>
        </w:rPr>
        <w:t>Pirmajā sanāksmē</w:t>
      </w:r>
      <w:r>
        <w:t xml:space="preserve"> </w:t>
      </w:r>
      <w:r>
        <w:rPr>
          <w:noProof/>
        </w:rPr>
        <w:t>2019. gada 11.–15. novembrī AĪK</w:t>
      </w:r>
      <w:r>
        <w:t xml:space="preserve"> </w:t>
      </w:r>
      <w:r>
        <w:rPr>
          <w:noProof/>
        </w:rPr>
        <w:t>ir jāpieņem savs reglaments</w:t>
      </w:r>
      <w:r>
        <w:t xml:space="preserve"> </w:t>
      </w:r>
      <w:r>
        <w:rPr>
          <w:noProof/>
        </w:rPr>
        <w:t>(“paredzētais akts”).</w:t>
      </w:r>
    </w:p>
    <w:p>
      <w:pPr>
        <w:rPr>
          <w:rFonts w:eastAsia="Arial Unicode MS"/>
          <w:noProof/>
        </w:rPr>
      </w:pPr>
      <w:r>
        <w:rPr>
          <w:noProof/>
        </w:rPr>
        <w:t>Paredzētā akta mērķis ir reglamentēt veidu, kā nolīguma puses sadarbojas AĪK satvarā. Tajā aprakstīts tās sastāvs, iespēja izveidot tai padotas palīgstruktūras, tās sekretariāts un AĪK sanāksmju organizēšanas kārtība. Paredzētais akts nosaka, ka saskaņā ar nolīgumā doto pilnvarojumu AĪK lēmumus un ieteikumus pieņem vienprātīgi, izmantojot rakstisku procedūru, kuru veido notu apmaiņa.</w:t>
      </w:r>
    </w:p>
    <w:p>
      <w:pPr>
        <w:pStyle w:val="ManualHeading1"/>
        <w:rPr>
          <w:rFonts w:eastAsia="Arial Unicode MS"/>
          <w:noProof/>
        </w:rPr>
      </w:pPr>
      <w:r>
        <w:t>3.</w:t>
      </w:r>
      <w:r>
        <w:tab/>
      </w:r>
      <w:r>
        <w:rPr>
          <w:noProof/>
        </w:rPr>
        <w:t>Savienības vārdā ieņemamā nostāja</w:t>
      </w:r>
    </w:p>
    <w:p>
      <w:pPr>
        <w:rPr>
          <w:noProof/>
        </w:rPr>
      </w:pPr>
      <w:r>
        <w:rPr>
          <w:noProof/>
        </w:rPr>
        <w:t>Paredzētais akts nosaka nostāju, kas Savienības vārdā attiecībā uz AĪK reglamenta pieņemšanu jāieņem AĪK, kura izveidota saskaņā ar nolīguma 18. pantu.</w:t>
      </w:r>
    </w:p>
    <w:p>
      <w:pPr>
        <w:rPr>
          <w:noProof/>
        </w:rPr>
      </w:pPr>
      <w:r>
        <w:rPr>
          <w:noProof/>
        </w:rPr>
        <w:t>Nolīguma puses ir vienojušās par reglamenta projektu. Ievērojot Savienības lēmumu pieņemšanas procedūras, tas būtu jāpieņem AĪK pirmajā sanāksmē, kura plānota 2019. gada novembrī.</w:t>
      </w:r>
    </w:p>
    <w:p>
      <w:pPr>
        <w:rPr>
          <w:noProof/>
        </w:rPr>
      </w:pPr>
      <w:r>
        <w:rPr>
          <w:noProof/>
        </w:rPr>
        <w:t>Pievienotais AĪK reglaments ir ļoti līdzīgs tiem, ko pieņēmušas apvienotās īstenošanas komitejas, kuras izveidotas ar citiem brīvprātīgu partnerattiecību nolīgumiem.</w:t>
      </w:r>
    </w:p>
    <w:p>
      <w:pPr>
        <w:rPr>
          <w:noProof/>
        </w:rPr>
      </w:pPr>
      <w:r>
        <w:rPr>
          <w:noProof/>
        </w:rPr>
        <w:lastRenderedPageBreak/>
        <w:t xml:space="preserve">Šā dokumenta pieņemšana ir būtiska, lai nolīguma noteikumi būtu darbotiesspējīgi. Konkrētāk, tas ļauj AĪK īstenot nolīguma 9. pantu (neatrisināmas domstarpības vai grūtības, kas rodas ar </w:t>
      </w:r>
      <w:r>
        <w:rPr>
          <w:i/>
          <w:iCs/>
          <w:noProof/>
        </w:rPr>
        <w:t>FLEGT</w:t>
      </w:r>
      <w:r>
        <w:rPr>
          <w:noProof/>
        </w:rPr>
        <w:t xml:space="preserve"> licencēm saistītajās apspriedēs), 10. pantu (neatkarīgā izvērtētāja darba rezultātā radušās sūdzības, kas nodotas izskatīšanai Apvienotajā īstenošanas komitejā), 12. pantu (paziņošana, </w:t>
      </w:r>
      <w:r>
        <w:rPr>
          <w:i/>
          <w:iCs/>
          <w:noProof/>
        </w:rPr>
        <w:t>FLEGT</w:t>
      </w:r>
      <w:r>
        <w:rPr>
          <w:noProof/>
        </w:rPr>
        <w:t xml:space="preserve"> licencēšanas sistēmas neatkarīga novērtējuma pasūtīšana un ieteikums par dienu, kad pilnībā sāks darboties </w:t>
      </w:r>
      <w:r>
        <w:rPr>
          <w:i/>
          <w:iCs/>
          <w:noProof/>
        </w:rPr>
        <w:t>FLEGT</w:t>
      </w:r>
      <w:r>
        <w:rPr>
          <w:noProof/>
        </w:rPr>
        <w:t xml:space="preserve"> licencēšanas sistēma), 18. pantu (Apvienotās īstenošanas komitejas izveide un darbība) un nolīguma IX pielikumu (Apvienotās īstenošanas komitejas funkcijas).</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w:t>
      </w:r>
      <w:r>
        <w:rPr>
          <w:i/>
          <w:iCs/>
          <w:noProof/>
        </w:rPr>
        <w:t>nostāju, kas Savienības vārdā jāapstiprina kādā ar nolīgumu izveidotā struktūrā, ja šāda struktūra ir tiesīga pieņemt lēmumus ar juridiskām sekām, izņemot lēmumus, kas papildina vai groza attiecīgajā nolīgumā noteikto iestāžu sistēmu</w:t>
      </w:r>
      <w:r>
        <w:rPr>
          <w:noProof/>
        </w:rPr>
        <w:t>”.</w:t>
      </w:r>
    </w:p>
    <w:p>
      <w:pPr>
        <w:rPr>
          <w:noProof/>
        </w:rPr>
      </w:pPr>
      <w:r>
        <w:rPr>
          <w:noProof/>
        </w:rPr>
        <w:t>Jēdziens “</w:t>
      </w:r>
      <w:r>
        <w:rPr>
          <w:i/>
          <w:iCs/>
          <w:noProof/>
        </w:rPr>
        <w:t>lēmumi ar juridiskām sekām</w:t>
      </w:r>
      <w:r>
        <w:rPr>
          <w:noProof/>
        </w:rPr>
        <w:t>” ietver aktus, kam ir juridiskas sekas saskaņā ar starptautisko tiesību normām, kuras reglamentē attiecīgo struktūru. Tas ietver arī instrumentus, kam nav saistoša spēka saskaņā ar starptautiskajām tiesībām, bet kas “</w:t>
      </w:r>
      <w:r>
        <w:rPr>
          <w:i/>
          <w:iCs/>
          <w:noProof/>
        </w:rPr>
        <w:t>var būtiski ietekmēt Savienības likumdevēja pieņemtā tiesiskā regulējuma saturu</w:t>
      </w:r>
      <w:r>
        <w:rPr>
          <w:noProof/>
        </w:rPr>
        <w:t>”</w:t>
      </w:r>
      <w:r>
        <w:rPr>
          <w:rStyle w:val="FootnoteReference"/>
          <w:noProof/>
        </w:rPr>
        <w:footnoteReference w:id="1"/>
      </w:r>
      <w:r>
        <w:rPr>
          <w:noProof/>
        </w:rPr>
        <w:t>.</w:t>
      </w:r>
    </w:p>
    <w:p>
      <w:pPr>
        <w:pStyle w:val="ManualHeading3"/>
        <w:rPr>
          <w:noProof/>
        </w:rPr>
      </w:pPr>
      <w:r>
        <w:t>4.1.2.</w:t>
      </w:r>
      <w:r>
        <w:tab/>
      </w:r>
      <w:r>
        <w:rPr>
          <w:noProof/>
        </w:rPr>
        <w:t>Piemērošana konkrētajā gadījumā</w:t>
      </w:r>
    </w:p>
    <w:p>
      <w:pPr>
        <w:rPr>
          <w:noProof/>
        </w:rPr>
      </w:pPr>
      <w:r>
        <w:rPr>
          <w:noProof/>
        </w:rPr>
        <w:t>AĪK ir struktūra, kas izveidota ar nolīgumu, proti, ar Brīvprātīgu partnerattiecību nolīgumu starp Eiropas Savienību un Vjetnamas Sociālistisko Republiku par meža tiesību aktu ieviešanu, pārvaldību un tirdzniecību</w:t>
      </w:r>
      <w:r>
        <w:t>.</w:t>
      </w:r>
    </w:p>
    <w:p>
      <w:pPr>
        <w:rPr>
          <w:noProof/>
        </w:rPr>
      </w:pPr>
      <w:r>
        <w:rPr>
          <w:noProof/>
        </w:rPr>
        <w:t>Akts, ko AĪK tiek aicināta pieņemt, ir akts ar juridiskām sekām, jo tas reglamentē veidu, kā nolīguma puses sadarbojas nolīguma īstenošanā, arī attiecībā uz tā pielikumu grozījumu iespējamu pieņemšanu.</w:t>
      </w:r>
    </w:p>
    <w:p>
      <w:pPr>
        <w:rPr>
          <w:noProof/>
        </w:rPr>
      </w:pPr>
      <w:r>
        <w:rPr>
          <w:noProof/>
        </w:rPr>
        <w:t>Paredzētais akts nepapildina un negroza nolīgumā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galvenokārt ir atkarīgs no tā, kāds mērķis un saturs ir paredzētajam aktam, attiecībā uz kuru Savienības vārdā tiek ieņemta nostāja. Ja paredzētajam aktam ir divi mērķi vai divi komponenti un viens no tiem ir atzīstams par galveno, bet otram ir pakārtota nozīme,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 xml:space="preserve">Paredzētā akta galvenais mērķis un saturs parasti attiecas uz to starptautisko struktūru darbību, kas izveidotas uz nolīguma pamata. No minētā izriet, ka joma, uz kuru attiecas apstrīdētais lēmums, ir jānosaka, ņemot vērā nolīgumu kopumā (lieta C-244/17 Komisija/Padome </w:t>
      </w:r>
      <w:r>
        <w:rPr>
          <w:noProof/>
        </w:rPr>
        <w:lastRenderedPageBreak/>
        <w:t xml:space="preserve">(Kazahstāna), </w:t>
      </w:r>
      <w:r>
        <w:rPr>
          <w:rStyle w:val="outputecli"/>
          <w:noProof/>
        </w:rPr>
        <w:t>ECLI:EU:C:2018:662</w:t>
      </w:r>
      <w:r>
        <w:rPr>
          <w:noProof/>
        </w:rPr>
        <w:t>). Nolīgums tiecas izveidot tiesisko regulējumu, kura mērķis ir nodrošināt, ka visi nolīguma aptvertie kokmateriāli un koka izstrādājumi, kurus Eiropas Savienībā importē no Vjetnamas Sociālistiskās Republikas, ir iegūti likumīgi. Nolīguma galvenais komponents ir kopējā tirdzniecības politika.</w:t>
      </w:r>
    </w:p>
    <w:p>
      <w:pPr>
        <w:rPr>
          <w:noProof/>
        </w:rPr>
      </w:pPr>
      <w:r>
        <w:rPr>
          <w:noProof/>
        </w:rPr>
        <w:t>Tāpēc ierosinātā lēmuma materiālais juridiskais pamats ir LESD 207. panta 3. punkts un 207. panta 4. punkta pirmā daļa.</w:t>
      </w:r>
    </w:p>
    <w:p>
      <w:pPr>
        <w:pStyle w:val="ManualHeading2"/>
        <w:rPr>
          <w:noProof/>
        </w:rPr>
      </w:pPr>
      <w:r>
        <w:t>4.3.</w:t>
      </w:r>
      <w:r>
        <w:tab/>
      </w:r>
      <w:r>
        <w:rPr>
          <w:noProof/>
        </w:rPr>
        <w:t>Secinājums</w:t>
      </w:r>
    </w:p>
    <w:p>
      <w:pPr>
        <w:rPr>
          <w:noProof/>
        </w:rPr>
      </w:pPr>
      <w:r>
        <w:rPr>
          <w:noProof/>
        </w:rPr>
        <w:t>Ierosinātā lēmuma juridiskajam pamatam vajadzētu būt LESD 207. panta 3. punktam un 207. panta 4. punkta pirmajai daļai saistībā ar LESD 218. panta 9. punktu.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2019/0244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Apvienotajā īstenošanas komitejā, kura izveidota atbilstīgi 18. pantam Brīvprātīgu partnerattiecību nolīgumā starp Eiropas Savienību un Vjetnamas Sociālistisko Republiku par meža tiesību aktu ieviešanu, pārvaldību un tirdzniecību, Eiropas Savienības vārdā jāieņem saistībā ar Apvienotās īstenošanas komitejas reglamenta pieņemšanu</w:t>
      </w:r>
    </w:p>
    <w:p>
      <w:pPr>
        <w:pStyle w:val="Institutionquiagit"/>
        <w:rPr>
          <w:b/>
          <w:noProof/>
        </w:rPr>
      </w:pPr>
      <w:r>
        <w:rPr>
          <w:b/>
          <w:noProof/>
        </w:rPr>
        <w:t>EIROPAS SAVIENĪBAS PADOME,</w:t>
      </w:r>
    </w:p>
    <w:p>
      <w:pPr>
        <w:rPr>
          <w:noProof/>
        </w:rPr>
      </w:pPr>
      <w:r>
        <w:rPr>
          <w:noProof/>
        </w:rPr>
        <w:t>ņemot vērā Līgumu par Eiropas Savienības darbību un jo īpaši tā 207. panta 3. punktu un 207. panta 4. punkta pirmo daļu</w:t>
      </w:r>
      <w:r>
        <w:t xml:space="preserve"> </w:t>
      </w:r>
      <w:r>
        <w:rPr>
          <w:noProof/>
        </w:rPr>
        <w:t>saistībā ar tā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Brīvprātīgu partnerattiecību nolīgumu starp Eiropas Savienību un Vjetnamas Sociālistisko Republiku par meža tiesību aktu ieviešanu, pārvaldību un tirdzniecību (“nolīgums”) Savienība noslēdza ar Padomes 2019. gada 15. aprīļa Lēmumu (ES) 2019/854</w:t>
      </w:r>
      <w:r>
        <w:rPr>
          <w:rStyle w:val="FootnoteReference"/>
          <w:noProof/>
        </w:rPr>
        <w:footnoteReference w:id="2"/>
      </w:r>
      <w:r>
        <w:rPr>
          <w:noProof/>
        </w:rPr>
        <w:t>, un tas stājās spēkā 2019. gada 1. jūnijā.</w:t>
      </w:r>
    </w:p>
    <w:p>
      <w:pPr>
        <w:pStyle w:val="ManualConsidrant"/>
        <w:rPr>
          <w:noProof/>
        </w:rPr>
      </w:pPr>
      <w:r>
        <w:t>(2)</w:t>
      </w:r>
      <w:r>
        <w:tab/>
      </w:r>
      <w:r>
        <w:rPr>
          <w:noProof/>
        </w:rPr>
        <w:t>Atbilstīgi nolīguma 18. panta 3. punktam nolīguma Apvienotā īstenošanas komiteja (“AĪK”) pieņem savu reglamentu</w:t>
      </w:r>
      <w:r>
        <w:t>.</w:t>
      </w:r>
    </w:p>
    <w:p>
      <w:pPr>
        <w:pStyle w:val="ManualConsidrant"/>
        <w:rPr>
          <w:noProof/>
        </w:rPr>
      </w:pPr>
      <w:r>
        <w:t>(3)</w:t>
      </w:r>
      <w:r>
        <w:tab/>
      </w:r>
      <w:r>
        <w:rPr>
          <w:noProof/>
        </w:rPr>
        <w:t>AĪK reglaments jāpieņem 2019. gada 13. novembra sanāksmē.</w:t>
      </w:r>
    </w:p>
    <w:p>
      <w:pPr>
        <w:pStyle w:val="ManualConsidrant"/>
        <w:rPr>
          <w:noProof/>
        </w:rPr>
      </w:pPr>
      <w:r>
        <w:t>(4)</w:t>
      </w:r>
      <w:r>
        <w:tab/>
      </w:r>
      <w:r>
        <w:rPr>
          <w:noProof/>
        </w:rPr>
        <w:t>Ir lietderīgi noteikt nostāju, kas Savienības vārdā jāieņem AĪK</w:t>
      </w:r>
      <w:r>
        <w:t>,</w:t>
      </w:r>
      <w:r>
        <w:rPr>
          <w:noProof/>
        </w:rPr>
        <w:t xml:space="preserve"> jo tās reglaments Savienībai būs saistošs.</w:t>
      </w:r>
    </w:p>
    <w:p>
      <w:pPr>
        <w:pStyle w:val="ManualConsidrant"/>
        <w:rPr>
          <w:noProof/>
        </w:rPr>
      </w:pPr>
      <w:r>
        <w:t>(5)</w:t>
      </w:r>
      <w:r>
        <w:tab/>
      </w:r>
      <w:r>
        <w:rPr>
          <w:noProof/>
        </w:rPr>
        <w:t>Lai nolīguma un galu galā ES meža tiesību aktu ieviešanas, pārvaldības un tirdzniecības licencēšanas sistēmas īstenošanā jau no paša sākuma nodrošinātu raitu un pārredzamu Eiropas Savienības un Vjetnamas Sociālistiskās Republikas sadarbību, šim lēmumam pievienotais reglaments būtu jāpieņem AĪK pirmajā sanāksmē,</w:t>
      </w:r>
    </w:p>
    <w:p>
      <w:pPr>
        <w:pStyle w:val="Formuledadoption"/>
        <w:rPr>
          <w:noProof/>
        </w:rPr>
      </w:pPr>
      <w:r>
        <w:rPr>
          <w:noProof/>
        </w:rPr>
        <w:t>IR PIEŅĒMUSI ŠO LĒMUMU.</w:t>
      </w:r>
    </w:p>
    <w:p>
      <w:pPr>
        <w:pStyle w:val="Titrearticle"/>
        <w:rPr>
          <w:noProof/>
        </w:rPr>
      </w:pPr>
      <w:r>
        <w:rPr>
          <w:noProof/>
        </w:rPr>
        <w:t>1. pants</w:t>
      </w:r>
    </w:p>
    <w:p>
      <w:pPr>
        <w:rPr>
          <w:noProof/>
        </w:rPr>
      </w:pPr>
    </w:p>
    <w:p>
      <w:pPr>
        <w:pStyle w:val="ManualNumPar1"/>
        <w:rPr>
          <w:noProof/>
        </w:rPr>
      </w:pPr>
      <w:r>
        <w:t>1.</w:t>
      </w:r>
      <w:r>
        <w:tab/>
      </w:r>
      <w:r>
        <w:rPr>
          <w:noProof/>
        </w:rPr>
        <w:t>Nostāja, kas Savienības vārdā jāieņem AĪK pirmajā sanāksmē, pamatojas uz šim lēmumam pievienoto AĪK reglamenta projektu.</w:t>
      </w:r>
    </w:p>
    <w:p>
      <w:pPr>
        <w:pStyle w:val="ManualNumPar1"/>
        <w:rPr>
          <w:noProof/>
        </w:rPr>
      </w:pPr>
      <w:r>
        <w:t>2.</w:t>
      </w:r>
      <w:r>
        <w:tab/>
      </w:r>
      <w:r>
        <w:rPr>
          <w:noProof/>
        </w:rPr>
        <w:t>Nelielām izmaiņām šim lēmumam pievienotajā reglamenta projektā Savienības pārstāvji, ņemot vērā norises gaidāmajā pušu konferencē un apspriežoties ar dalībvalstīm koordinācijas sanāksmēs uz vietas, drīkst piekrist bez jauna Padomes lēmuma.</w:t>
      </w:r>
    </w:p>
    <w:p>
      <w:pPr>
        <w:pStyle w:val="Titrearticle"/>
        <w:rPr>
          <w:noProof/>
        </w:rPr>
      </w:pPr>
      <w:r>
        <w:rPr>
          <w:noProof/>
        </w:rPr>
        <w:lastRenderedPageBreak/>
        <w:t>2. pants</w:t>
      </w:r>
    </w:p>
    <w:p>
      <w:pPr>
        <w:rPr>
          <w:noProof/>
        </w:rPr>
      </w:pPr>
      <w:r>
        <w:rPr>
          <w:noProof/>
        </w:rPr>
        <w:t>Šis lēmums ir adresēts Komisijai.</w:t>
      </w:r>
    </w:p>
    <w:p>
      <w:pPr>
        <w:rPr>
          <w:noProof/>
        </w:rPr>
      </w:pP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Tiesas spriedums, 2014. gada 7. oktobris, Vācija/Padome, C-399/12, ECLI:EU:C:2014:2258, 61.–64. punkts. </w:t>
      </w:r>
    </w:p>
  </w:footnote>
  <w:footnote w:id="2">
    <w:p>
      <w:pPr>
        <w:pStyle w:val="FootnoteText"/>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A4BF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4A71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5EBA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6E11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089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BA8B9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1A1BEC"/>
    <w:lvl w:ilvl="0">
      <w:start w:val="1"/>
      <w:numFmt w:val="decimal"/>
      <w:pStyle w:val="ListNumber"/>
      <w:lvlText w:val="%1."/>
      <w:lvlJc w:val="left"/>
      <w:pPr>
        <w:tabs>
          <w:tab w:val="num" w:pos="360"/>
        </w:tabs>
        <w:ind w:left="360" w:hanging="360"/>
      </w:pPr>
    </w:lvl>
  </w:abstractNum>
  <w:abstractNum w:abstractNumId="7">
    <w:nsid w:val="FFFFFF89"/>
    <w:multiLevelType w:val="singleLevel"/>
    <w:tmpl w:val="5C466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5:58: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3215F1-90A4-4B70-B49C-0BD6301C692E"/>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44"/>
    <w:docVar w:name="LW_REF.II.NEW.CP_YEAR" w:val="2019"/>
    <w:docVar w:name="LW_REF.INST.NEW" w:val="COM"/>
    <w:docVar w:name="LW_REF.INST.NEW_ADOPTED" w:val="final"/>
    <w:docVar w:name="LW_REF.INST.NEW_TEXT" w:val="(2019)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Apvienotaj\u257? \u299?steno\u353?anas komitej\u257?, kura izveidota atbilst\u299?gi 18. pantam Br\u299?vpr\u257?t\u299?gu partnerattiec\u299?bu nol\u299?gum\u257? starp Eiropas Savien\u299?bu un Vjetnamas Soci\u257?listisko Republiku par me\u382?a ties\u299?bu aktu ievie\u353?anu, p\u257?rvald\u299?bu un tirdzniec\u299?bu, Eiropas Savien\u299?bas v\u257?rd\u257? j\u257?ie\u326?em saist\u299?b\u257? ar Apvienot\u257?s \u299?steno\u353?anas komitejas reglamenta pie\u326?em\u353?an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outputecli">
    <w:name w:val="outputecli"/>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outputecli">
    <w:name w:val="outputecli"/>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64DC-BA82-475E-BF18-446D3FC0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1093</Words>
  <Characters>7269</Characters>
  <Application>Microsoft Office Word</Application>
  <DocSecurity>0</DocSecurity>
  <Lines>134</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2019-10-23T07:57:00Z</dcterms:created>
  <dcterms:modified xsi:type="dcterms:W3CDTF">2019-10-28T14:58:00Z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