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D9209E0-64AD-46EC-BB7B-1780ADA18AB1" style="width:450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jc w:val="center"/>
        <w:rPr>
          <w:b/>
          <w:bCs/>
          <w:noProof/>
        </w:rPr>
      </w:pPr>
      <w:r>
        <w:rPr>
          <w:b/>
          <w:bCs/>
          <w:noProof/>
        </w:rPr>
        <w:t xml:space="preserve">Pozicija, kurios Europos Sąjungos vardu turi būti laikomasi Tarptautinėje civilinės aviacijos organizacijoje, dėl Tarptautinės civilinės aviacijos konvencijos (Čikagos konvencijos) 17 priedo („Saugumas“) peržiūros (17 pakeitimo) </w:t>
      </w:r>
    </w:p>
    <w:p>
      <w:pPr>
        <w:rPr>
          <w:b/>
          <w:bCs/>
          <w:noProof/>
        </w:rPr>
      </w:pPr>
      <w:r>
        <w:rPr>
          <w:b/>
          <w:bCs/>
          <w:noProof/>
        </w:rPr>
        <w:t xml:space="preserve">Bendrieji principai </w:t>
      </w:r>
    </w:p>
    <w:p>
      <w:pPr>
        <w:rPr>
          <w:noProof/>
        </w:rPr>
      </w:pPr>
      <w:r>
        <w:rPr>
          <w:noProof/>
        </w:rPr>
        <w:t xml:space="preserve">Vykdydamos Tarptautinės civilinės aviacijos organizacijos (ICAO) veiklą, susijusią su Čikagos konvencijos 17 priedo („Saugumas“) peržiūra (17 pakeitimu), kuria siekiama parengti standartus ir rekomenduojamą praktiką (SRP), valstybės narės, veikdamos kartu Sąjungos interesų labui: </w:t>
      </w:r>
    </w:p>
    <w:p>
      <w:pPr>
        <w:pStyle w:val="Point0letter"/>
        <w:numPr>
          <w:ilvl w:val="1"/>
          <w:numId w:val="1"/>
        </w:numPr>
        <w:rPr>
          <w:noProof/>
        </w:rPr>
      </w:pPr>
      <w:r>
        <w:rPr>
          <w:noProof/>
        </w:rPr>
        <w:t xml:space="preserve">vadovaujasi tikslais, kurių Sąjunga siekia vykdydama aviacijos saugumo politiką visų pirma tam, kad Europos Sąjungoje apsaugotų asmenis bei prekes ir civiliniuose orlaiviuose užkirstų kelią neteisėtiems veiksmams, kurie kelia pavojų civilinės aviacijos saugumui; </w:t>
      </w:r>
    </w:p>
    <w:p>
      <w:pPr>
        <w:pStyle w:val="Point0letter"/>
        <w:numPr>
          <w:ilvl w:val="1"/>
          <w:numId w:val="1"/>
        </w:numPr>
        <w:rPr>
          <w:noProof/>
        </w:rPr>
      </w:pPr>
      <w:r>
        <w:rPr>
          <w:noProof/>
        </w:rPr>
        <w:t>prisideda prie aviacijos saugumo didinimo pasaulio mastu, taikydamos bendrąsias taisykles, kuriomis siekiama apsaugoti civilinę aviaciją nuo neteisėtų veiksmų, ir užtikrindamos tų taisyklių taikymą;</w:t>
      </w:r>
    </w:p>
    <w:p>
      <w:pPr>
        <w:pStyle w:val="Point0letter"/>
        <w:numPr>
          <w:ilvl w:val="1"/>
          <w:numId w:val="1"/>
        </w:numPr>
        <w:rPr>
          <w:noProof/>
        </w:rPr>
      </w:pPr>
      <w:r>
        <w:rPr>
          <w:noProof/>
        </w:rPr>
        <w:t>toliau padeda ICAO rengti saugumo standartus, padedančius apsaugoti civilinę aviaciją nuo neteisėtų veiksmų, vadovaudamosi 2016 m. rugsėjo 22 d. Jungtinių Tautų Saugumo Tarybos rezoliucija Nr. 2309</w:t>
      </w:r>
      <w:r>
        <w:rPr>
          <w:rStyle w:val="FootnoteReference"/>
          <w:noProof/>
        </w:rPr>
        <w:footnoteReference w:id="1"/>
      </w:r>
      <w:r>
        <w:rPr>
          <w:noProof/>
        </w:rPr>
        <w:t xml:space="preserve">. </w:t>
      </w:r>
    </w:p>
    <w:p>
      <w:pPr>
        <w:rPr>
          <w:noProof/>
        </w:rPr>
      </w:pPr>
      <w:r>
        <w:rPr>
          <w:b/>
          <w:bCs/>
          <w:noProof/>
        </w:rPr>
        <w:t xml:space="preserve">Pozicija dėl 17 priedo („Saugumas“) peržiūros (17 pakeitimo). </w:t>
      </w:r>
      <w:r>
        <w:rPr>
          <w:noProof/>
        </w:rPr>
        <w:t xml:space="preserve">Valstybės narės, veikdamos kartu Sąjungos interesų labui, pritaria siūlomam 17 priedo 17 pakeitimui.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2016 m. rugsėjo 22 d. per Saugumo Tarybos 7775-ąjį posėdį priimta Rezoliucija Nr. 2309 (2016) „Teroro aktų keliama grėsmė tarptautinei taikai ir saugumui. Aviacijos saugumas“.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092E1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1CFF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DC8C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3053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52C92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886B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984CB8"/>
    <w:lvl w:ilvl="0">
      <w:start w:val="1"/>
      <w:numFmt w:val="decimal"/>
      <w:pStyle w:val="ListNumber"/>
      <w:lvlText w:val="%1."/>
      <w:lvlJc w:val="left"/>
      <w:pPr>
        <w:tabs>
          <w:tab w:val="num" w:pos="360"/>
        </w:tabs>
        <w:ind w:left="360" w:hanging="360"/>
      </w:pPr>
    </w:lvl>
  </w:abstractNum>
  <w:abstractNum w:abstractNumId="7">
    <w:nsid w:val="FFFFFF89"/>
    <w:multiLevelType w:val="singleLevel"/>
    <w:tmpl w:val="C9C41B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9 09:02: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9D9209E0-64AD-46EC-BB7B-1780ADA18AB1"/>
    <w:docVar w:name="LW_COVERPAGE_TYPE" w:val="1"/>
    <w:docVar w:name="LW_CROSSREFERENCE" w:val="&lt;UNUSED&gt;"/>
    <w:docVar w:name="LW_DocType" w:val="ANNEX"/>
    <w:docVar w:name="LW_EMISSION" w:val="2019 10 31"/>
    <w:docVar w:name="LW_EMISSION_ISODATE" w:val="2019-10-31"/>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i b\u363?ti laikomasi Tarptautin\u279?je civilin\u279?s aviacijos organizacijoje, d\u279?l Tarptautin\u279?s civilin\u279?s aviacijos konvencijos 17 priedo (\u8222?Saugumas\u8220?) per\u382?i\u363?ros (17 pakeitimo)"/>
    <w:docVar w:name="LW_OBJETACTEPRINCIPAL.CP" w:val="d\u279?l pozicijos, kurios Europos S\u261?jungos vardu turi b\u363?ti laikomasi Tarptautin\u279?je civilin\u279?s aviacijos organizacijoje, d\u279?l Tarptautin\u279?s civilin\u279?s aviacijos konvencijos 17 priedo (\u8222?Saugumas\u8220?) per\u382?i\u363?ros (17 pakeitimo)"/>
    <w:docVar w:name="LW_PART_NBR" w:val="1"/>
    <w:docVar w:name="LW_PART_NBR_TOTAL" w:val="1"/>
    <w:docVar w:name="LW_REF.INST.NEW" w:val="COM"/>
    <w:docVar w:name="LW_REF.INST.NEW_ADOPTED" w:val="final"/>
    <w:docVar w:name="LW_REF.INST.NEW_TEXT" w:val="(2019)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objet">
    <w:name w:val="Titre objet"/>
    <w:basedOn w:val="Normal"/>
    <w:next w:val="Normal"/>
    <w:pPr>
      <w:spacing w:before="180" w:after="180"/>
      <w:jc w:val="center"/>
    </w:pPr>
    <w:rPr>
      <w:b/>
    </w:rPr>
  </w:style>
  <w:style w:type="paragraph" w:styleId="List">
    <w:name w:val="List"/>
    <w:basedOn w:val="Normal"/>
    <w:uiPriority w:val="99"/>
    <w:semiHidden/>
    <w:unhideWhenUsed/>
    <w:pPr>
      <w:ind w:left="283" w:hanging="283"/>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objet">
    <w:name w:val="Titre objet"/>
    <w:basedOn w:val="Normal"/>
    <w:next w:val="Normal"/>
    <w:pPr>
      <w:spacing w:before="180" w:after="180"/>
      <w:jc w:val="center"/>
    </w:pPr>
    <w:rPr>
      <w:b/>
    </w:rPr>
  </w:style>
  <w:style w:type="paragraph" w:styleId="List">
    <w:name w:val="List"/>
    <w:basedOn w:val="Normal"/>
    <w:uiPriority w:val="99"/>
    <w:semiHidden/>
    <w:unhideWhenUsed/>
    <w:pPr>
      <w:ind w:left="283" w:hanging="283"/>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562">
      <w:bodyDiv w:val="1"/>
      <w:marLeft w:val="0"/>
      <w:marRight w:val="0"/>
      <w:marTop w:val="0"/>
      <w:marBottom w:val="0"/>
      <w:divBdr>
        <w:top w:val="none" w:sz="0" w:space="0" w:color="auto"/>
        <w:left w:val="none" w:sz="0" w:space="0" w:color="auto"/>
        <w:bottom w:val="none" w:sz="0" w:space="0" w:color="auto"/>
        <w:right w:val="none" w:sz="0" w:space="0" w:color="auto"/>
      </w:divBdr>
    </w:div>
    <w:div w:id="252474082">
      <w:bodyDiv w:val="1"/>
      <w:marLeft w:val="0"/>
      <w:marRight w:val="0"/>
      <w:marTop w:val="0"/>
      <w:marBottom w:val="0"/>
      <w:divBdr>
        <w:top w:val="none" w:sz="0" w:space="0" w:color="auto"/>
        <w:left w:val="none" w:sz="0" w:space="0" w:color="auto"/>
        <w:bottom w:val="none" w:sz="0" w:space="0" w:color="auto"/>
        <w:right w:val="none" w:sz="0" w:space="0" w:color="auto"/>
      </w:divBdr>
    </w:div>
    <w:div w:id="521361243">
      <w:bodyDiv w:val="1"/>
      <w:marLeft w:val="0"/>
      <w:marRight w:val="0"/>
      <w:marTop w:val="0"/>
      <w:marBottom w:val="0"/>
      <w:divBdr>
        <w:top w:val="none" w:sz="0" w:space="0" w:color="auto"/>
        <w:left w:val="none" w:sz="0" w:space="0" w:color="auto"/>
        <w:bottom w:val="none" w:sz="0" w:space="0" w:color="auto"/>
        <w:right w:val="none" w:sz="0" w:space="0" w:color="auto"/>
      </w:divBdr>
    </w:div>
    <w:div w:id="770206820">
      <w:bodyDiv w:val="1"/>
      <w:marLeft w:val="0"/>
      <w:marRight w:val="0"/>
      <w:marTop w:val="0"/>
      <w:marBottom w:val="0"/>
      <w:divBdr>
        <w:top w:val="none" w:sz="0" w:space="0" w:color="auto"/>
        <w:left w:val="none" w:sz="0" w:space="0" w:color="auto"/>
        <w:bottom w:val="none" w:sz="0" w:space="0" w:color="auto"/>
        <w:right w:val="none" w:sz="0" w:space="0" w:color="auto"/>
      </w:divBdr>
    </w:div>
    <w:div w:id="830482533">
      <w:bodyDiv w:val="1"/>
      <w:marLeft w:val="0"/>
      <w:marRight w:val="0"/>
      <w:marTop w:val="0"/>
      <w:marBottom w:val="0"/>
      <w:divBdr>
        <w:top w:val="none" w:sz="0" w:space="0" w:color="auto"/>
        <w:left w:val="none" w:sz="0" w:space="0" w:color="auto"/>
        <w:bottom w:val="none" w:sz="0" w:space="0" w:color="auto"/>
        <w:right w:val="none" w:sz="0" w:space="0" w:color="auto"/>
      </w:divBdr>
    </w:div>
    <w:div w:id="961497648">
      <w:bodyDiv w:val="1"/>
      <w:marLeft w:val="0"/>
      <w:marRight w:val="0"/>
      <w:marTop w:val="0"/>
      <w:marBottom w:val="0"/>
      <w:divBdr>
        <w:top w:val="none" w:sz="0" w:space="0" w:color="auto"/>
        <w:left w:val="none" w:sz="0" w:space="0" w:color="auto"/>
        <w:bottom w:val="none" w:sz="0" w:space="0" w:color="auto"/>
        <w:right w:val="none" w:sz="0" w:space="0" w:color="auto"/>
      </w:divBdr>
    </w:div>
    <w:div w:id="1198658087">
      <w:bodyDiv w:val="1"/>
      <w:marLeft w:val="0"/>
      <w:marRight w:val="0"/>
      <w:marTop w:val="0"/>
      <w:marBottom w:val="0"/>
      <w:divBdr>
        <w:top w:val="none" w:sz="0" w:space="0" w:color="auto"/>
        <w:left w:val="none" w:sz="0" w:space="0" w:color="auto"/>
        <w:bottom w:val="none" w:sz="0" w:space="0" w:color="auto"/>
        <w:right w:val="none" w:sz="0" w:space="0" w:color="auto"/>
      </w:divBdr>
    </w:div>
    <w:div w:id="1371615811">
      <w:bodyDiv w:val="1"/>
      <w:marLeft w:val="0"/>
      <w:marRight w:val="0"/>
      <w:marTop w:val="0"/>
      <w:marBottom w:val="0"/>
      <w:divBdr>
        <w:top w:val="none" w:sz="0" w:space="0" w:color="auto"/>
        <w:left w:val="none" w:sz="0" w:space="0" w:color="auto"/>
        <w:bottom w:val="none" w:sz="0" w:space="0" w:color="auto"/>
        <w:right w:val="none" w:sz="0" w:space="0" w:color="auto"/>
      </w:divBdr>
    </w:div>
    <w:div w:id="1515336424">
      <w:bodyDiv w:val="1"/>
      <w:marLeft w:val="0"/>
      <w:marRight w:val="0"/>
      <w:marTop w:val="0"/>
      <w:marBottom w:val="0"/>
      <w:divBdr>
        <w:top w:val="none" w:sz="0" w:space="0" w:color="auto"/>
        <w:left w:val="none" w:sz="0" w:space="0" w:color="auto"/>
        <w:bottom w:val="none" w:sz="0" w:space="0" w:color="auto"/>
        <w:right w:val="none" w:sz="0" w:space="0" w:color="auto"/>
      </w:divBdr>
    </w:div>
    <w:div w:id="1565677967">
      <w:bodyDiv w:val="1"/>
      <w:marLeft w:val="0"/>
      <w:marRight w:val="0"/>
      <w:marTop w:val="0"/>
      <w:marBottom w:val="0"/>
      <w:divBdr>
        <w:top w:val="none" w:sz="0" w:space="0" w:color="auto"/>
        <w:left w:val="none" w:sz="0" w:space="0" w:color="auto"/>
        <w:bottom w:val="none" w:sz="0" w:space="0" w:color="auto"/>
        <w:right w:val="none" w:sz="0" w:space="0" w:color="auto"/>
      </w:divBdr>
    </w:div>
    <w:div w:id="1704555594">
      <w:bodyDiv w:val="1"/>
      <w:marLeft w:val="0"/>
      <w:marRight w:val="0"/>
      <w:marTop w:val="0"/>
      <w:marBottom w:val="0"/>
      <w:divBdr>
        <w:top w:val="none" w:sz="0" w:space="0" w:color="auto"/>
        <w:left w:val="none" w:sz="0" w:space="0" w:color="auto"/>
        <w:bottom w:val="none" w:sz="0" w:space="0" w:color="auto"/>
        <w:right w:val="none" w:sz="0" w:space="0" w:color="auto"/>
      </w:divBdr>
    </w:div>
    <w:div w:id="20448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79F7BE-1762-4E08-AA5F-53DFC5EA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Pages>
  <Words>165</Words>
  <Characters>1208</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 MANSILLA Maria (HOME)</dc:creator>
  <cp:keywords/>
  <dc:description/>
  <cp:lastModifiedBy>WES PDFC Administrator</cp:lastModifiedBy>
  <cp:revision>9</cp:revision>
  <dcterms:created xsi:type="dcterms:W3CDTF">2019-10-24T14:34:00Z</dcterms:created>
  <dcterms:modified xsi:type="dcterms:W3CDTF">2019-10-29T08:02:00Z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