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06" w:rsidRDefault="00AF5F19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F512F-CFC0-4E91-8021-16D993EC5CE4" style="width:451.5pt;height:351.75pt">
            <v:imagedata r:id="rId8" o:title=""/>
          </v:shape>
        </w:pict>
      </w:r>
    </w:p>
    <w:p w:rsidR="006B0006" w:rsidRDefault="006B0006">
      <w:pPr>
        <w:rPr>
          <w:noProof/>
        </w:rPr>
        <w:sectPr w:rsidR="006B0006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6B0006" w:rsidRDefault="00AF5F19">
      <w:pPr>
        <w:pStyle w:val="Exposdesmotifstitre"/>
        <w:rPr>
          <w:noProof/>
        </w:rPr>
      </w:pPr>
      <w:r>
        <w:rPr>
          <w:noProof/>
        </w:rPr>
        <w:lastRenderedPageBreak/>
        <w:t>INDOKOLÁS</w:t>
      </w:r>
    </w:p>
    <w:p w:rsidR="006B0006" w:rsidRDefault="00AF5F19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A JAVASLAT HÁTTERE</w:t>
      </w:r>
    </w:p>
    <w:p w:rsidR="006B0006" w:rsidRDefault="00AF5F19"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A javaslat indokai és céljai</w:t>
      </w:r>
    </w:p>
    <w:p w:rsidR="006B0006" w:rsidRDefault="00AF5F19">
      <w:pPr>
        <w:rPr>
          <w:rFonts w:eastAsia="Arial Unicode MS"/>
          <w:noProof/>
        </w:rPr>
      </w:pPr>
      <w:r>
        <w:rPr>
          <w:noProof/>
        </w:rPr>
        <w:t>Az elmúlt években sikerült előrehaladást elérni az EU és Belarusz közötti kapcsolatok terén, és a két fél közötti kétoldalú árukereskedelem volumene folyamatosan nőtt. Belarusz teljes kereskedelmének csaknem egyharmadát az Európai Unióval bonyolítja, amely</w:t>
      </w:r>
      <w:r>
        <w:rPr>
          <w:noProof/>
        </w:rPr>
        <w:t xml:space="preserve"> ezáltal az ország második legfontosabb kereskedelmi partnere. Ugyanakkor az uniós tagállamok vámhatóságai által lefoglalt tiltott dohánytermékek jelentős (a becslések szerint 15 %-ot meghaladó) hányada belarusz gyárakból származik. A dohánytermékek tiltot</w:t>
      </w:r>
      <w:r>
        <w:rPr>
          <w:noProof/>
        </w:rPr>
        <w:t xml:space="preserve">t kereskedelme évente </w:t>
      </w:r>
      <w:bookmarkStart w:id="0" w:name="_GoBack"/>
      <w:bookmarkEnd w:id="0"/>
      <w:r>
        <w:rPr>
          <w:noProof/>
        </w:rPr>
        <w:t>10 milliárd EUR összegűre</w:t>
      </w:r>
      <w:r w:rsidRPr="00AF5F19">
        <w:rPr>
          <w:noProof/>
        </w:rPr>
        <w:t xml:space="preserve"> </w:t>
      </w:r>
      <w:hyperlink r:id="rId10" w:tgtFrame="_blank" w:history="1">
        <w:r w:rsidRPr="00AF5F19">
          <w:rPr>
            <w:rStyle w:val="Hyperlink"/>
            <w:noProof/>
            <w:color w:val="auto"/>
            <w:u w:val="none"/>
          </w:rPr>
          <w:t>becsült</w:t>
        </w:r>
      </w:hyperlink>
      <w:r>
        <w:rPr>
          <w:noProof/>
        </w:rPr>
        <w:t xml:space="preserve"> jövedelemkiesést okoz a tagállamok és az Unió költségvetésének. Ezenkívül a dohánytermékek tiltott ker</w:t>
      </w:r>
      <w:r>
        <w:rPr>
          <w:noProof/>
        </w:rPr>
        <w:t>eskedelme aláássa az uniós és a nemzeti közegészségügyi politikákat, és ily módon szerepet játszik abban, hogy minden évben nagy számban fordulnak elő dohányzással összefüggő halálesetek. Az Unió 2013-ban a dohánytermékek tiltott kereskedelme elleni fellép</w:t>
      </w:r>
      <w:r>
        <w:rPr>
          <w:noProof/>
        </w:rPr>
        <w:t>ésre irányuló átfogó stratégiát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fogadott el, amely ma is releváns</w:t>
      </w:r>
      <w:r>
        <w:rPr>
          <w:rStyle w:val="FootnoteReference"/>
          <w:noProof/>
        </w:rPr>
        <w:footnoteReference w:id="3"/>
      </w:r>
      <w:r>
        <w:rPr>
          <w:noProof/>
        </w:rPr>
        <w:t>. A stratégia egyik kulcsfontosságú eleme a főbb származási és tranzitországokkal való együttműködés fokozása. Ezért a javaslat válasz az uniós tagállamok és vállalkozásaik által kifejezésr</w:t>
      </w:r>
      <w:r>
        <w:rPr>
          <w:noProof/>
        </w:rPr>
        <w:t>e juttatott, a Belarusz viszonylatában megvalósítandó vámügyi együttműködés és kölcsönös adminisztratív segítségnyújtás jogi keretének létrehozása iránti igényre.</w:t>
      </w:r>
    </w:p>
    <w:p w:rsidR="006B0006" w:rsidRDefault="00AF5F19">
      <w:pPr>
        <w:rPr>
          <w:noProof/>
        </w:rPr>
      </w:pPr>
      <w:r>
        <w:rPr>
          <w:noProof/>
        </w:rPr>
        <w:t>A sajátos történelmi kontextusból kifolyólag Belarusz az egyetlen olyan ország az Unió keleti</w:t>
      </w:r>
      <w:r>
        <w:rPr>
          <w:noProof/>
        </w:rPr>
        <w:t xml:space="preserve"> szomszédságában és az Eurázsiai Gazdasági Unió országai között, amely tekintetében az Unió nem rendelkezik a vámügyi együttműködésre és a kölcsönös adminisztratív segítségnyújtásra vonatkozó hivatalos jogalappal. Ezért szükség van egy olyan nemzetközi meg</w:t>
      </w:r>
      <w:r>
        <w:rPr>
          <w:noProof/>
        </w:rPr>
        <w:t xml:space="preserve">állapodásra, amely jogalapot biztosít a vámügyi együttműködéshez, különösen a szállítási lánc védelme és a kereskedelmi eljárások egyszerűsítése terén, valamint a vámjogszabályok megsértésének megelőzésére, kivizsgálására és leküzdésére irányuló kölcsönös </w:t>
      </w:r>
      <w:r>
        <w:rPr>
          <w:noProof/>
        </w:rPr>
        <w:t>adminisztratív segítségnyújtáshoz. A Belarusszal kötendő megállapodás megfelelő eszköze lesz a vámcsalás elleni küzdelemnek.</w:t>
      </w:r>
    </w:p>
    <w:p w:rsidR="006B0006" w:rsidRDefault="00AF5F19">
      <w:pPr>
        <w:rPr>
          <w:noProof/>
        </w:rPr>
      </w:pPr>
      <w:r>
        <w:rPr>
          <w:noProof/>
        </w:rPr>
        <w:t>Tekintettel az Unió és Belarusz közötti kapcsolatok általános fejlődésére, eljött a pillanat, hogy pótoljuk ezt az EU-nak a szomszé</w:t>
      </w:r>
      <w:r>
        <w:rPr>
          <w:noProof/>
        </w:rPr>
        <w:t>daival a vámügyek terén fenntartott kapcsolataiban mutatkozó hiányt. Ez a kezdeményezés összhangban van a Belaruszra vonatkozó 2016. februári tanácsi következtetésekkel, amelyek szerint az EU továbbra is nyitott az Unió és Belarusz közötti kapcsolatok tová</w:t>
      </w:r>
      <w:r>
        <w:rPr>
          <w:noProof/>
        </w:rPr>
        <w:t>bbfejlesztésére, valamint arra, hogy további lépéseket tegyen a politikai kapcsolatok és az ágazati együttműködés fokozására a megfelelő kontextusban. A kezdeményezés frissebb előzményei között említendők az EU–Belarusz koordinációs csoport 2019. április 2</w:t>
      </w:r>
      <w:r>
        <w:rPr>
          <w:noProof/>
        </w:rPr>
        <w:t>5-i ülése és Günther Oettinger biztos 2019. februári minszki látogatása keretében kialakított politikai kapcsolatok. A Belarusszal való együttműködés megerősítése kulcsfontosságú eleme a Bizottság által a 2018–2022-es időszakra vonatkozóan 2018 decemberébe</w:t>
      </w:r>
      <w:r>
        <w:rPr>
          <w:noProof/>
        </w:rPr>
        <w:t>n elfogadott, a dohánytermékek tiltott kereskedelme elleni küzdelmet célzó cselekvési tervnek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is.</w:t>
      </w:r>
    </w:p>
    <w:p w:rsidR="006B0006" w:rsidRDefault="00AF5F19">
      <w:pPr>
        <w:rPr>
          <w:rFonts w:eastAsia="Arial Unicode MS"/>
          <w:noProof/>
        </w:rPr>
      </w:pPr>
      <w:r>
        <w:rPr>
          <w:noProof/>
        </w:rPr>
        <w:t>E kezdeményezés nem tartozik a célravezető szabályozás (REFIT) program hatálya alá.</w:t>
      </w:r>
    </w:p>
    <w:p w:rsidR="006B0006" w:rsidRDefault="00AF5F19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A javaslatnak a szabályozási terület jelenlegi rendelkezéseivel való ös</w:t>
      </w:r>
      <w:r>
        <w:rPr>
          <w:noProof/>
        </w:rPr>
        <w:t>szhangja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Bizottság a keleti szomszédságunkban lévő valamennyi országgal és az Eurázsiai Gazdasági Unió összes többi tagországával – Oroszországgal</w:t>
      </w:r>
      <w:r>
        <w:rPr>
          <w:rStyle w:val="FootnoteReference"/>
          <w:noProof/>
        </w:rPr>
        <w:footnoteReference w:id="5"/>
      </w:r>
      <w:r>
        <w:rPr>
          <w:noProof/>
        </w:rPr>
        <w:t>, Örményországgal</w:t>
      </w:r>
      <w:r>
        <w:rPr>
          <w:rStyle w:val="FootnoteReference"/>
          <w:noProof/>
        </w:rPr>
        <w:footnoteReference w:id="6"/>
      </w:r>
      <w:r>
        <w:rPr>
          <w:noProof/>
        </w:rPr>
        <w:t>, Kazahsztánnal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és Kirgizisztánnal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– kötött már a vámügyi együttműködésre és a kölcsönö</w:t>
      </w:r>
      <w:r>
        <w:rPr>
          <w:noProof/>
        </w:rPr>
        <w:t>s adminisztratív segítségnyújtásra vonatkozó rendelkezéseket tartalmazó megállapodásokat.</w:t>
      </w:r>
    </w:p>
    <w:p w:rsidR="006B0006" w:rsidRDefault="00AF5F19"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A javaslat egyéb uniós politikákkal való összhangja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ajánlás összhangban áll az Unió egyéb szakpolitikáival.</w:t>
      </w:r>
    </w:p>
    <w:p w:rsidR="006B0006" w:rsidRDefault="00AF5F19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JOGALAP, SZUBSZIDIARITÁS ÉS ARÁNYOSSÁG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Jogalap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Az eljárási jogalap az Európai Unió működéséről szóló szerződés (EUMSZ) 218. cikkének (3) és (4) bekezdése lesz.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megállapodás tárgya az Unió közös kereskedelempolitikájának részét képezné, ezért a megállapodás aláírásáról és megkötéséről szóló határozato</w:t>
      </w:r>
      <w:r>
        <w:rPr>
          <w:noProof/>
        </w:rPr>
        <w:t>k anyagi jogalapja az EUMSZ 207. cikke lesz.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Szubszidiaritás (nem kizárólagos hatáskör esetén)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kezdeményezés az Európai Unió működéséről szóló szerződés (EUMSZ) 207. cikke értelmében az EU kizárólagos hatáskörébe tartozik (közös kereskedelempolitika). </w:t>
      </w:r>
      <w:r>
        <w:rPr>
          <w:noProof/>
        </w:rPr>
        <w:t>Ezért a szubszidiaritás elve nem alkalmazható.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Arányosság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Bizottság ajánlása összhangban van az arányosság elvével.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Nemzetközi megállapodás a megfelelő és szükséges eszköz a harmadik országgal megvalósítandó vámügyi együttműködés és kölcsönös adminiszt</w:t>
      </w:r>
      <w:r>
        <w:rPr>
          <w:noProof/>
        </w:rPr>
        <w:t>ratív segítségnyújtás jogalapjának megteremtéséhez, valamint azon célkitűzésünk teljesítéséhez, hogy vámügyi együttműködést folytassunk Belarusszal, mivel ez az egyetlen olyan, az EU keleti határán fekvő ország, amellyel még nem kötöttünk vámügyekkel kapcs</w:t>
      </w:r>
      <w:r>
        <w:rPr>
          <w:noProof/>
        </w:rPr>
        <w:t>olatos megállapodást.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 jogi aktus típusának megválasztása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Európai Unió Tanácsának határozata.</w:t>
      </w:r>
    </w:p>
    <w:p w:rsidR="006B0006" w:rsidRDefault="00AF5F19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AZ UTÓLAGOS ÉRTÉKELÉSEK, AZ ÉRDEKELT FELEKKEL FOLYTATOTT KONZULTÁCIÓK ÉS A HATÁSVIZSGÁLATOK EREDMÉNYEI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A jelenleg hatályban lévő jogszabályok utólagos </w:t>
      </w:r>
      <w:r>
        <w:rPr>
          <w:noProof/>
          <w:u w:color="000000"/>
          <w:bdr w:val="nil"/>
        </w:rPr>
        <w:t>értékelése / célravezetőségi vizsgálata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Tárgytalan.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Az érdekelt felekkel folytatott konzultációk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Tárgytalan.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Szakértői vélemények beszerzése és felhasználása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Tárgytalan.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Hatásvizsgálat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megállapodás célja, hogy az EU és Belarusz vámhatóságai közötti</w:t>
      </w:r>
      <w:r>
        <w:rPr>
          <w:noProof/>
        </w:rPr>
        <w:t xml:space="preserve"> együttműködés és kölcsönös adminisztratív segítségnyújtás révén javítsa a vámjogszabályok alkalmazását.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szabályok összehangolása és a Belarusz Köztársasággal folytatandó kommunikáció beindítása kedvező hatást fog gyakorolni e tekintetben.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A </w:t>
      </w:r>
      <w:r>
        <w:rPr>
          <w:noProof/>
        </w:rPr>
        <w:t>vámjogszabályok helyes alkalmazásának kölcsönös adminisztratív segítségnyújtás és vámügyi együttműködés útján történő elősegítése várhatóan kedvező hatást fejt majd ki többek között a vámcsalások, különösen a dohánycsempészet visszaszorítása terén, ami a v</w:t>
      </w:r>
      <w:r>
        <w:rPr>
          <w:noProof/>
        </w:rPr>
        <w:t>ám- és adóbevételek szintjének növekedéséhez fog vezetni az EU-ban.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megállapodás lehetséges szövege – a tárgyalások függvényében – hasonló lenne azon megállapodások szövegéhez, amelyeket az EU a Belarusszal szomszédos országokkal és az Eurázsiai Gazdaság</w:t>
      </w:r>
      <w:r>
        <w:rPr>
          <w:noProof/>
        </w:rPr>
        <w:t>i Unió más országaival kötött; ez utóbbi szervezetnek Belarusz is tagja, és a tagok közös regionális vámkódexet alkalmaznak.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 kölcsönös adminisztratív segítségnyújtást illetően a szöveg jelentős része alaki és eljárási rendelkezéseket tartalmaz, így a ter</w:t>
      </w:r>
      <w:r>
        <w:rPr>
          <w:noProof/>
        </w:rPr>
        <w:t>vezet várhatóan nem módosul érdemben a tárgyalások során.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Célravezető szabályozás és egyszerűsítés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 kezdeményezés nem tartozik a célravezető szabályozás (REFIT) program hatálya alá.</w:t>
      </w:r>
    </w:p>
    <w:p w:rsidR="006B0006" w:rsidRDefault="00AF5F19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Alapjogok</w:t>
      </w:r>
    </w:p>
    <w:p w:rsidR="006B0006" w:rsidRDefault="00AF5F1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Az ajánlás összhangban van az uniós szerződésekkel és az Eu</w:t>
      </w:r>
      <w:r>
        <w:rPr>
          <w:noProof/>
        </w:rPr>
        <w:t>rópai Unió Alapjogi Chartájával.</w:t>
      </w:r>
    </w:p>
    <w:p w:rsidR="006B0006" w:rsidRDefault="00AF5F19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KÖLTSÉGVETÉSI VONZATOK</w:t>
      </w:r>
    </w:p>
    <w:p w:rsidR="006B0006" w:rsidRDefault="00AF5F19">
      <w:pPr>
        <w:spacing w:after="240"/>
        <w:rPr>
          <w:noProof/>
        </w:rPr>
      </w:pPr>
      <w:r>
        <w:rPr>
          <w:noProof/>
        </w:rPr>
        <w:t>A vámügyi együttműködésről és a kölcsönös adminisztratív segítségnyújtásról szóló megállapodás nem lesz közvetlen hatással az EU költségvetésére.</w:t>
      </w:r>
    </w:p>
    <w:p w:rsidR="006B0006" w:rsidRDefault="00AF5F19">
      <w:pPr>
        <w:spacing w:after="240"/>
        <w:rPr>
          <w:noProof/>
        </w:rPr>
      </w:pPr>
      <w:r>
        <w:rPr>
          <w:noProof/>
        </w:rPr>
        <w:t>A megállapodás pénzügyi és igazgatási erőforrásokat</w:t>
      </w:r>
      <w:r>
        <w:rPr>
          <w:noProof/>
        </w:rPr>
        <w:t xml:space="preserve"> igényel a vegyes bizottság felállítása és irányítása, valamint a megállapodás végrehajtását szolgáló lehetséges kiküldetések és megbeszélések kapcsán.</w:t>
      </w:r>
    </w:p>
    <w:p w:rsidR="006B0006" w:rsidRDefault="006B0006">
      <w:pPr>
        <w:rPr>
          <w:noProof/>
        </w:rPr>
        <w:sectPr w:rsidR="006B0006"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6B0006" w:rsidRDefault="00AF5F19">
      <w:pPr>
        <w:pStyle w:val="Statut"/>
        <w:rPr>
          <w:noProof/>
        </w:rPr>
      </w:pPr>
      <w:r>
        <w:rPr>
          <w:noProof/>
        </w:rPr>
        <w:t>Ajánlás</w:t>
      </w:r>
    </w:p>
    <w:p w:rsidR="006B0006" w:rsidRDefault="00AF5F19">
      <w:pPr>
        <w:pStyle w:val="Typedudocument"/>
        <w:rPr>
          <w:noProof/>
        </w:rPr>
      </w:pPr>
      <w:r>
        <w:rPr>
          <w:noProof/>
        </w:rPr>
        <w:t>A TANÁCS HATÁROZATA</w:t>
      </w:r>
    </w:p>
    <w:p w:rsidR="006B0006" w:rsidRDefault="00AF5F19">
      <w:pPr>
        <w:pStyle w:val="Titreobjet"/>
        <w:rPr>
          <w:noProof/>
        </w:rPr>
      </w:pPr>
      <w:r>
        <w:rPr>
          <w:noProof/>
        </w:rPr>
        <w:t xml:space="preserve">az Európai </w:t>
      </w:r>
      <w:r>
        <w:rPr>
          <w:noProof/>
        </w:rPr>
        <w:t>Bizottságnak a Belarusz Köztársasággal kötendő vámügyi együttműködési és kölcsönös adminisztratív segítségnyújtási megállapodásra irányuló tárgyalások megkezdésére való felhatalmazásáról</w:t>
      </w:r>
    </w:p>
    <w:p w:rsidR="006B0006" w:rsidRDefault="00AF5F19"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 w:rsidR="006B0006" w:rsidRDefault="00AF5F19">
      <w:pPr>
        <w:rPr>
          <w:noProof/>
        </w:rPr>
      </w:pPr>
      <w:r>
        <w:rPr>
          <w:noProof/>
        </w:rPr>
        <w:t>tekintettel az Európai Unió működéséről szól</w:t>
      </w:r>
      <w:r>
        <w:rPr>
          <w:noProof/>
        </w:rPr>
        <w:t>ó szerződésre és különösen annak 218. cikke (3) és (4) bekezdésére,</w:t>
      </w:r>
    </w:p>
    <w:p w:rsidR="006B0006" w:rsidRDefault="00AF5F19">
      <w:pPr>
        <w:rPr>
          <w:noProof/>
        </w:rPr>
      </w:pPr>
      <w:r>
        <w:rPr>
          <w:noProof/>
        </w:rPr>
        <w:t>tekintettel az Európai Bizottság ajánlására,</w:t>
      </w:r>
    </w:p>
    <w:p w:rsidR="006B0006" w:rsidRDefault="00AF5F19"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 w:rsidR="006B0006" w:rsidRDefault="00AF5F19">
      <w:pPr>
        <w:pStyle w:val="Titrearticle"/>
        <w:rPr>
          <w:noProof/>
        </w:rPr>
      </w:pPr>
      <w:r>
        <w:rPr>
          <w:noProof/>
        </w:rPr>
        <w:t>1. cikk</w:t>
      </w:r>
    </w:p>
    <w:p w:rsidR="006B0006" w:rsidRDefault="00AF5F19">
      <w:pPr>
        <w:rPr>
          <w:noProof/>
        </w:rPr>
      </w:pPr>
      <w:r>
        <w:rPr>
          <w:noProof/>
        </w:rPr>
        <w:t xml:space="preserve">A Tanács felhatalmazza a Bizottságot arra, hogy az Európai Unió nevében tárgyalásokat kezdjen a Belarusz </w:t>
      </w:r>
      <w:r>
        <w:rPr>
          <w:noProof/>
        </w:rPr>
        <w:t>Köztársasággal a vámügyi együttműködési és kölcsönös adminisztratív segítségnyújtási megállapodásról.</w:t>
      </w:r>
    </w:p>
    <w:p w:rsidR="006B0006" w:rsidRDefault="00AF5F19">
      <w:pPr>
        <w:pStyle w:val="Titrearticle"/>
        <w:rPr>
          <w:noProof/>
        </w:rPr>
      </w:pPr>
      <w:r>
        <w:rPr>
          <w:noProof/>
        </w:rPr>
        <w:t>2. cikk</w:t>
      </w:r>
    </w:p>
    <w:p w:rsidR="006B0006" w:rsidRDefault="00AF5F19">
      <w:pPr>
        <w:rPr>
          <w:noProof/>
        </w:rPr>
      </w:pPr>
      <w:r>
        <w:rPr>
          <w:noProof/>
        </w:rPr>
        <w:t>A tárgyalásokat a mellékletben meghatározott tanácsi tárgyalási irányelvek alapján kell lefolytatni.</w:t>
      </w:r>
    </w:p>
    <w:p w:rsidR="006B0006" w:rsidRDefault="00AF5F19">
      <w:pPr>
        <w:pStyle w:val="Titrearticle"/>
        <w:rPr>
          <w:noProof/>
        </w:rPr>
      </w:pPr>
      <w:r>
        <w:rPr>
          <w:noProof/>
        </w:rPr>
        <w:t>3. cikk</w:t>
      </w:r>
    </w:p>
    <w:p w:rsidR="006B0006" w:rsidRDefault="00AF5F19">
      <w:pPr>
        <w:rPr>
          <w:noProof/>
        </w:rPr>
      </w:pPr>
      <w:r>
        <w:rPr>
          <w:noProof/>
        </w:rPr>
        <w:t>A Bizottság a tárgyalásokat a(z) [a k</w:t>
      </w:r>
      <w:r>
        <w:rPr>
          <w:noProof/>
        </w:rPr>
        <w:t>ülönbizottság nevét a Tanács illeszti be]-gal konzultálva folytatja le.</w:t>
      </w:r>
    </w:p>
    <w:p w:rsidR="006B0006" w:rsidRDefault="00AF5F19">
      <w:pPr>
        <w:pStyle w:val="Titrearticle"/>
        <w:rPr>
          <w:noProof/>
        </w:rPr>
      </w:pPr>
      <w:r>
        <w:rPr>
          <w:noProof/>
        </w:rPr>
        <w:t>4. cikk</w:t>
      </w:r>
    </w:p>
    <w:p w:rsidR="006B0006" w:rsidRDefault="00AF5F19">
      <w:pPr>
        <w:rPr>
          <w:noProof/>
        </w:rPr>
      </w:pPr>
      <w:r>
        <w:rPr>
          <w:noProof/>
        </w:rPr>
        <w:t>Ennek a határozatnak a Bizottság címzettje.</w:t>
      </w:r>
    </w:p>
    <w:p w:rsidR="006B0006" w:rsidRDefault="006B0006">
      <w:pPr>
        <w:rPr>
          <w:noProof/>
        </w:rPr>
      </w:pPr>
    </w:p>
    <w:p w:rsidR="006B0006" w:rsidRDefault="00AF5F19">
      <w:pPr>
        <w:pStyle w:val="Fait"/>
        <w:rPr>
          <w:noProof/>
        </w:rPr>
      </w:pPr>
      <w:r>
        <w:rPr>
          <w:noProof/>
        </w:rPr>
        <w:t>Kelt Brüsszelben, -án/-én.</w:t>
      </w:r>
    </w:p>
    <w:p w:rsidR="006B0006" w:rsidRDefault="00AF5F19"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 w:rsidR="006B0006" w:rsidRDefault="00AF5F19"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 w:rsidR="006B0006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06" w:rsidRDefault="00AF5F19">
      <w:pPr>
        <w:spacing w:before="0" w:after="0"/>
      </w:pPr>
      <w:r>
        <w:separator/>
      </w:r>
    </w:p>
  </w:endnote>
  <w:endnote w:type="continuationSeparator" w:id="0">
    <w:p w:rsidR="006B0006" w:rsidRDefault="00AF5F19">
      <w:pPr>
        <w:spacing w:before="0" w:after="0"/>
      </w:pPr>
      <w:r>
        <w:continuationSeparator/>
      </w:r>
    </w:p>
  </w:endnote>
  <w:endnote w:type="continuationNotice" w:id="1">
    <w:p w:rsidR="006B0006" w:rsidRDefault="006B00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6" w:rsidRDefault="00AF5F1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6" w:rsidRDefault="00AF5F1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6" w:rsidRDefault="006B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06" w:rsidRDefault="00AF5F19">
      <w:pPr>
        <w:spacing w:before="0" w:after="0"/>
      </w:pPr>
      <w:r>
        <w:separator/>
      </w:r>
    </w:p>
  </w:footnote>
  <w:footnote w:type="continuationSeparator" w:id="0">
    <w:p w:rsidR="006B0006" w:rsidRDefault="00AF5F19">
      <w:pPr>
        <w:spacing w:before="0" w:after="0"/>
      </w:pPr>
      <w:r>
        <w:continuationSeparator/>
      </w:r>
    </w:p>
  </w:footnote>
  <w:footnote w:type="continuationNotice" w:id="1">
    <w:p w:rsidR="006B0006" w:rsidRDefault="006B0006">
      <w:pPr>
        <w:spacing w:before="0" w:after="0"/>
      </w:pPr>
    </w:p>
  </w:footnote>
  <w:footnote w:id="2">
    <w:p w:rsidR="006B0006" w:rsidRDefault="00AF5F19">
      <w:pPr>
        <w:pStyle w:val="FootnoteText"/>
        <w:rPr>
          <w:i/>
        </w:rPr>
      </w:pPr>
      <w:r>
        <w:rPr>
          <w:rStyle w:val="FootnoteReference"/>
        </w:rPr>
        <w:footnoteRef/>
      </w:r>
      <w:r>
        <w:rPr>
          <w:i/>
        </w:rPr>
        <w:tab/>
        <w:t>COM(2013) 324.</w:t>
      </w:r>
    </w:p>
  </w:footnote>
  <w:footnote w:id="3">
    <w:p w:rsidR="006B0006" w:rsidRDefault="00AF5F19">
      <w:pPr>
        <w:pStyle w:val="FootnoteText"/>
        <w:rPr>
          <w:i/>
        </w:rPr>
      </w:pPr>
      <w:r>
        <w:rPr>
          <w:rStyle w:val="FootnoteReference"/>
        </w:rPr>
        <w:footnoteRef/>
      </w:r>
      <w:r>
        <w:rPr>
          <w:i/>
        </w:rPr>
        <w:tab/>
        <w:t>COM(2017) 235, E. szakasz.</w:t>
      </w:r>
    </w:p>
  </w:footnote>
  <w:footnote w:id="4">
    <w:p w:rsidR="006B0006" w:rsidRDefault="00AF5F19">
      <w:pPr>
        <w:pStyle w:val="FootnoteText"/>
        <w:rPr>
          <w:i/>
        </w:rPr>
      </w:pPr>
      <w:r>
        <w:rPr>
          <w:rStyle w:val="FootnoteReference"/>
        </w:rPr>
        <w:footnoteRef/>
      </w:r>
      <w:r>
        <w:rPr>
          <w:i/>
        </w:rPr>
        <w:tab/>
        <w:t>COM (2018) 846, A.2.7</w:t>
      </w:r>
      <w:r>
        <w:rPr>
          <w:i/>
        </w:rPr>
        <w:t>. sorszám.</w:t>
      </w:r>
    </w:p>
  </w:footnote>
  <w:footnote w:id="5">
    <w:p w:rsidR="006B0006" w:rsidRDefault="00AF5F19">
      <w:pPr>
        <w:pStyle w:val="FootnoteText"/>
        <w:rPr>
          <w:i/>
        </w:rPr>
      </w:pPr>
      <w:r>
        <w:rPr>
          <w:rStyle w:val="FootnoteReference"/>
        </w:rPr>
        <w:footnoteRef/>
      </w:r>
      <w:r>
        <w:rPr>
          <w:i/>
        </w:rPr>
        <w:tab/>
        <w:t>HL L 327., 1997.11.28., 1. o.</w:t>
      </w:r>
    </w:p>
  </w:footnote>
  <w:footnote w:id="6">
    <w:p w:rsidR="006B0006" w:rsidRDefault="00AF5F19">
      <w:pPr>
        <w:pStyle w:val="FootnoteText"/>
        <w:rPr>
          <w:i/>
        </w:rPr>
      </w:pPr>
      <w:r>
        <w:rPr>
          <w:rStyle w:val="FootnoteReference"/>
        </w:rPr>
        <w:footnoteRef/>
      </w:r>
      <w:r>
        <w:rPr>
          <w:i/>
        </w:rPr>
        <w:tab/>
      </w:r>
      <w:r>
        <w:rPr>
          <w:i/>
          <w:iCs/>
          <w:color w:val="444444"/>
        </w:rPr>
        <w:t>HL L 239., 1999.9.9., 1. o.</w:t>
      </w:r>
    </w:p>
  </w:footnote>
  <w:footnote w:id="7">
    <w:p w:rsidR="006B0006" w:rsidRDefault="00AF5F19">
      <w:pPr>
        <w:pStyle w:val="FootnoteText"/>
      </w:pPr>
      <w:r>
        <w:rPr>
          <w:rStyle w:val="FootnoteReference"/>
        </w:rPr>
        <w:footnoteRef/>
      </w:r>
      <w:r>
        <w:rPr>
          <w:i/>
        </w:rPr>
        <w:tab/>
        <w:t>HL L 29., 2016.2.4., 1. o.</w:t>
      </w:r>
      <w:r>
        <w:t xml:space="preserve"> </w:t>
      </w:r>
    </w:p>
  </w:footnote>
  <w:footnote w:id="8">
    <w:p w:rsidR="006B0006" w:rsidRDefault="00AF5F19">
      <w:pPr>
        <w:pStyle w:val="FootnoteText"/>
        <w:rPr>
          <w:i/>
        </w:rPr>
      </w:pPr>
      <w:r>
        <w:rPr>
          <w:rStyle w:val="FootnoteReference"/>
        </w:rPr>
        <w:footnoteRef/>
      </w:r>
      <w:r>
        <w:rPr>
          <w:i/>
        </w:rPr>
        <w:tab/>
        <w:t>HL L 196., 1999.7.28., 46. 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41A53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5AAC5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0F63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8186F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41E2D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E9E1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3E85D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ECAA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30 08:54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BD1F512F-CFC0-4E91-8021-16D993EC5CE4"/>
    <w:docVar w:name="LW_COVERPAGE_TYPE" w:val="1"/>
    <w:docVar w:name="LW_CROSSREFERENCE" w:val="&lt;UNUSED&gt;"/>
    <w:docVar w:name="LW_DocType" w:val="COM"/>
    <w:docVar w:name="LW_EMISSION" w:val="2019.11.4."/>
    <w:docVar w:name="LW_EMISSION_ISODATE" w:val="2019-11-04"/>
    <w:docVar w:name="LW_EMISSION_LOCATION" w:val="BRX"/>
    <w:docVar w:name="LW_EMISSION_PREFIX" w:val="Brüsszel, "/>
    <w:docVar w:name="LW_EMISSION_SUFFIX" w:val=" "/>
    <w:docVar w:name="LW_ID_DOCMODEL" w:val="SG-001"/>
    <w:docVar w:name="LW_ID_DOCSIGNATURE" w:val="SG-001"/>
    <w:docVar w:name="LW_ID_DOCSTRUCTURE" w:val="COM/PL/ORG/NOEEA"/>
    <w:docVar w:name="LW_ID_DOCTYPE" w:val="SG-001"/>
    <w:docVar w:name="LW_ID_EXP.MOTIFS.NEW" w:val="EM_PL_"/>
    <w:docVar w:name="LW_ID_STATUT" w:val="SG-001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" w:val="Ajánlás"/>
    <w:docVar w:name="LW_STATUT.CP" w:val="Ajánlás"/>
    <w:docVar w:name="LW_SUPERTITRE" w:val="&lt;UNUSED&gt;"/>
    <w:docVar w:name="LW_TITRE.OBJ" w:val="&lt;FMT:Bold&gt;az Európai Bizottságnak a Belarusz Köztársasággal kötend\u337? vámügyi együttm\u369?ködési és kölcsönös adminisztratív segítségnyújtási megállapodásra irányuló tárgyalások megkezdésére való felhatalmazásáról&lt;/FMT&gt;"/>
    <w:docVar w:name="LW_TITRE.OBJ.CP" w:val="&lt;FMT:Bold&gt;az Európai Bizottságnak a Belarusz Köztársasággal kötend\u337? vámügyi együttm\u369?ködési és kölcsönös adminisztratív segítségnyújtási megállapodásra irányuló tárgyalások megkezdésére való felhatalmazásáról&lt;/FMT&gt;"/>
    <w:docVar w:name="LW_TYPE.DOC" w:val="A TANÁCS HATÁROZATA"/>
    <w:docVar w:name="LW_TYPE.DOC.CP" w:val="A TANÁCS HATÁROZATA"/>
  </w:docVars>
  <w:rsids>
    <w:rsidRoot w:val="006B0006"/>
    <w:rsid w:val="006B0006"/>
    <w:rsid w:val="00A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6E3BDCD-D24C-4C74-A041-7433989D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dw.com/en/billions-lost-to-cigarette-smuggling/a-1686012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07D03E-086B-4347-B095-697C2551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2</TotalTime>
  <Pages>5</Pages>
  <Words>986</Words>
  <Characters>7119</Characters>
  <Application>Microsoft Office Word</Application>
  <DocSecurity>0</DocSecurity>
  <Lines>136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SEILER Brigitte (SG)</cp:lastModifiedBy>
  <cp:revision>18</cp:revision>
  <cp:lastPrinted>2019-09-27T13:02:00Z</cp:lastPrinted>
  <dcterms:created xsi:type="dcterms:W3CDTF">2019-10-16T12:33:00Z</dcterms:created>
  <dcterms:modified xsi:type="dcterms:W3CDTF">2019-10-30T09:41:00Z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Yellow (DQC version 03)</vt:lpwstr>
  </property>
</Properties>
</file>