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7DEC4B3-74BE-4820-8F89-755364135778" style="width:450.8pt;height:388.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360"/>
        <w:jc w:val="center"/>
        <w:rPr>
          <w:rFonts w:eastAsia="Calibri"/>
          <w:b/>
          <w:noProof/>
          <w:szCs w:val="22"/>
        </w:rPr>
      </w:pPr>
      <w:bookmarkStart w:id="1" w:name="_GoBack"/>
      <w:bookmarkEnd w:id="1"/>
      <w:r>
        <w:rPr>
          <w:b/>
          <w:noProof/>
          <w:szCs w:val="22"/>
        </w:rPr>
        <w:lastRenderedPageBreak/>
        <w:t>RAPORT AL COMISIEI CĂTRE PARLAMENTUL EUROPEAN ȘI CONSILIU</w:t>
      </w:r>
    </w:p>
    <w:p>
      <w:pPr>
        <w:pStyle w:val="Pagedecouverture"/>
        <w:spacing w:after="360"/>
        <w:jc w:val="center"/>
        <w:rPr>
          <w:b/>
          <w:noProof/>
          <w:szCs w:val="24"/>
        </w:rPr>
      </w:pPr>
      <w:r>
        <w:rPr>
          <w:b/>
          <w:noProof/>
        </w:rPr>
        <w:t>privind punerea în aplicare a Regulamentului (CE) nr. 428/2009 de instituire a unui regim comunitar pentru controlul exporturilor, transferului, serviciilor de intermediere și tranzitului de produse cu dublă utilizare, inclusiv un raport privind exercitarea competenței de a adopta acte delegate conferite Comisiei în conformitate cu Regulamentul (UE) nr. 599/2014 al Parlamentului European și al Consiliului din 16 aprilie 2014 de modificare a Regulamentului (CE) nr. 428/2009 al Consiliului de instituire a unui regim comunitar pentru controlul exporturilor, transferului, serviciilor de intermediere și tranzitului de produse cu dublă utilizare</w:t>
      </w:r>
    </w:p>
    <w:p>
      <w:pPr>
        <w:keepNext/>
        <w:tabs>
          <w:tab w:val="left" w:pos="850"/>
        </w:tabs>
        <w:spacing w:after="120"/>
        <w:ind w:left="850" w:hanging="850"/>
        <w:jc w:val="both"/>
        <w:outlineLvl w:val="0"/>
        <w:rPr>
          <w:rFonts w:eastAsia="Times New Roman"/>
          <w:b/>
          <w:smallCaps/>
          <w:noProof/>
        </w:rPr>
      </w:pPr>
      <w:r>
        <w:rPr>
          <w:b/>
          <w:smallCaps/>
          <w:noProof/>
        </w:rPr>
        <w:t>1.</w:t>
      </w:r>
      <w:r>
        <w:rPr>
          <w:b/>
          <w:smallCaps/>
          <w:noProof/>
        </w:rPr>
        <w:tab/>
        <w:t>Introducere</w:t>
      </w:r>
    </w:p>
    <w:p>
      <w:pPr>
        <w:autoSpaceDE w:val="0"/>
        <w:autoSpaceDN w:val="0"/>
        <w:adjustRightInd w:val="0"/>
        <w:spacing w:before="200" w:after="200"/>
        <w:jc w:val="both"/>
        <w:rPr>
          <w:rFonts w:eastAsia="Times New Roman"/>
          <w:noProof/>
        </w:rPr>
      </w:pPr>
      <w:r>
        <w:rPr>
          <w:noProof/>
        </w:rPr>
        <w:t xml:space="preserve">Articolul 23 alineatul (3) din Regulamentul (CE) nr. 428/2009 (denumit în continuare „regulamentul”) solicită Comisiei să transmită Parlamentului European un raport anual privind activitățile, analizele și consultările Grupului de coordonare pentru produse cu dublă utilizare (denumit în continuare „DUCG” – </w:t>
      </w:r>
      <w:r>
        <w:rPr>
          <w:i/>
          <w:iCs/>
          <w:noProof/>
        </w:rPr>
        <w:t>Dual-Use Coordination Group</w:t>
      </w:r>
      <w:r>
        <w:rPr>
          <w:noProof/>
        </w:rPr>
        <w:t>). De asemenea, conform articolului 25 alineatul (2) din Regulamentul (CE) nr. 428/2009, din trei în trei ani, Comisia prezintă Consiliului și Parlamentului „un raport cuprinzător de punere în aplicare și de evaluare a impactului”. Articolul 25 alineatul (3) prevede că secțiunile speciale ale raportului abordează activitățile Grupului de coordonare pentru produse cu dublă utilizare (DUCG), introducerea unui sistem securizat și criptat de schimb de informații între statele membre și Comisie, precum și punerea în aplicare a articolului 15 alineatele (1) și (2) referitoare la actualizările listelor de control și a articolului 24 privind sancțiunile naționale în cazul încălcării regulamentului. În lumina celor expuse, Comisia a început în 2013 publicarea unor rapoarte anuale de control al exporturilor și a recunoscut, în comunicarea sa din 2014 intitulată „Revizuirea politicii privind controlul exporturilor”</w:t>
      </w:r>
      <w:r>
        <w:rPr>
          <w:rStyle w:val="FootnoteReference"/>
          <w:noProof/>
        </w:rPr>
        <w:footnoteReference w:id="1"/>
      </w:r>
      <w:r>
        <w:rPr>
          <w:noProof/>
        </w:rPr>
        <w:t>, că publicarea unor rapoarte și a unor informații nesensibile referitoare la controale sunt etape esențiale pentru a spori transparența și pentru a îmbunătăți conformitatea operatorilor și capacitatea acestora de a pune în aplicare controalele.</w:t>
      </w:r>
    </w:p>
    <w:p>
      <w:pPr>
        <w:spacing w:before="100" w:beforeAutospacing="1" w:after="100" w:afterAutospacing="1"/>
        <w:jc w:val="both"/>
        <w:rPr>
          <w:rFonts w:eastAsia="Times New Roman"/>
          <w:noProof/>
        </w:rPr>
      </w:pPr>
      <w:r>
        <w:rPr>
          <w:noProof/>
        </w:rPr>
        <w:t>Mai mult, pentru a asigura actualizările periodice și la timp a listei comune de produse cu dublă utilizare în conformitate cu obligațiile și angajamentele asumate de statele membre în cadrul regimurilor internaționale de control al exporturilor, Regulamentul (UE) nr. 599/2014</w:t>
      </w:r>
      <w:r>
        <w:rPr>
          <w:rStyle w:val="FootnoteReference"/>
          <w:noProof/>
        </w:rPr>
        <w:footnoteReference w:id="2"/>
      </w:r>
      <w:r>
        <w:rPr>
          <w:noProof/>
        </w:rPr>
        <w:t xml:space="preserve"> al Parlamentului European și al Consiliului din 16 aprilie 2014 de modificare a Regulamentului (CE) nr. 428/2009 al Consiliului de instituire a unui regim comunitar pentru controlul exporturilor, transferului, serviciilor de intermediere și tranzitului de produse cu dublă utilizare a delegat Comisiei competența de a adopta acte în conformitate cu articolul 290 din Tratatul privind funcționarea Uniunii Europene (TFUE) pentru modificarea anexei I la Regulamentul (CE) nr. 428/2009 în conformitate cu articolul 15 din regulamentul menționat. Competența de a adopta actele delegate a fost conferită Comisiei pentru o perioadă de cinci ani, iar articolul 23a prevede că „Comisia prezintă un raport privind delegarea de competențe cel târziu cu nouă luni înainte de încheierea perioadei de cinci ani”.</w:t>
      </w:r>
    </w:p>
    <w:p>
      <w:pPr>
        <w:spacing w:before="100" w:beforeAutospacing="1" w:after="100" w:afterAutospacing="1"/>
        <w:jc w:val="both"/>
        <w:rPr>
          <w:noProof/>
        </w:rPr>
      </w:pPr>
      <w:r>
        <w:rPr>
          <w:noProof/>
        </w:rPr>
        <w:t>Prezentul raport, întocmit de Comisie cu contribuții din partea statelor membre</w:t>
      </w:r>
      <w:r>
        <w:rPr>
          <w:noProof/>
          <w:vertAlign w:val="superscript"/>
        </w:rPr>
        <w:footnoteReference w:id="3"/>
      </w:r>
      <w:r>
        <w:rPr>
          <w:noProof/>
        </w:rPr>
        <w:t xml:space="preserve"> în cadrul DUCG, oferă informații cu privire la punerea în aplicare a regulamentului în 2018 și include date agregate privind controlul exporturilor pentru anul 2017. </w:t>
      </w:r>
    </w:p>
    <w:p>
      <w:pPr>
        <w:keepNext/>
        <w:tabs>
          <w:tab w:val="left" w:pos="850"/>
        </w:tabs>
        <w:spacing w:after="120"/>
        <w:ind w:left="850" w:hanging="850"/>
        <w:jc w:val="both"/>
        <w:outlineLvl w:val="0"/>
        <w:rPr>
          <w:rFonts w:eastAsia="Times New Roman"/>
          <w:b/>
          <w:smallCaps/>
          <w:noProof/>
        </w:rPr>
      </w:pPr>
      <w:r>
        <w:rPr>
          <w:b/>
          <w:smallCaps/>
          <w:noProof/>
        </w:rPr>
        <w:t>2.</w:t>
      </w:r>
      <w:r>
        <w:rPr>
          <w:b/>
          <w:smallCaps/>
          <w:noProof/>
        </w:rPr>
        <w:tab/>
        <w:t>Evoluția politicii și a cadrului de reglementare</w:t>
      </w:r>
    </w:p>
    <w:p>
      <w:pPr>
        <w:keepNext/>
        <w:tabs>
          <w:tab w:val="left" w:pos="850"/>
        </w:tabs>
        <w:spacing w:after="120"/>
        <w:ind w:left="850" w:hanging="850"/>
        <w:jc w:val="both"/>
        <w:outlineLvl w:val="1"/>
        <w:rPr>
          <w:rFonts w:eastAsia="Times New Roman"/>
          <w:b/>
          <w:noProof/>
        </w:rPr>
      </w:pPr>
      <w:r>
        <w:rPr>
          <w:b/>
          <w:noProof/>
        </w:rPr>
        <w:t>2.1</w:t>
      </w:r>
      <w:r>
        <w:rPr>
          <w:b/>
          <w:noProof/>
        </w:rPr>
        <w:tab/>
        <w:t>Revizuirea politicii de control al exporturilor</w:t>
      </w:r>
    </w:p>
    <w:p>
      <w:pPr>
        <w:adjustRightInd w:val="0"/>
        <w:jc w:val="both"/>
        <w:rPr>
          <w:rFonts w:ascii="Arial" w:eastAsia="Calibri" w:hAnsi="Arial" w:cs="Arial"/>
          <w:i/>
          <w:iCs/>
          <w:noProof/>
          <w:sz w:val="22"/>
          <w:szCs w:val="22"/>
        </w:rPr>
      </w:pPr>
      <w:r>
        <w:rPr>
          <w:noProof/>
        </w:rPr>
        <w:t>Procesul legislativ pentru o modernizare a controalelor exporturilor la nivelul UE, care a început în 2016, când Parlamentul European și Consiliul au examinat propunerea Comisiei</w:t>
      </w:r>
      <w:r>
        <w:rPr>
          <w:noProof/>
          <w:vertAlign w:val="superscript"/>
        </w:rPr>
        <w:footnoteReference w:id="4"/>
      </w:r>
      <w:r>
        <w:rPr>
          <w:noProof/>
        </w:rPr>
        <w:t>, a înregistrat progrese în 2018 odată cu adoptarea unui raport și a poziției Parlamentului European la 17 ianuarie 2018. Poziția Parlamentului include 101 amendamente care demonstrează sprijinul larg acordat de acesta pentru controale mai armonizate și mai eficace, care adaptează sistemul UE de control al exporturilor la noile amenințări asociate tehnologiilor de supraveghere cibernetică și care iau în considerare drepturile omului ca parte a efortului global în vederea realizării unui comerț mai responsabil, bazat pe valoare, și a unei „Europe care protejează”. În ceea ce privește Consiliul, acesta a continuat să analizeze propunerea în cursul anului 2018.</w:t>
      </w:r>
    </w:p>
    <w:p>
      <w:pPr>
        <w:spacing w:before="100" w:beforeAutospacing="1" w:after="100" w:afterAutospacing="1"/>
        <w:jc w:val="both"/>
        <w:rPr>
          <w:rFonts w:eastAsia="Times New Roman"/>
          <w:noProof/>
        </w:rPr>
      </w:pPr>
      <w:r>
        <w:rPr>
          <w:noProof/>
        </w:rPr>
        <w:t>Comisia a efectuat o serie de consultări specifice cu principalele părți interesate din industrie și din societatea civilă în cursul anului 2018. În special, un Forum privind controlul exporturilor a fost organizat la 13 decembrie 2018, împreună cu Președinția austriacă a Consiliului UE, pentru a se realiza un schimb de opinii cu părțile interesate din industrie și din societatea civilă</w:t>
      </w:r>
      <w:r>
        <w:rPr>
          <w:noProof/>
          <w:vertAlign w:val="superscript"/>
        </w:rPr>
        <w:footnoteReference w:id="5"/>
      </w:r>
      <w:r>
        <w:rPr>
          <w:noProof/>
        </w:rPr>
        <w:t xml:space="preserve">. </w:t>
      </w:r>
    </w:p>
    <w:p>
      <w:pPr>
        <w:keepNext/>
        <w:tabs>
          <w:tab w:val="left" w:pos="850"/>
        </w:tabs>
        <w:spacing w:after="120"/>
        <w:ind w:left="850" w:hanging="850"/>
        <w:jc w:val="both"/>
        <w:outlineLvl w:val="1"/>
        <w:rPr>
          <w:rFonts w:eastAsia="Times New Roman"/>
          <w:b/>
          <w:noProof/>
        </w:rPr>
      </w:pPr>
      <w:r>
        <w:rPr>
          <w:b/>
          <w:noProof/>
        </w:rPr>
        <w:t>2.2</w:t>
      </w:r>
      <w:r>
        <w:rPr>
          <w:b/>
          <w:noProof/>
        </w:rPr>
        <w:tab/>
        <w:t>Modificările aduse Regulamentului (CE) nr. 428/2009</w:t>
      </w:r>
    </w:p>
    <w:p>
      <w:pPr>
        <w:contextualSpacing/>
        <w:jc w:val="both"/>
        <w:rPr>
          <w:rFonts w:eastAsia="Times New Roman"/>
          <w:noProof/>
        </w:rPr>
      </w:pPr>
      <w:r>
        <w:rPr>
          <w:noProof/>
        </w:rPr>
        <w:t>Articolul 25 alineatul (3) literele (c) și (d) solicită Comisiei să raporteze cu privire la punerea în aplicare a articolului 15 alineatele (1) și (2) referitoare la actualizarea anexelor I și IV la regulament. Anexa I la regulament a fost modificată o singură dată pe parcursul perioadei de raportare. Regulamentul delegat (UE) 2018/1922 al Comisiei din 10 octombrie 2018</w:t>
      </w:r>
      <w:r>
        <w:rPr>
          <w:noProof/>
          <w:vertAlign w:val="superscript"/>
        </w:rPr>
        <w:footnoteReference w:id="6"/>
      </w:r>
      <w:r>
        <w:rPr>
          <w:noProof/>
        </w:rPr>
        <w:t xml:space="preserve"> a actualizat lista de control a UE din anexa I și a inclus peste 200 de modificări convenite în cadrul regimurilor multilaterale de control al exporturilor în 2017 (majoritatea provenite din amendamentele convenite la reuniunea plenară din 2017 a Aranjamentului de la Wassenaar, multe dintre acestea fiind de natură editorială). Anexele II și IV la regulament au fost, de asemenea, actualizate în conformitate cu modificările anexei I.</w:t>
      </w:r>
    </w:p>
    <w:p>
      <w:pPr>
        <w:contextualSpacing/>
        <w:jc w:val="both"/>
        <w:rPr>
          <w:rFonts w:eastAsia="Times New Roman"/>
          <w:noProof/>
        </w:rPr>
      </w:pPr>
    </w:p>
    <w:p>
      <w:pPr>
        <w:jc w:val="both"/>
        <w:rPr>
          <w:rFonts w:eastAsia="Times New Roman"/>
          <w:noProof/>
        </w:rPr>
      </w:pPr>
      <w:r>
        <w:rPr>
          <w:noProof/>
        </w:rPr>
        <w:t>Lista de control a UE din 2018 a introdus noi controale privind modulatoare electro-optice (3A001i), substraturi brute mască pentru producția de semiconductori (3B001j) și pentru circuitele integrate de citire (ROIC) ale rețelelor plane focale (FPA) (6A002f). Pe de altă parte, Comisia a eliminat controlul roboților cu capacitate de prelucrare a imaginilor 3D (2B007a), al tehnologiei pentru unitățile de control numeric (2E003b) și generatoarele de instrucțiuni pentru mașinile unelte (2E003d) și introduce noi scutiri de control pentru produsele software de intruziune pentru „optimizare” (4D004), tehnologia pentru „divulgarea vulnerabilității” și „răspunsul în caz de incident cibernetic” (4E001), precum și camere de înregistrare pe peliculă și camere mecanice de mare viteză (6A003a). Lista de control a UE din 2018 include, de asemenea, modificări ale controalelor efectuate asupra echipamentelor de măsurare și inspecție (2B006), a turbinelor navale cu gaze (9A002) și a echipamentului de la sol de control al vehiculelor spațiale (9A004), precum și pentru mașinile de deformare continuă (2B109), producția de rachete, sistemele de navigare prin satelit (7A105), pentru a include sistemele regionale și globale și motoarele turboreactoare și turbopropulsoare (9A101).</w:t>
      </w:r>
    </w:p>
    <w:p>
      <w:pPr>
        <w:jc w:val="both"/>
        <w:rPr>
          <w:rFonts w:eastAsia="Times New Roman"/>
          <w:noProof/>
        </w:rPr>
      </w:pPr>
    </w:p>
    <w:p>
      <w:pPr>
        <w:jc w:val="both"/>
        <w:rPr>
          <w:rFonts w:eastAsia="Times New Roman"/>
          <w:noProof/>
        </w:rPr>
      </w:pPr>
      <w:r>
        <w:rPr>
          <w:noProof/>
        </w:rPr>
        <w:t>Ca orientare, oferind o imagine generală a tuturor modificărilor tehnice aduse listei de control al produselor cu dublă utilizare a UE din 2018</w:t>
      </w:r>
      <w:r>
        <w:rPr>
          <w:noProof/>
          <w:vertAlign w:val="superscript"/>
        </w:rPr>
        <w:footnoteReference w:id="7"/>
      </w:r>
      <w:r>
        <w:rPr>
          <w:noProof/>
        </w:rPr>
        <w:t>, a fost publicată o „Notă cuprinzătoare cu privire la modificări”. Lista de control a UE actualizată și consolidată a intrat în vigoare la 15 decembrie 2018, permițând astfel UE să-și respecte angajamentele internaționale în ceea ce privește controlul exporturilor și ajutând exportatorii din UE în situațiile în care parametrii controalelor au fost relaxați.</w:t>
      </w:r>
    </w:p>
    <w:p>
      <w:pPr>
        <w:jc w:val="both"/>
        <w:rPr>
          <w:rFonts w:eastAsia="Times New Roman"/>
          <w:noProof/>
        </w:rPr>
      </w:pPr>
    </w:p>
    <w:p>
      <w:pPr>
        <w:jc w:val="both"/>
        <w:rPr>
          <w:rFonts w:eastAsia="Times New Roman"/>
          <w:noProof/>
        </w:rPr>
      </w:pPr>
      <w:r>
        <w:rPr>
          <w:noProof/>
        </w:rPr>
        <w:t>De asemenea, Comisia a adoptat la 19 decembrie 2018 o propunere</w:t>
      </w:r>
      <w:r>
        <w:rPr>
          <w:rStyle w:val="FootnoteReference"/>
          <w:noProof/>
        </w:rPr>
        <w:footnoteReference w:id="8"/>
      </w:r>
      <w:r>
        <w:rPr>
          <w:noProof/>
        </w:rPr>
        <w:t xml:space="preserve"> de modificare a regulamentului ca parte din pachetul de măsuri în temeiul unui „plan de urgență fără acord” pentru anumite sectoare în perspectiva retragerii Regatului Unit din Uniunea Europeană. Propunerea adaugă Regatul Unit pe lista destinațiilor privind EU001 pentru a evita perturbările disproporționate ale schimburilor comerciale și o sarcină administrativă excesivă pentru exporturile UE de produse cu dublă utilizare către Regatul Unit, menținând în același timp securitatea internațională și a UE. </w:t>
      </w:r>
    </w:p>
    <w:p>
      <w:pPr>
        <w:jc w:val="both"/>
        <w:rPr>
          <w:rFonts w:eastAsia="Times New Roman"/>
          <w:noProof/>
        </w:rPr>
      </w:pPr>
    </w:p>
    <w:p>
      <w:pPr>
        <w:keepNext/>
        <w:tabs>
          <w:tab w:val="left" w:pos="850"/>
        </w:tabs>
        <w:spacing w:after="120"/>
        <w:ind w:left="850" w:hanging="850"/>
        <w:jc w:val="both"/>
        <w:outlineLvl w:val="1"/>
        <w:rPr>
          <w:rFonts w:eastAsia="Times New Roman"/>
          <w:b/>
          <w:noProof/>
        </w:rPr>
      </w:pPr>
      <w:r>
        <w:rPr>
          <w:b/>
          <w:noProof/>
        </w:rPr>
        <w:t>2.3</w:t>
      </w:r>
      <w:r>
        <w:rPr>
          <w:b/>
          <w:noProof/>
        </w:rPr>
        <w:tab/>
        <w:t>Măsurile naționale de punere în aplicare</w:t>
      </w:r>
    </w:p>
    <w:p>
      <w:pPr>
        <w:spacing w:before="100" w:beforeAutospacing="1" w:after="100" w:afterAutospacing="1"/>
        <w:jc w:val="both"/>
        <w:rPr>
          <w:rFonts w:eastAsia="Times New Roman"/>
          <w:noProof/>
        </w:rPr>
      </w:pPr>
      <w:r>
        <w:rPr>
          <w:noProof/>
        </w:rPr>
        <w:t xml:space="preserve">Regulamentul este obligatoriu în toate elementele sale și se aplică direct în toate statele membre, dar prevede că statele membre iau anumite măsuri pentru punerea în aplicare a unor dispoziții specifice și că informațiile cu privire la respectivele măsuri ar trebui să fie publicate în </w:t>
      </w:r>
      <w:r>
        <w:rPr>
          <w:i/>
          <w:iCs/>
          <w:noProof/>
        </w:rPr>
        <w:t>Jurnalul Oficial al Uniunii Europene</w:t>
      </w:r>
      <w:r>
        <w:rPr>
          <w:noProof/>
        </w:rPr>
        <w:t>. Nota de informare din 20 august 2016</w:t>
      </w:r>
      <w:r>
        <w:rPr>
          <w:noProof/>
          <w:vertAlign w:val="superscript"/>
        </w:rPr>
        <w:footnoteReference w:id="9"/>
      </w:r>
      <w:r>
        <w:rPr>
          <w:noProof/>
        </w:rPr>
        <w:t xml:space="preserve"> oferă o imagine de ansamblu asupra măsurilor luate de statele membre, inclusiv, printre altele, extinderea controalelor asupra serviciilor de intermediere și a tranzitului, extinderea controalelor la produsele neincluse în listă din motive de securitate publică și din considerente legate de drepturile omului, introducerea autorizațiilor generale de export naționale, aplicarea controlului transferurilor în interiorul UE pentru produsele care nu sunt incluse în listă, precum și informații referitoare la autoritățile competente. De asemenea, noi măsuri au fost raportate de statele membre în 2018: Italia a adoptat decretul legislativ nr. 221 din 15 decembrie 2017 de actualizare a dispozițiilor naționale în temeiul Regulamentului (CE) nr. 428/2009, în timp de Luxemburg a adoptat, la 27 iunie 2018, o lege privind controlul exporturilor. De asemenea, trebuie menționat că Țările de Jos au adoptat, la 23 octombrie 2018, o notă de orientare privind exporturile de tip „cloud”.</w:t>
      </w:r>
    </w:p>
    <w:p>
      <w:pPr>
        <w:spacing w:before="100" w:beforeAutospacing="1" w:after="100" w:afterAutospacing="1"/>
        <w:jc w:val="both"/>
        <w:rPr>
          <w:rFonts w:eastAsia="Times New Roman"/>
          <w:noProof/>
        </w:rPr>
      </w:pPr>
      <w:r>
        <w:rPr>
          <w:noProof/>
        </w:rPr>
        <w:t>Articolul 24 din regulament prevede că „[f]iecare stat membru ia măsurile corespunzătoare pentru a asigura aplicarea corectă a tuturor dispozițiilor prezentului regulament. Fiecare stat membru stabilește în special sancțiunile aplicabile în cazul încălcării dispozițiilor prezentului regulament sau a celor adoptate pentru aplicarea acestuia. Sancțiunile trebuie să fie eficiente, proporționale și descurajante.” Articolul 25 alineatul (3) litera (e) prevede că raportul Comisiei trebuie să includă o secțiune specială care abordează „măsurile luate de statele membre în temeiul articolului 24 și notificate Comisiei în temeiul alineatului (1) din prezentul articol”. Anexa la prezentul raport include o listă cu astfel de măsuri, așa cum au fost raportate Comisiei.</w:t>
      </w:r>
    </w:p>
    <w:p>
      <w:pPr>
        <w:spacing w:before="100" w:beforeAutospacing="1" w:after="100" w:afterAutospacing="1"/>
        <w:jc w:val="both"/>
        <w:rPr>
          <w:rFonts w:eastAsia="Times New Roman"/>
          <w:noProof/>
        </w:rPr>
      </w:pPr>
    </w:p>
    <w:p>
      <w:pPr>
        <w:keepNext/>
        <w:tabs>
          <w:tab w:val="left" w:pos="850"/>
        </w:tabs>
        <w:spacing w:after="120"/>
        <w:ind w:left="850" w:hanging="850"/>
        <w:jc w:val="both"/>
        <w:outlineLvl w:val="0"/>
        <w:rPr>
          <w:rFonts w:eastAsia="Times New Roman"/>
          <w:b/>
          <w:smallCaps/>
          <w:noProof/>
        </w:rPr>
      </w:pPr>
      <w:r>
        <w:rPr>
          <w:b/>
          <w:smallCaps/>
          <w:noProof/>
        </w:rPr>
        <w:t>3.</w:t>
      </w:r>
      <w:r>
        <w:rPr>
          <w:b/>
          <w:smallCaps/>
          <w:noProof/>
        </w:rPr>
        <w:tab/>
        <w:t>Activitățile Grupului de coordonare pentru produse cu dublă utilizare</w:t>
      </w:r>
    </w:p>
    <w:p>
      <w:pPr>
        <w:spacing w:before="100" w:beforeAutospacing="1" w:after="100" w:afterAutospacing="1"/>
        <w:jc w:val="both"/>
        <w:rPr>
          <w:rFonts w:eastAsia="Times New Roman"/>
          <w:noProof/>
        </w:rPr>
      </w:pPr>
      <w:r>
        <w:rPr>
          <w:noProof/>
        </w:rPr>
        <w:t>Potrivit articolului 23 alineatul (3) din regulament, Comisia trebuie să prezinte Parlamentului European un raport anual privind activitățile, analizele și consultările Grupului de coordonare pentru produse cu dublă utilizare (DUCG), care reunește experți din partea Comisiei și a statelor membre pentru a examina orice problemă privind aplicarea controalelor la export, în vederea îmbunătățirii practice a coerenței și eficacității lor în întreaga UE. În plus, articolul 25 alineatul (3) litera (a) adaugă faptul că „secțiunile speciale ale raportului abordează [...] Grupul de coordonare pentru produse cu dublă utilizare și activitatea acestuia”.</w:t>
      </w:r>
    </w:p>
    <w:p>
      <w:pPr>
        <w:spacing w:before="100" w:beforeAutospacing="1" w:after="100" w:afterAutospacing="1"/>
        <w:jc w:val="both"/>
        <w:rPr>
          <w:rFonts w:eastAsia="Times New Roman"/>
          <w:noProof/>
        </w:rPr>
      </w:pPr>
      <w:r>
        <w:rPr>
          <w:noProof/>
        </w:rPr>
        <w:t>DUCG s-a întrunit de șapte ori în perioada de raportare, asigurând astfel un forum pentru consultări privind o serie de probleme de actualitate legate de punerea în aplicare a regulamentului. De asemenea, experții DUCG au participat la un seminar tehnic pentru pregătirea retragerii Regatului Unit din Uniunea Europeană.</w:t>
      </w:r>
    </w:p>
    <w:p>
      <w:pPr>
        <w:keepNext/>
        <w:tabs>
          <w:tab w:val="left" w:pos="850"/>
        </w:tabs>
        <w:spacing w:after="120"/>
        <w:ind w:left="850" w:hanging="850"/>
        <w:jc w:val="both"/>
        <w:outlineLvl w:val="1"/>
        <w:rPr>
          <w:rFonts w:eastAsia="Times New Roman"/>
          <w:b/>
          <w:noProof/>
        </w:rPr>
      </w:pPr>
      <w:r>
        <w:rPr>
          <w:b/>
          <w:noProof/>
        </w:rPr>
        <w:t>3.1</w:t>
      </w:r>
      <w:r>
        <w:rPr>
          <w:b/>
          <w:noProof/>
        </w:rPr>
        <w:tab/>
        <w:t>Consultările privind problemele legate de punerea în aplicare – schimbul general de informații</w:t>
      </w:r>
    </w:p>
    <w:p>
      <w:pPr>
        <w:autoSpaceDE w:val="0"/>
        <w:autoSpaceDN w:val="0"/>
        <w:adjustRightInd w:val="0"/>
        <w:jc w:val="both"/>
        <w:rPr>
          <w:rFonts w:eastAsia="Calibri"/>
          <w:noProof/>
        </w:rPr>
      </w:pPr>
    </w:p>
    <w:p>
      <w:pPr>
        <w:jc w:val="both"/>
        <w:rPr>
          <w:noProof/>
        </w:rPr>
      </w:pPr>
      <w:r>
        <w:rPr>
          <w:noProof/>
        </w:rPr>
        <w:t xml:space="preserve">DUCG a realizat </w:t>
      </w:r>
      <w:r>
        <w:rPr>
          <w:b/>
          <w:i/>
          <w:noProof/>
        </w:rPr>
        <w:t>schimburi generale de informații privind problemele în materie de control al exporturilor</w:t>
      </w:r>
      <w:r>
        <w:rPr>
          <w:noProof/>
        </w:rPr>
        <w:t xml:space="preserve">, inclusiv în sprijinul modernizării controalelor exporturilor UE. DUCG a revizuit </w:t>
      </w:r>
      <w:r>
        <w:rPr>
          <w:i/>
          <w:noProof/>
        </w:rPr>
        <w:t>punerea în aplicare a controalelor privind „utilizarea finală” (exhaustive)</w:t>
      </w:r>
      <w:r>
        <w:rPr>
          <w:noProof/>
        </w:rPr>
        <w:t xml:space="preserve"> pentru a identifica „punctele comune” ale abordărilor naționale și a efectuat un sondaj privind </w:t>
      </w:r>
      <w:r>
        <w:rPr>
          <w:i/>
          <w:noProof/>
        </w:rPr>
        <w:t>practicile naționale referitoare la valabilitatea licențelor</w:t>
      </w:r>
      <w:r>
        <w:rPr>
          <w:noProof/>
        </w:rPr>
        <w:t>, care a indicat variații ale practicilor naționale în această privință.</w:t>
      </w:r>
    </w:p>
    <w:p>
      <w:pPr>
        <w:jc w:val="both"/>
        <w:rPr>
          <w:noProof/>
        </w:rPr>
      </w:pPr>
    </w:p>
    <w:p>
      <w:pPr>
        <w:jc w:val="both"/>
        <w:rPr>
          <w:rFonts w:eastAsia="Calibri"/>
          <w:noProof/>
        </w:rPr>
      </w:pPr>
      <w:r>
        <w:rPr>
          <w:noProof/>
        </w:rPr>
        <w:t xml:space="preserve">DUCG a dezbătut documentul de poziție prezentat de Liga Universităților Europene de Cercetare (LERU, o asociație compusă din 23 de universități europene de frunte cu o activitate intensă de cercetare, https://tinyurl.com/LERU-Dual-Use), care subliniază preocupările majore ale sectorului academic cu privire la punerea în aplicare a regulamentului, și a discutat despre opțiunile pentru dezvoltarea orientărilor în vederea sprijinirii aplicării coerente și eficace a controalelor în domeniul cercetării cu dublă utilizare. </w:t>
      </w:r>
    </w:p>
    <w:p>
      <w:pPr>
        <w:jc w:val="both"/>
        <w:rPr>
          <w:rFonts w:eastAsia="Calibri"/>
          <w:noProof/>
        </w:rPr>
      </w:pPr>
    </w:p>
    <w:p>
      <w:pPr>
        <w:pStyle w:val="Default"/>
        <w:jc w:val="both"/>
        <w:rPr>
          <w:rFonts w:ascii="Times New Roman" w:eastAsia="Calibri" w:hAnsi="Times New Roman" w:cs="Times New Roman"/>
          <w:noProof/>
          <w:color w:val="auto"/>
        </w:rPr>
      </w:pPr>
      <w:r>
        <w:rPr>
          <w:rFonts w:ascii="Times New Roman" w:hAnsi="Times New Roman"/>
          <w:noProof/>
        </w:rPr>
        <w:t xml:space="preserve">DUCG a realizat schimburi de informații cu privire la </w:t>
      </w:r>
      <w:r>
        <w:rPr>
          <w:rFonts w:ascii="Times New Roman" w:hAnsi="Times New Roman"/>
          <w:b/>
          <w:i/>
          <w:noProof/>
        </w:rPr>
        <w:t>măsurile naționale de punere în aplicare</w:t>
      </w:r>
      <w:r>
        <w:rPr>
          <w:rFonts w:ascii="Times New Roman" w:hAnsi="Times New Roman"/>
          <w:noProof/>
        </w:rPr>
        <w:t xml:space="preserve"> și a inițiat pregătiri pentru actualizarea notei informative relevante în lumina notificărilor cu privire la măsurile naționale transmise de Italia și Luxemburg.</w:t>
      </w:r>
    </w:p>
    <w:p>
      <w:pPr>
        <w:spacing w:before="100" w:beforeAutospacing="1" w:after="100" w:afterAutospacing="1"/>
        <w:jc w:val="both"/>
        <w:rPr>
          <w:rFonts w:eastAsia="Calibri"/>
          <w:noProof/>
        </w:rPr>
      </w:pPr>
      <w:r>
        <w:rPr>
          <w:noProof/>
        </w:rPr>
        <w:t xml:space="preserve">DUCG a revizuit metodologia și abordarea folosite pentru schimbul de date și a realizat un </w:t>
      </w:r>
      <w:r>
        <w:rPr>
          <w:b/>
          <w:bCs/>
          <w:i/>
          <w:iCs/>
          <w:noProof/>
        </w:rPr>
        <w:t>exercițiu de colectare de date referitoare la acordarea de licențe</w:t>
      </w:r>
      <w:r>
        <w:rPr>
          <w:noProof/>
        </w:rPr>
        <w:t xml:space="preserve"> utilizând date din 2017, în vederea îmbunătățirii schimbului de informații între statele membre și a creșterii transparenței publice privind controalele exporturilor de produse cu dublă utilizare din UE (datele agregate din 2017 la nivelul UE au fost utilizate la pregătirea prezentului raport anual privind controlul exporturilor).</w:t>
      </w:r>
    </w:p>
    <w:p>
      <w:pPr>
        <w:jc w:val="both"/>
        <w:rPr>
          <w:rFonts w:eastAsia="Calibri"/>
          <w:noProof/>
        </w:rPr>
      </w:pPr>
      <w:r>
        <w:rPr>
          <w:noProof/>
        </w:rPr>
        <w:t xml:space="preserve">Având în vedere dezbaterea referitoare la controlul produselor de supraveghere cibernetică, DUCG a efectuat în 2017 </w:t>
      </w:r>
      <w:r>
        <w:rPr>
          <w:b/>
          <w:bCs/>
          <w:i/>
          <w:iCs/>
          <w:noProof/>
        </w:rPr>
        <w:t>un schimb de informații privind aplicarea controalelor asupra tehnologiilor de supraveghere cibernetică</w:t>
      </w:r>
      <w:r>
        <w:rPr>
          <w:noProof/>
        </w:rPr>
        <w:t>. Datele indică un număr de licențe în creștere, dar limitat (285 de licențe în 2017). În aceeași perioadă, au fost emise 34 de refuzuri pentru produse de securitate cibernetică</w:t>
      </w:r>
      <w:r>
        <w:rPr>
          <w:noProof/>
          <w:vertAlign w:val="superscript"/>
        </w:rPr>
        <w:footnoteReference w:id="10"/>
      </w:r>
      <w:r>
        <w:rPr>
          <w:noProof/>
        </w:rPr>
        <w:t xml:space="preserve">. </w:t>
      </w:r>
    </w:p>
    <w:p>
      <w:pPr>
        <w:jc w:val="both"/>
        <w:rPr>
          <w:rFonts w:eastAsia="Calibri"/>
          <w:noProof/>
        </w:rPr>
      </w:pPr>
    </w:p>
    <w:p>
      <w:pPr>
        <w:jc w:val="both"/>
        <w:rPr>
          <w:rFonts w:eastAsia="Calibri"/>
          <w:noProof/>
        </w:rPr>
      </w:pPr>
      <w:r>
        <w:rPr>
          <w:noProof/>
          <w:lang w:val="en-GB" w:eastAsia="en-GB"/>
        </w:rPr>
        <w:drawing>
          <wp:inline distT="0" distB="0" distL="0" distR="0">
            <wp:extent cx="5760720" cy="2846070"/>
            <wp:effectExtent l="0" t="0" r="1143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eastAsia="Calibri"/>
          <w:noProof/>
        </w:rPr>
      </w:pPr>
    </w:p>
    <w:p>
      <w:pPr>
        <w:jc w:val="both"/>
        <w:rPr>
          <w:rFonts w:eastAsia="Calibri"/>
          <w:noProof/>
        </w:rPr>
      </w:pPr>
      <w:r>
        <w:rPr>
          <w:noProof/>
        </w:rPr>
        <w:t xml:space="preserve">DUCG a supervizat activitatea „Grupului de experți pentru tehnologia supravegherii” (denumit în continuare „STEG” – </w:t>
      </w:r>
      <w:r>
        <w:rPr>
          <w:i/>
          <w:iCs/>
          <w:noProof/>
        </w:rPr>
        <w:t>Surveillance Technology Expert Group</w:t>
      </w:r>
      <w:r>
        <w:rPr>
          <w:noProof/>
        </w:rPr>
        <w:t>). STEG s-a întrunit o dată în 2018 și a monitorizat evoluțiile tehnologice și de politică relevante, a analizat tendințele în materie de acordare și de refuz de licențe și a furnizat expertiză în sprijinul procesului legislativ pentru modernizarea controalelor exporturilor UE și în legătură cu discuțiile tehnice din cadrul regimului multilateral de control al exporturilor de la Wassenaar.</w:t>
      </w:r>
    </w:p>
    <w:p>
      <w:pPr>
        <w:jc w:val="both"/>
        <w:rPr>
          <w:rFonts w:eastAsia="Calibri"/>
          <w:noProof/>
        </w:rPr>
      </w:pPr>
    </w:p>
    <w:p>
      <w:pPr>
        <w:keepNext/>
        <w:tabs>
          <w:tab w:val="left" w:pos="850"/>
        </w:tabs>
        <w:spacing w:after="120"/>
        <w:ind w:left="850" w:hanging="850"/>
        <w:jc w:val="both"/>
        <w:outlineLvl w:val="1"/>
        <w:rPr>
          <w:rFonts w:eastAsia="Times New Roman"/>
          <w:b/>
          <w:noProof/>
        </w:rPr>
      </w:pPr>
      <w:r>
        <w:rPr>
          <w:b/>
          <w:noProof/>
        </w:rPr>
        <w:t>3.2</w:t>
      </w:r>
      <w:r>
        <w:rPr>
          <w:b/>
          <w:noProof/>
        </w:rPr>
        <w:tab/>
        <w:t xml:space="preserve">Schimbul tehnic de informații – probleme legate de punerea în aplicare </w:t>
      </w:r>
    </w:p>
    <w:p>
      <w:pPr>
        <w:jc w:val="both"/>
        <w:rPr>
          <w:rFonts w:eastAsia="Calibri"/>
          <w:noProof/>
        </w:rPr>
      </w:pPr>
    </w:p>
    <w:p>
      <w:pPr>
        <w:numPr>
          <w:ilvl w:val="0"/>
          <w:numId w:val="1"/>
        </w:numPr>
        <w:jc w:val="both"/>
        <w:rPr>
          <w:rFonts w:eastAsia="Calibri"/>
          <w:b/>
          <w:i/>
          <w:noProof/>
        </w:rPr>
      </w:pPr>
      <w:r>
        <w:rPr>
          <w:b/>
          <w:i/>
          <w:noProof/>
        </w:rPr>
        <w:t xml:space="preserve">Asistență pentru pregătirea actualizărilor listei de control a UE </w:t>
      </w:r>
    </w:p>
    <w:p>
      <w:pPr>
        <w:jc w:val="both"/>
        <w:rPr>
          <w:rFonts w:eastAsia="Calibri"/>
          <w:noProof/>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DUCG a fost consultat și a oferit asistență pentru pregătirea unui regulament delegat al Comisiei de actualizare a listei de control a UE din anexa I la Regulamentul (CE) nr. 428/2009. Experți naționali, precum și observatori din partea Parlamentului European au participat la o sesiune specială a DUCG la 17 mai 2018 și au susținut prezentări în care au subliniat cele mai importante modificări aduse listei de control. Regulamentul delegat (UE) 2018/1922 al Comisiei a fost adoptat la 10 octombrie 2018 și a fost publicat la 14 decembrie 2018</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p>
    <w:p>
      <w:pPr>
        <w:pStyle w:val="ListParagraph"/>
        <w:ind w:left="0"/>
        <w:jc w:val="both"/>
        <w:rPr>
          <w:rFonts w:ascii="Times New Roman" w:hAnsi="Times New Roman" w:cs="Times New Roman"/>
          <w:noProof/>
          <w:sz w:val="24"/>
          <w:szCs w:val="24"/>
        </w:rPr>
      </w:pPr>
    </w:p>
    <w:p>
      <w:pPr>
        <w:numPr>
          <w:ilvl w:val="0"/>
          <w:numId w:val="1"/>
        </w:numPr>
        <w:jc w:val="both"/>
        <w:rPr>
          <w:rFonts w:eastAsia="Calibri"/>
          <w:noProof/>
        </w:rPr>
      </w:pPr>
      <w:r>
        <w:rPr>
          <w:b/>
          <w:i/>
          <w:noProof/>
        </w:rPr>
        <w:t>Schimbul tehnic de informații cu privire la probleme specifice legate de punerea în aplicare</w:t>
      </w:r>
    </w:p>
    <w:p>
      <w:pPr>
        <w:jc w:val="both"/>
        <w:rPr>
          <w:rFonts w:eastAsia="Calibri"/>
          <w:noProof/>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 xml:space="preserve">Un grup de lucru virtual pe tema controalelor nucleare, prezidat de Suedia, a efectuat o </w:t>
      </w:r>
      <w:r>
        <w:rPr>
          <w:rFonts w:ascii="Times New Roman" w:hAnsi="Times New Roman"/>
          <w:i/>
          <w:iCs/>
          <w:noProof/>
          <w:sz w:val="24"/>
          <w:szCs w:val="24"/>
        </w:rPr>
        <w:t>evaluare tehnică a parametrilor de control pentru produse nucleare specifice</w:t>
      </w:r>
      <w:r>
        <w:rPr>
          <w:rFonts w:ascii="Times New Roman" w:hAnsi="Times New Roman"/>
          <w:noProof/>
          <w:sz w:val="24"/>
          <w:szCs w:val="24"/>
        </w:rPr>
        <w:t>, iar DUCG a aprobat propunerea acestuia de a include Nota privind produsele software nucleare în lista UE din 2018 a produselor cu dublă utilizare. De asemenea, DUCG a sprijinit continuarea discuțiilor privind parametrii specifici de control, de exemplu, pentru 0A001 (reactoare nucleare) și 0B001 (Instalații de separare a izotopilor uraniului natural, uraniului sărăcit și ai materialelor fisionabile speciale etc.) într-un efort de a armoniza interpretarea acestor controale.</w:t>
      </w:r>
    </w:p>
    <w:p>
      <w:pPr>
        <w:pStyle w:val="ListParagraph"/>
        <w:ind w:left="0"/>
        <w:jc w:val="both"/>
        <w:rPr>
          <w:rFonts w:ascii="Times New Roman" w:hAnsi="Times New Roman" w:cs="Times New Roman"/>
          <w:noProof/>
          <w:sz w:val="24"/>
          <w:szCs w:val="24"/>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De asemenea, DUCG a aprobat crearea unui grup tehnic de experți privind controlul sărurilor precursoare ale armelor chimice și a sprijinit pregătirea tehnică a poziției UE privind această problemă în cadrul regimului multilateral de control al exportului relevant.</w:t>
      </w:r>
    </w:p>
    <w:p>
      <w:pPr>
        <w:pStyle w:val="ListParagraph"/>
        <w:jc w:val="both"/>
        <w:rPr>
          <w:rFonts w:ascii="Times New Roman" w:hAnsi="Times New Roman" w:cs="Times New Roman"/>
          <w:noProof/>
          <w:sz w:val="24"/>
          <w:szCs w:val="24"/>
        </w:rPr>
      </w:pPr>
    </w:p>
    <w:p>
      <w:pPr>
        <w:jc w:val="both"/>
        <w:rPr>
          <w:noProof/>
        </w:rPr>
      </w:pPr>
      <w:r>
        <w:rPr>
          <w:noProof/>
        </w:rPr>
        <w:t>La 12 octombrie 2018, DUCG a organizat o reuniune comună a experților pe probleme vamale și de acordare a licențelor, pentru a efectua o analiză tehnică a unor dispoziții referitoare la domeniul vamal, de exemplu, privind definirea datelor referitoare la exportator, la destinatar și la utilizatorul final, indicate în declarațiile vamale și de export pentru exporturile cu dublă utilizare, precum și rolul tabelului de corespondență în selectarea riscului de dublă utilizare de către autoritățile vamale.</w:t>
      </w:r>
    </w:p>
    <w:p>
      <w:pPr>
        <w:jc w:val="both"/>
        <w:rPr>
          <w:noProof/>
        </w:rPr>
      </w:pPr>
    </w:p>
    <w:p>
      <w:pPr>
        <w:jc w:val="both"/>
        <w:rPr>
          <w:rFonts w:eastAsia="Calibri"/>
          <w:noProof/>
        </w:rPr>
      </w:pPr>
    </w:p>
    <w:p>
      <w:pPr>
        <w:keepNext/>
        <w:tabs>
          <w:tab w:val="left" w:pos="850"/>
        </w:tabs>
        <w:spacing w:after="120"/>
        <w:ind w:left="850" w:hanging="850"/>
        <w:jc w:val="both"/>
        <w:outlineLvl w:val="1"/>
        <w:rPr>
          <w:rFonts w:eastAsia="Times New Roman"/>
          <w:b/>
          <w:noProof/>
        </w:rPr>
      </w:pPr>
      <w:r>
        <w:rPr>
          <w:b/>
          <w:noProof/>
        </w:rPr>
        <w:t>3.3</w:t>
      </w:r>
      <w:r>
        <w:rPr>
          <w:b/>
          <w:noProof/>
        </w:rPr>
        <w:tab/>
        <w:t>Orientările UE privind controalele exporturilor de produse cu dublă utilizare</w:t>
      </w:r>
    </w:p>
    <w:p>
      <w:pPr>
        <w:spacing w:before="100" w:beforeAutospacing="1" w:after="100" w:afterAutospacing="1"/>
        <w:jc w:val="both"/>
        <w:rPr>
          <w:rFonts w:eastAsia="Calibri"/>
          <w:noProof/>
        </w:rPr>
      </w:pPr>
      <w:r>
        <w:rPr>
          <w:noProof/>
        </w:rPr>
        <w:t xml:space="preserve">DUCG a înființat un „Grup tehnic de experți privind orientările pentru programele interne de asigurare a conformității (PIC)”. Grupul tehnic de experți privind orientările pentru programele interne de asigurare a conformității s-a întrunit de patru ori – la 29 ianuarie, la 1 martie, la 7 mai și la 30 noiembrie – și a organizat o fază de consultare publică privind un proiect de orientări PIC în perioada septembrie-noiembrie 2018. În total, s-au primit 169 de răspunsuri din partea asociațiilor industriale și a exportatorilor din 23 de state membre ale UE. Observațiile transmise de industrie au fost analizate de experții Grupului tehnic de experți, iar proiectul de orientări a fost prezentat părților interesate la forumul privind controlul exporturilor din 13 decembrie 2018. Se preconizează că orientările vor fi adoptate în cursul anului 2019. </w:t>
      </w:r>
    </w:p>
    <w:p>
      <w:pPr>
        <w:autoSpaceDE w:val="0"/>
        <w:autoSpaceDN w:val="0"/>
        <w:adjustRightInd w:val="0"/>
        <w:jc w:val="both"/>
        <w:rPr>
          <w:rFonts w:eastAsia="Times New Roman"/>
          <w:noProof/>
        </w:rPr>
      </w:pPr>
    </w:p>
    <w:p>
      <w:pPr>
        <w:keepNext/>
        <w:tabs>
          <w:tab w:val="left" w:pos="850"/>
        </w:tabs>
        <w:spacing w:after="120"/>
        <w:ind w:left="850" w:hanging="850"/>
        <w:jc w:val="both"/>
        <w:outlineLvl w:val="1"/>
        <w:rPr>
          <w:noProof/>
          <w:color w:val="000000"/>
        </w:rPr>
      </w:pPr>
      <w:r>
        <w:rPr>
          <w:b/>
          <w:noProof/>
        </w:rPr>
        <w:t>3.4</w:t>
      </w:r>
      <w:r>
        <w:rPr>
          <w:b/>
          <w:noProof/>
        </w:rPr>
        <w:tab/>
        <w:t>Schimbul electronic de informații între autoritățile competente</w:t>
      </w:r>
    </w:p>
    <w:p>
      <w:pPr>
        <w:spacing w:before="100" w:beforeAutospacing="1" w:after="100" w:afterAutospacing="1"/>
        <w:jc w:val="both"/>
        <w:rPr>
          <w:noProof/>
        </w:rPr>
      </w:pPr>
      <w:r>
        <w:rPr>
          <w:noProof/>
        </w:rPr>
        <w:t xml:space="preserve">Articolul 25 alineatul (3) litera (b) impune Comisiei să raporteze cu privire la „punerea în aplicare a articolului 19 alineatul (4)” și „stadiul la care s-a ajuns în ceea ce privește instituirea sistemului securizat și criptat de schimb de informații între statele membre și Comisie”. Comisia, sprijinită de DUCG, a continuat să dezvolte sistemul electronic vizând produsele cu dublă utilizare (denumit în continuare „DUeS” – </w:t>
      </w:r>
      <w:r>
        <w:rPr>
          <w:i/>
          <w:iCs/>
          <w:noProof/>
        </w:rPr>
        <w:t>Dual-use e-System</w:t>
      </w:r>
      <w:r>
        <w:rPr>
          <w:noProof/>
        </w:rPr>
        <w:t xml:space="preserve">), un sistem electronic securizat și criptat găzduit de Comisie, pentru a susține schimbul îmbunătățit de informații dintre autoritățile responsabile cu controlul exporturilor și Comisie. În cursul anului 2018, DUCG a convenit asupra unor îmbunătățiri specifice ale DUeS și a dezvoltat funcționalități care sprijină </w:t>
      </w:r>
      <w:r>
        <w:rPr>
          <w:i/>
          <w:iCs/>
          <w:noProof/>
        </w:rPr>
        <w:t>notificările de refuz în temeiul articolului 13 alineatul (5) din Regulamentul (CE) nr. 428/2009</w:t>
      </w:r>
      <w:r>
        <w:rPr>
          <w:noProof/>
        </w:rPr>
        <w:t xml:space="preserve"> și </w:t>
      </w:r>
      <w:r>
        <w:rPr>
          <w:i/>
          <w:iCs/>
          <w:noProof/>
        </w:rPr>
        <w:t>consultările bilaterale între autoritățile competente în temeiul articolului 11 și al articolului 13 alineatul (5) din regulament</w:t>
      </w:r>
      <w:r>
        <w:rPr>
          <w:noProof/>
        </w:rPr>
        <w:t xml:space="preserve">. DUeS a făcut obiectul altor actualizări minore, de exemplu, în decembrie 2018, când lista produselor din DUeS a fost actualizată astfel încât să reflecte </w:t>
      </w:r>
      <w:r>
        <w:rPr>
          <w:i/>
          <w:noProof/>
        </w:rPr>
        <w:t>actualizarea din 2018 a listei de control a UE</w:t>
      </w:r>
      <w:r>
        <w:rPr>
          <w:noProof/>
        </w:rPr>
        <w:t xml:space="preserve"> în temeiul Regulamentului delegat (UE) 2018/1922 al Comisiei</w:t>
      </w:r>
      <w:r>
        <w:rPr>
          <w:i/>
          <w:noProof/>
        </w:rPr>
        <w:t>.</w:t>
      </w:r>
    </w:p>
    <w:p>
      <w:pPr>
        <w:jc w:val="both"/>
        <w:rPr>
          <w:rFonts w:ascii="-webkit-standard" w:hAnsi="-webkit-standard"/>
          <w:noProof/>
          <w:color w:val="000000"/>
        </w:rPr>
      </w:pPr>
      <w:r>
        <w:rPr>
          <w:noProof/>
        </w:rPr>
        <w:t>De asemenea, DUCG a continuat să sprijine dezvoltarea unei „platforme electronice de acordare a licențelor”, care să fie folosită de autoritățile competente în mod voluntar prin intermediului unui Grup tehnic de experți special creat în acest scop. Ca urmare a studiului de fezabilitate din 2017, Grupul tehnic de experți pentru acordarea de licențe online s-a întrunit de două ori – la 14 martie și la 13 septembrie 2018 – și a furnizat sprijin permanent „proiectului-pilot eLicensing”.</w:t>
      </w:r>
      <w:r>
        <w:rPr>
          <w:rFonts w:ascii="-webkit-standard" w:hAnsi="-webkit-standard"/>
          <w:noProof/>
        </w:rPr>
        <w:t xml:space="preserve"> La sfârșitul anului 2018, „prototipul Front Office” a fost pregătit pentru a fi testat de către autoritățile competente, în timp ce „prototipul Back Office” se afla încă în faza de dezvoltare. Italia, Letonia, România și Grecia s-au alăturat proiectului-pilot. </w:t>
      </w:r>
      <w:r>
        <w:rPr>
          <w:noProof/>
        </w:rPr>
        <w:t>Proiectul a fost prezentat părților interesate cu ocazia forumului privind controlul exporturilor, la 13 decembrie 2018.</w:t>
      </w:r>
      <w:r>
        <w:rPr>
          <w:rFonts w:ascii="-webkit-standard" w:hAnsi="-webkit-standard"/>
          <w:noProof/>
        </w:rPr>
        <w:t xml:space="preserve"> La sfârșitul anului 2018, 13 state membre dețineau sisteme electronice de acordare a licențelor.</w:t>
      </w:r>
    </w:p>
    <w:p>
      <w:pPr>
        <w:spacing w:before="100" w:beforeAutospacing="1" w:after="100" w:afterAutospacing="1"/>
        <w:jc w:val="both"/>
        <w:rPr>
          <w:rFonts w:eastAsia="Times New Roman"/>
          <w:b/>
          <w:noProof/>
        </w:rPr>
      </w:pPr>
      <w:r>
        <w:rPr>
          <w:b/>
          <w:noProof/>
        </w:rPr>
        <w:t>3.5</w:t>
      </w:r>
      <w:r>
        <w:rPr>
          <w:b/>
          <w:noProof/>
        </w:rPr>
        <w:tab/>
        <w:t>Grupul de experți ai UE privind produsele cu dublă utilizare</w:t>
      </w:r>
    </w:p>
    <w:p>
      <w:pPr>
        <w:spacing w:before="100" w:beforeAutospacing="1" w:after="100" w:afterAutospacing="1"/>
        <w:jc w:val="both"/>
        <w:rPr>
          <w:rFonts w:eastAsia="Times New Roman"/>
          <w:noProof/>
        </w:rPr>
      </w:pPr>
      <w:r>
        <w:rPr>
          <w:noProof/>
        </w:rPr>
        <w:t>În 2018, Grupul de experți ai UE privind produsele cu dublă utilizare, coordonat de Centrul Comun de Cercetare (JRC) al Comisiei, și experții puși la dispoziție de statele membre au continuat să ofere sprijin autorităților competente care au solicitat consiliere privind susținerea evaluării unor cazuri concrete de acordare de licențe. În total, pe parcursul perioadei de raportare, au fost furnizate unui număr de șase autorități competente zece avize tehnice privind clasificarea mărfurilor.</w:t>
      </w:r>
      <w:r>
        <w:rPr>
          <w:noProof/>
          <w:sz w:val="20"/>
          <w:szCs w:val="20"/>
        </w:rPr>
        <w:t xml:space="preserve"> </w:t>
      </w:r>
    </w:p>
    <w:p>
      <w:pPr>
        <w:keepNext/>
        <w:tabs>
          <w:tab w:val="left" w:pos="850"/>
        </w:tabs>
        <w:spacing w:after="120"/>
        <w:ind w:left="850" w:hanging="850"/>
        <w:jc w:val="both"/>
        <w:outlineLvl w:val="1"/>
        <w:rPr>
          <w:rFonts w:eastAsia="Times New Roman"/>
          <w:b/>
          <w:noProof/>
        </w:rPr>
      </w:pPr>
      <w:r>
        <w:rPr>
          <w:b/>
          <w:noProof/>
        </w:rPr>
        <w:t>3.6</w:t>
      </w:r>
      <w:r>
        <w:rPr>
          <w:b/>
          <w:noProof/>
        </w:rPr>
        <w:tab/>
        <w:t>Punerea în aplicare și asigurarea respectării</w:t>
      </w:r>
    </w:p>
    <w:p>
      <w:pPr>
        <w:spacing w:before="100" w:beforeAutospacing="1" w:after="100" w:afterAutospacing="1"/>
        <w:jc w:val="both"/>
        <w:rPr>
          <w:rFonts w:eastAsia="Calibri"/>
          <w:noProof/>
        </w:rPr>
      </w:pPr>
      <w:r>
        <w:rPr>
          <w:noProof/>
        </w:rPr>
        <w:t>DUCG a efectuat schimburi de informații privind punerea în aplicare și asigurarea respectării controalelor. Potrivit datelor disponibile, în 2018, rețeaua UE de control la export – cuprinzând personal în cadrul autorităților competente din statele membre și Comisie – era formată din peste 300 de angajați. În ceea ce privește asigurarea respectării legislației, în 2017 au fost înregistrate 120 de încălcări ale regulamentelor privind controlul exporturilor, iar autoritățile naționale de aplicare a legii au aplicat 130 de sancțiuni administrative și două sancțiuni penale.</w:t>
      </w:r>
    </w:p>
    <w:p>
      <w:pPr>
        <w:spacing w:before="100" w:beforeAutospacing="1" w:after="100" w:afterAutospacing="1"/>
        <w:jc w:val="both"/>
        <w:rPr>
          <w:rFonts w:eastAsia="Times New Roman"/>
          <w:b/>
          <w:noProof/>
        </w:rPr>
      </w:pPr>
      <w:r>
        <w:rPr>
          <w:b/>
          <w:noProof/>
        </w:rPr>
        <w:t>3.7</w:t>
      </w:r>
      <w:r>
        <w:rPr>
          <w:b/>
          <w:noProof/>
        </w:rPr>
        <w:tab/>
        <w:t>Consolidarea capacităților</w:t>
      </w:r>
    </w:p>
    <w:p>
      <w:pPr>
        <w:spacing w:before="100" w:beforeAutospacing="1" w:after="100" w:afterAutospacing="1"/>
        <w:jc w:val="both"/>
        <w:rPr>
          <w:rFonts w:eastAsia="Times New Roman"/>
          <w:noProof/>
        </w:rPr>
      </w:pPr>
      <w:r>
        <w:rPr>
          <w:noProof/>
        </w:rPr>
        <w:t>În 2017, JRC al Comisiei a continuat seria de seminare tehnice în colaborare cu Departamentul Energiei din SUA și a organizat cel de al zecelea seminar, în perioada 23-24 mai 2017, la sediul Organizației Mondiale a Vămilor din Bruxelles, Belgia. La eveniment au participat funcționari responsabili cu acordarea licențelor și experți tehnici din cadrul autorităților competente, precum și exportatori, reprezentanți ai mediului academic și membri ai unor organizații de cercetare. Printre temele discutate s-au numărat provocările legate de punerea în aplicare a controalelor exhaustive și provocările legate de corelarea codurilor vamale și a listelor de control al exporturilor.</w:t>
      </w: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 xml:space="preserve">În 2018, DUCG a sprijinit organizarea de către JRC al Comisiei a unui </w:t>
      </w:r>
      <w:r>
        <w:rPr>
          <w:rFonts w:ascii="Times New Roman" w:hAnsi="Times New Roman"/>
          <w:i/>
          <w:iCs/>
          <w:noProof/>
          <w:sz w:val="24"/>
          <w:szCs w:val="24"/>
        </w:rPr>
        <w:t>seminar UE pentru consolidarea capacităților „Inreach”</w:t>
      </w:r>
      <w:r>
        <w:rPr>
          <w:rFonts w:ascii="Times New Roman" w:hAnsi="Times New Roman"/>
          <w:noProof/>
          <w:sz w:val="24"/>
          <w:szCs w:val="24"/>
        </w:rPr>
        <w:t xml:space="preserve">, la Ispra (Italia), în perioada 6-7 martie 2018, și a unui </w:t>
      </w:r>
      <w:r>
        <w:rPr>
          <w:rFonts w:ascii="Times New Roman" w:hAnsi="Times New Roman"/>
          <w:i/>
          <w:iCs/>
          <w:noProof/>
          <w:sz w:val="24"/>
          <w:szCs w:val="24"/>
        </w:rPr>
        <w:t>seminar tehnic, organizat împreună cu Administrația națională pentru securitatea nucleară a SUA (NNSA)</w:t>
      </w:r>
      <w:r>
        <w:rPr>
          <w:rFonts w:ascii="Times New Roman" w:hAnsi="Times New Roman"/>
          <w:noProof/>
          <w:sz w:val="24"/>
          <w:szCs w:val="24"/>
        </w:rPr>
        <w:t xml:space="preserve">, tot la Ispra, în perioada 18-19 septembrie 2018. </w:t>
      </w:r>
    </w:p>
    <w:p>
      <w:pPr>
        <w:pStyle w:val="ListParagraph"/>
        <w:ind w:left="0"/>
        <w:jc w:val="both"/>
        <w:rPr>
          <w:rFonts w:eastAsia="Times New Roman"/>
          <w:noProof/>
        </w:rPr>
      </w:pPr>
    </w:p>
    <w:p>
      <w:pPr>
        <w:jc w:val="both"/>
        <w:rPr>
          <w:noProof/>
        </w:rPr>
      </w:pPr>
      <w:r>
        <w:rPr>
          <w:noProof/>
        </w:rPr>
        <w:t>JRC al Comisiei a prezentat un „manual privind controlul exporturilor pentru substanțe chimice”, care identifică codurile de corelare pentru substanțele chimice (numărul de clasificare pentru controlul exporturilor, Codul vamal, numărul CAS și denumirea chimică) în temeiul diverselor regulamente comerciale ale UE.</w:t>
      </w:r>
    </w:p>
    <w:p>
      <w:pPr>
        <w:spacing w:before="100" w:beforeAutospacing="1" w:after="100" w:afterAutospacing="1"/>
        <w:jc w:val="both"/>
        <w:rPr>
          <w:rFonts w:eastAsia="Times New Roman"/>
          <w:b/>
          <w:noProof/>
        </w:rPr>
      </w:pPr>
      <w:r>
        <w:rPr>
          <w:b/>
          <w:noProof/>
        </w:rPr>
        <w:t>3.8</w:t>
      </w:r>
      <w:r>
        <w:rPr>
          <w:b/>
          <w:noProof/>
        </w:rPr>
        <w:tab/>
        <w:t xml:space="preserve">Transparența și dialogul cu sectorul industrial și cu mediul academic </w:t>
      </w:r>
    </w:p>
    <w:p>
      <w:pPr>
        <w:jc w:val="both"/>
        <w:rPr>
          <w:rFonts w:eastAsia="Calibri"/>
          <w:noProof/>
        </w:rPr>
      </w:pPr>
      <w:r>
        <w:rPr>
          <w:noProof/>
        </w:rPr>
        <w:t>DUCG a sprijinit organizarea unui „Forum privind controlul exporturilor”, care a avut loc la 13 decembrie 2018 la Bruxelles și la care au participat asociații din industrie, întreprinderi din sectorul produselor cu dublă utilizare, reprezentanți ai mediului academic și organizații ale societății civile, pentru a se discuta punerea în aplicare a controalelor exporturilor UE și procesul legislativ pentru modernizarea controalelor exporturilor UE. În total, Comisia și autoritățile competente au organizat sau au participat în 2018 la peste 180 de evenimente de comunicare externă către industrie.</w:t>
      </w:r>
    </w:p>
    <w:p>
      <w:pPr>
        <w:spacing w:before="100" w:beforeAutospacing="1" w:after="100" w:afterAutospacing="1"/>
        <w:jc w:val="both"/>
        <w:rPr>
          <w:rFonts w:eastAsia="Calibri"/>
          <w:noProof/>
        </w:rPr>
      </w:pPr>
      <w:r>
        <w:rPr>
          <w:noProof/>
        </w:rPr>
        <w:t>De asemenea, DUCG a pregătit documente în sprijinul punerii în aplicare de către exportatori a regulamentelor. În special, o „Notă cuprinzătoare cu privire la modificări” rezumă, în scop informativ, modificările textului referitor la controale, aduse listei de control a UE și introduse prin Regulamentul delegat (UE) nr. 2018/1922 al Comisiei.</w:t>
      </w:r>
    </w:p>
    <w:p>
      <w:pPr>
        <w:spacing w:before="100" w:beforeAutospacing="1" w:after="100" w:afterAutospacing="1"/>
        <w:jc w:val="both"/>
        <w:rPr>
          <w:rFonts w:eastAsia="Calibri"/>
          <w:noProof/>
        </w:rPr>
      </w:pPr>
    </w:p>
    <w:p>
      <w:pPr>
        <w:keepNext/>
        <w:tabs>
          <w:tab w:val="left" w:pos="850"/>
        </w:tabs>
        <w:spacing w:after="120"/>
        <w:ind w:left="850" w:hanging="850"/>
        <w:jc w:val="both"/>
        <w:outlineLvl w:val="0"/>
        <w:rPr>
          <w:rFonts w:eastAsia="Times New Roman"/>
          <w:b/>
          <w:smallCaps/>
          <w:noProof/>
        </w:rPr>
      </w:pPr>
      <w:r>
        <w:rPr>
          <w:b/>
          <w:smallCaps/>
          <w:noProof/>
        </w:rPr>
        <w:t>4</w:t>
      </w:r>
      <w:r>
        <w:rPr>
          <w:b/>
          <w:smallCaps/>
          <w:noProof/>
        </w:rPr>
        <w:tab/>
        <w:t xml:space="preserve">Controalele exporturilor UE – date-cheie </w:t>
      </w:r>
    </w:p>
    <w:p>
      <w:pPr>
        <w:spacing w:before="100" w:beforeAutospacing="1" w:after="100" w:afterAutospacing="1"/>
        <w:jc w:val="both"/>
        <w:rPr>
          <w:rFonts w:eastAsia="Times New Roman"/>
          <w:noProof/>
        </w:rPr>
      </w:pPr>
      <w:r>
        <w:rPr>
          <w:noProof/>
        </w:rPr>
        <w:t xml:space="preserve">Este dificil să se obțină informații fiabile cu privire la exporturile globale de produse cu dublă utilizare (inclusiv produse cu dublă utilizare neincluse în listă), deoarece acestea nu corespund niciunui sector economic definit. Cu toate acestea, Comisia și statele membre colectează date care permit estimări aproximative ale exporturilor de produse cu dublă utilizare, bazate, pe de o parte, pe datele specifice referitoare la acordarea de licențe colectate de către autoritățile competente și, pe de altă parte, pe statisticile privind produsele înregistrate în vămi care includ produsele cu dublă utilizare. Estimările datelor de export pentru 2017 sunt prezentate mai jos. Ar trebui remarcat faptul că estimările prezentate mai jos nu includ serviciile și transferurile intangibile de tehnologie asociate cu comerțul de produse cu dublă utilizare. </w:t>
      </w:r>
    </w:p>
    <w:p>
      <w:pPr>
        <w:keepNext/>
        <w:tabs>
          <w:tab w:val="left" w:pos="850"/>
        </w:tabs>
        <w:spacing w:after="120"/>
        <w:ind w:left="850" w:hanging="850"/>
        <w:jc w:val="both"/>
        <w:outlineLvl w:val="1"/>
        <w:rPr>
          <w:rFonts w:eastAsia="Times New Roman"/>
          <w:b/>
          <w:noProof/>
        </w:rPr>
      </w:pPr>
      <w:r>
        <w:rPr>
          <w:b/>
          <w:noProof/>
        </w:rPr>
        <w:t>4.1</w:t>
      </w:r>
      <w:r>
        <w:rPr>
          <w:b/>
          <w:noProof/>
        </w:rPr>
        <w:tab/>
        <w:t xml:space="preserve">Comerțul UE cu produse cu dublă utilizare: produse și destinații </w:t>
      </w:r>
    </w:p>
    <w:p>
      <w:pPr>
        <w:spacing w:before="100" w:beforeAutospacing="1" w:after="100" w:afterAutospacing="1"/>
        <w:jc w:val="both"/>
        <w:rPr>
          <w:rFonts w:eastAsia="Times New Roman"/>
          <w:noProof/>
        </w:rPr>
      </w:pPr>
      <w:r>
        <w:rPr>
          <w:noProof/>
        </w:rPr>
        <w:t xml:space="preserve">În 2018, regulamentul a fost aplicat în principal exporturilor a aproximativ 1 846 de „produse” cu dublă utilizare enumerate în anexa I („lista de control a UE”) și clasificate în zece categorii (figura 1). Aceste produse cu dublă utilizare corespund unui număr de aproximativ 1 000 de produse înregistrate în vămi, inclusiv substanțe chimice, metale și produse minerale nemetalice, calculatoare, produse electronice și optice, echipamente electrice, utilaje, vehicule și echipamente de transport etc. și, de regulă, sunt produse de înaltă tehnologie din acest vast domeniu de produse diverse. </w:t>
      </w:r>
    </w:p>
    <w:p>
      <w:pPr>
        <w:spacing w:after="120"/>
        <w:jc w:val="both"/>
        <w:rPr>
          <w:rFonts w:eastAsia="Times New Roman"/>
          <w:noProof/>
        </w:rPr>
      </w:pPr>
      <w:r>
        <w:rPr>
          <w:noProof/>
          <w:lang w:val="en-GB" w:eastAsia="en-GB"/>
        </w:rPr>
        <w:drawing>
          <wp:inline distT="0" distB="0" distL="0" distR="0">
            <wp:extent cx="5760720" cy="2710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710661"/>
                    </a:xfrm>
                    <a:prstGeom prst="rect">
                      <a:avLst/>
                    </a:prstGeom>
                    <a:noFill/>
                    <a:ln>
                      <a:noFill/>
                    </a:ln>
                  </pic:spPr>
                </pic:pic>
              </a:graphicData>
            </a:graphic>
          </wp:inline>
        </w:drawing>
      </w:r>
    </w:p>
    <w:p>
      <w:pPr>
        <w:spacing w:after="100" w:afterAutospacing="1"/>
        <w:jc w:val="both"/>
        <w:rPr>
          <w:rFonts w:eastAsia="Times New Roman"/>
          <w:i/>
          <w:noProof/>
          <w:sz w:val="20"/>
          <w:szCs w:val="20"/>
        </w:rPr>
      </w:pPr>
      <w:r>
        <w:rPr>
          <w:i/>
          <w:noProof/>
          <w:sz w:val="20"/>
          <w:szCs w:val="20"/>
        </w:rPr>
        <w:t>Figura 1: Numărul de produse cu dublă utilizare enumerate în cele zece categorii din anexa I în urma adoptării Regulamentului (UE) 2018/1922.</w:t>
      </w:r>
    </w:p>
    <w:p>
      <w:pPr>
        <w:spacing w:after="100" w:afterAutospacing="1"/>
        <w:jc w:val="both"/>
        <w:rPr>
          <w:rFonts w:eastAsia="Times New Roman"/>
          <w:noProof/>
        </w:rPr>
      </w:pPr>
      <w:r>
        <w:rPr>
          <w:noProof/>
        </w:rPr>
        <w:t>Estimările statistice privind importanța relativă a comerțului cu produse cu dublă utilizare arată că exporturile de produse cu dublă utilizare reprezintă aproximativ 2,3% din exporturile totale ale UE (în interiorul și în exteriorul UE), în cadrul unui larg „domeniu al exporturilor cu dublă utilizare”</w:t>
      </w:r>
      <w:r>
        <w:rPr>
          <w:noProof/>
          <w:vertAlign w:val="superscript"/>
        </w:rPr>
        <w:footnoteReference w:id="12"/>
      </w:r>
      <w:r>
        <w:rPr>
          <w:noProof/>
        </w:rPr>
        <w:t xml:space="preserve"> al produselor înregistrate în vămi (figura 2).</w:t>
      </w:r>
    </w:p>
    <w:p>
      <w:pPr>
        <w:spacing w:after="100" w:afterAutospacing="1"/>
        <w:jc w:val="center"/>
        <w:rPr>
          <w:rFonts w:eastAsia="Times New Roman"/>
          <w:noProof/>
        </w:rPr>
      </w:pPr>
      <w:r>
        <w:rPr>
          <w:noProof/>
          <w:lang w:val="en-GB" w:eastAsia="en-GB"/>
        </w:rPr>
        <w:drawing>
          <wp:inline distT="0" distB="0" distL="0" distR="0">
            <wp:extent cx="3519566" cy="2030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9566" cy="2030400"/>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Figura 2: Estimări statistice ale exporturilor cu dublă utilizare în interiorul și în exteriorul UE.</w:t>
      </w:r>
    </w:p>
    <w:p>
      <w:pPr>
        <w:spacing w:before="100" w:beforeAutospacing="1" w:after="100" w:afterAutospacing="1"/>
        <w:jc w:val="both"/>
        <w:rPr>
          <w:noProof/>
        </w:rPr>
      </w:pPr>
      <w:r>
        <w:rPr>
          <w:noProof/>
        </w:rPr>
        <w:t>Estimările statistice arată, de asemenea, principalele destinații ale exporturilor și indică faptul că o mare parte dintre aceste exporturi de produse cu dublă utilizare sunt direcționate spre țările incluse pe lista autorizațiilor generale de export ale UE (EUGEA). Țările de destinație reflectă structura pieței UE de export pentru produsele relevante, precum și facilitarea comerțului prin EUGEA (figurile 3 și 4)</w:t>
      </w:r>
      <w:r>
        <w:rPr>
          <w:noProof/>
          <w:vertAlign w:val="superscript"/>
        </w:rPr>
        <w:footnoteReference w:id="13"/>
      </w:r>
      <w:r>
        <w:rPr>
          <w:noProof/>
        </w:rPr>
        <w:t xml:space="preserve">. </w:t>
      </w:r>
    </w:p>
    <w:p>
      <w:pPr>
        <w:spacing w:before="100" w:beforeAutospacing="1" w:after="100" w:afterAutospacing="1"/>
        <w:jc w:val="both"/>
        <w:rPr>
          <w:rFonts w:eastAsia="Times New Roman"/>
          <w:noProof/>
        </w:rPr>
      </w:pPr>
      <w:r>
        <w:rPr>
          <w:noProof/>
          <w:lang w:val="en-GB" w:eastAsia="en-GB"/>
        </w:rPr>
        <w:drawing>
          <wp:inline distT="0" distB="0" distL="0" distR="0">
            <wp:extent cx="5752292" cy="3387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8135" cy="3397111"/>
                    </a:xfrm>
                    <a:prstGeom prst="rect">
                      <a:avLst/>
                    </a:prstGeom>
                    <a:noFill/>
                    <a:ln>
                      <a:noFill/>
                    </a:ln>
                  </pic:spPr>
                </pic:pic>
              </a:graphicData>
            </a:graphic>
          </wp:inline>
        </w:drawing>
      </w:r>
    </w:p>
    <w:p>
      <w:pPr>
        <w:jc w:val="center"/>
        <w:rPr>
          <w:rFonts w:eastAsia="Times New Roman"/>
          <w:noProof/>
        </w:rPr>
      </w:pPr>
    </w:p>
    <w:p>
      <w:pPr>
        <w:spacing w:after="100" w:afterAutospacing="1"/>
        <w:jc w:val="center"/>
        <w:rPr>
          <w:rFonts w:eastAsia="Times New Roman"/>
          <w:i/>
          <w:noProof/>
          <w:sz w:val="20"/>
          <w:szCs w:val="20"/>
        </w:rPr>
      </w:pPr>
      <w:r>
        <w:rPr>
          <w:i/>
          <w:noProof/>
          <w:sz w:val="20"/>
          <w:szCs w:val="20"/>
        </w:rPr>
        <w:t>Figura 3: Estimarea exporturilor UE de produse cu dublă utilizare: primele 25 de țări de destinație ale exporturilor și subregiunile acestora în 2017.</w:t>
      </w:r>
    </w:p>
    <w:p>
      <w:pPr>
        <w:spacing w:before="120" w:after="100" w:afterAutospacing="1"/>
        <w:rPr>
          <w:rFonts w:eastAsia="Times New Roman"/>
          <w:noProof/>
          <w:szCs w:val="22"/>
        </w:rPr>
      </w:pPr>
      <w:r>
        <w:rPr>
          <w:noProof/>
          <w:lang w:val="en-GB" w:eastAsia="en-GB"/>
        </w:rPr>
        <w:drawing>
          <wp:inline distT="0" distB="0" distL="0" distR="0">
            <wp:extent cx="5760720" cy="3040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40804"/>
                    </a:xfrm>
                    <a:prstGeom prst="rect">
                      <a:avLst/>
                    </a:prstGeom>
                    <a:noFill/>
                    <a:ln>
                      <a:noFill/>
                    </a:ln>
                  </pic:spPr>
                </pic:pic>
              </a:graphicData>
            </a:graphic>
          </wp:inline>
        </w:drawing>
      </w:r>
    </w:p>
    <w:p>
      <w:pPr>
        <w:spacing w:before="120" w:after="100" w:afterAutospacing="1"/>
        <w:jc w:val="center"/>
        <w:rPr>
          <w:rFonts w:eastAsia="Times New Roman"/>
          <w:i/>
          <w:noProof/>
          <w:sz w:val="20"/>
          <w:szCs w:val="20"/>
        </w:rPr>
      </w:pPr>
      <w:r>
        <w:rPr>
          <w:i/>
          <w:noProof/>
          <w:sz w:val="20"/>
          <w:szCs w:val="20"/>
        </w:rPr>
        <w:t>Figura 4: Estimarea exporturilor UE de produse cu dublă utilizare: țări de destinație în funcție de regiuni și subregiuni în 2017.</w:t>
      </w:r>
    </w:p>
    <w:p>
      <w:pPr>
        <w:spacing w:before="120" w:after="100" w:afterAutospacing="1"/>
        <w:jc w:val="center"/>
        <w:rPr>
          <w:rFonts w:eastAsia="Times New Roman"/>
          <w:i/>
          <w:noProof/>
          <w:sz w:val="20"/>
          <w:szCs w:val="20"/>
        </w:rPr>
      </w:pPr>
    </w:p>
    <w:p>
      <w:pPr>
        <w:keepNext/>
        <w:tabs>
          <w:tab w:val="left" w:pos="850"/>
        </w:tabs>
        <w:spacing w:after="120"/>
        <w:ind w:left="850" w:hanging="850"/>
        <w:jc w:val="both"/>
        <w:outlineLvl w:val="1"/>
        <w:rPr>
          <w:rFonts w:eastAsia="Times New Roman"/>
          <w:b/>
          <w:noProof/>
        </w:rPr>
      </w:pPr>
      <w:r>
        <w:rPr>
          <w:b/>
          <w:noProof/>
        </w:rPr>
        <w:t>4.2.</w:t>
      </w:r>
      <w:r>
        <w:rPr>
          <w:b/>
          <w:noProof/>
        </w:rPr>
        <w:tab/>
        <w:t xml:space="preserve">Regimul UE de control al comerțului cu produse cu dublă utilizare: cereri, licențe, refuzuri </w:t>
      </w:r>
    </w:p>
    <w:p>
      <w:pPr>
        <w:spacing w:before="100" w:beforeAutospacing="1" w:after="100" w:afterAutospacing="1"/>
        <w:jc w:val="both"/>
        <w:rPr>
          <w:rFonts w:eastAsia="Times New Roman"/>
          <w:noProof/>
        </w:rPr>
      </w:pPr>
      <w:r>
        <w:rPr>
          <w:noProof/>
        </w:rPr>
        <w:t>În lumina articolului 19 alineatul (2), care prevede că „[s]tatele membre iau toate măsurile corespunzătoare pentru a stabili o cooperare directă și un schimb de informații între autoritățile competente, în vederea consolidării eficienței regimului comunitar de control al exporturilor”, DUCG a efectuat schimburi de date și informații privind acordarea licențelor, pentru a îmbunătăți înțelegerea controalelor exporturilor și a efectelor economice ale acestora. Unele date colectate pentru perioada de raportare sunt redate mai jos; totuși, este de remarcat faptul că nu toate statele membre colectează toate datele. Informațiile furnizate mai jos reprezintă, prin urmare, estimări aproximative ale cantităților și valorilor agregate în limitele datelor puse la dispoziție de statele membre.</w:t>
      </w:r>
    </w:p>
    <w:p>
      <w:pPr>
        <w:spacing w:after="120"/>
        <w:jc w:val="both"/>
        <w:rPr>
          <w:rFonts w:eastAsia="Times New Roman"/>
          <w:noProof/>
        </w:rPr>
      </w:pPr>
      <w:r>
        <w:rPr>
          <w:noProof/>
        </w:rPr>
        <w:t>Valoarea totală</w:t>
      </w:r>
      <w:r>
        <w:rPr>
          <w:noProof/>
          <w:vertAlign w:val="superscript"/>
        </w:rPr>
        <w:footnoteReference w:id="14"/>
      </w:r>
      <w:r>
        <w:rPr>
          <w:noProof/>
        </w:rPr>
        <w:t xml:space="preserve"> corespunzătoare cererilor s-a ridicat la 50,2 miliarde EUR, iar exporturile controlate de produse cu dublă utilizare au reprezentat, prin urmare, 2,7 % din totalul exporturilor în afara UE. Comerțul autorizat cu produse cu dublă utilizare s-a ridicat la valoarea de 36,6 miliarde EUR, reprezentând 2,0 % din totalul exporturilor în afara UE, majoritatea tranzacțiilor fiind autorizate pe baza unor licențe individuale (aproximativ 25 600 de licențe individuale eliberate în 2017) și a unor licențe globale (indicate în funcție de valoarea lor). Doar o mică parte a exporturilor a fost efectiv refuzată: aproximativ 631 de refuzuri au fost emise în 2017, reprezentând aproximativ 1,5 % din valoarea exporturilor controlate de produse cu dublă utilizare în anul respectiv și 0,04 % din totalul exporturilor în afara UE. </w:t>
      </w:r>
    </w:p>
    <w:p>
      <w:pPr>
        <w:spacing w:before="100" w:beforeAutospacing="1" w:after="100" w:afterAutospacing="1"/>
        <w:jc w:val="both"/>
        <w:rPr>
          <w:rFonts w:eastAsia="Times New Roman"/>
          <w:noProof/>
        </w:rPr>
      </w:pPr>
    </w:p>
    <w:p>
      <w:pPr>
        <w:spacing w:before="100" w:beforeAutospacing="1" w:after="100" w:afterAutospacing="1"/>
        <w:jc w:val="center"/>
        <w:rPr>
          <w:rFonts w:eastAsia="Times New Roman"/>
          <w:noProof/>
        </w:rPr>
      </w:pPr>
      <w:r>
        <w:rPr>
          <w:noProof/>
          <w:lang w:val="en-GB" w:eastAsia="en-GB"/>
        </w:rPr>
        <w:drawing>
          <wp:inline distT="0" distB="0" distL="0" distR="0">
            <wp:extent cx="4890135" cy="2703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0135" cy="2703195"/>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szCs w:val="20"/>
        </w:rPr>
        <w:t>Figura 5: Volumul (numărul) de autorizații și de refuzuri în perioada 2013-2017</w:t>
      </w:r>
      <w:r>
        <w:rPr>
          <w:i/>
          <w:noProof/>
          <w:sz w:val="20"/>
          <w:szCs w:val="20"/>
          <w:vertAlign w:val="superscript"/>
        </w:rPr>
        <w:footnoteReference w:id="15"/>
      </w:r>
      <w:r>
        <w:rPr>
          <w:i/>
          <w:noProof/>
          <w:sz w:val="20"/>
          <w:szCs w:val="20"/>
        </w:rPr>
        <w:t>.</w:t>
      </w:r>
    </w:p>
    <w:p>
      <w:pPr>
        <w:spacing w:after="240"/>
        <w:jc w:val="center"/>
        <w:rPr>
          <w:rFonts w:eastAsia="Calibri"/>
          <w:noProof/>
        </w:rPr>
      </w:pPr>
      <w:r>
        <w:rPr>
          <w:noProof/>
          <w:lang w:val="en-GB" w:eastAsia="en-GB"/>
        </w:rPr>
        <w:drawing>
          <wp:inline distT="0" distB="0" distL="0" distR="0">
            <wp:extent cx="4858385" cy="269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8385" cy="2695575"/>
                    </a:xfrm>
                    <a:prstGeom prst="rect">
                      <a:avLst/>
                    </a:prstGeom>
                    <a:noFill/>
                    <a:ln>
                      <a:noFill/>
                    </a:ln>
                  </pic:spPr>
                </pic:pic>
              </a:graphicData>
            </a:graphic>
          </wp:inline>
        </w:drawing>
      </w:r>
    </w:p>
    <w:p>
      <w:pPr>
        <w:spacing w:after="240"/>
        <w:jc w:val="center"/>
        <w:rPr>
          <w:rFonts w:eastAsia="Times New Roman"/>
          <w:i/>
          <w:noProof/>
          <w:sz w:val="20"/>
          <w:szCs w:val="20"/>
          <w:vertAlign w:val="superscript"/>
        </w:rPr>
      </w:pPr>
      <w:r>
        <w:rPr>
          <w:i/>
          <w:noProof/>
          <w:sz w:val="20"/>
          <w:szCs w:val="20"/>
        </w:rPr>
        <w:t>Figura 6: Valoarea (în milioane EUR) autorizațiilor și refuzurilor în perioada 2013-2017.</w:t>
      </w:r>
      <w:r>
        <w:rPr>
          <w:i/>
          <w:noProof/>
          <w:sz w:val="20"/>
          <w:szCs w:val="20"/>
          <w:vertAlign w:val="superscript"/>
        </w:rPr>
        <w:t xml:space="preserve"> </w:t>
      </w:r>
    </w:p>
    <w:p>
      <w:pPr>
        <w:rPr>
          <w:rFonts w:eastAsia="Times New Roman"/>
          <w:i/>
          <w:noProof/>
          <w:sz w:val="20"/>
          <w:szCs w:val="20"/>
          <w:vertAlign w:val="superscript"/>
        </w:rPr>
      </w:pPr>
      <w:r>
        <w:rPr>
          <w:noProof/>
        </w:rPr>
        <w:br w:type="page"/>
      </w:r>
    </w:p>
    <w:p>
      <w:pPr>
        <w:spacing w:after="240"/>
        <w:jc w:val="center"/>
        <w:rPr>
          <w:rFonts w:eastAsia="Times New Roman"/>
          <w:i/>
          <w:noProof/>
          <w:sz w:val="20"/>
          <w:szCs w:val="20"/>
          <w:vertAlign w:val="superscript"/>
        </w:rPr>
      </w:pPr>
      <w:r>
        <w:rPr>
          <w:noProof/>
          <w:lang w:val="en-GB" w:eastAsia="en-GB"/>
        </w:rPr>
        <w:drawing>
          <wp:inline distT="0" distB="0" distL="0" distR="0">
            <wp:extent cx="4667097" cy="2841361"/>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1683" cy="2850241"/>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szCs w:val="20"/>
        </w:rPr>
        <w:t>Figura 7: Volumul (numărul) autorizațiilor per tip de licență în 2017.</w:t>
      </w:r>
    </w:p>
    <w:p>
      <w:pPr>
        <w:spacing w:after="100" w:afterAutospacing="1"/>
        <w:jc w:val="center"/>
        <w:rPr>
          <w:rFonts w:eastAsia="Times New Roman"/>
          <w:i/>
          <w:noProof/>
          <w:sz w:val="20"/>
          <w:szCs w:val="20"/>
        </w:rPr>
      </w:pPr>
      <w:r>
        <w:rPr>
          <w:noProof/>
          <w:lang w:val="en-GB" w:eastAsia="en-GB"/>
        </w:rPr>
        <w:drawing>
          <wp:inline distT="0" distB="0" distL="0" distR="0">
            <wp:extent cx="4374489" cy="26632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4950" cy="2669588"/>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Figura 8: Valoarea (în milioane EUR) autorizațiilor pentru fiecare tip în 2017.</w:t>
      </w:r>
    </w:p>
    <w:p>
      <w:pPr>
        <w:spacing w:after="120"/>
        <w:jc w:val="both"/>
        <w:rPr>
          <w:rFonts w:eastAsia="Times New Roman"/>
          <w:noProof/>
        </w:rPr>
      </w:pPr>
    </w:p>
    <w:p>
      <w:pPr>
        <w:keepNext/>
        <w:tabs>
          <w:tab w:val="left" w:pos="850"/>
        </w:tabs>
        <w:spacing w:after="120"/>
        <w:ind w:left="850" w:hanging="850"/>
        <w:jc w:val="both"/>
        <w:outlineLvl w:val="0"/>
        <w:rPr>
          <w:rFonts w:eastAsia="Times New Roman"/>
          <w:b/>
          <w:smallCaps/>
          <w:noProof/>
        </w:rPr>
      </w:pPr>
      <w:r>
        <w:rPr>
          <w:b/>
          <w:smallCaps/>
          <w:noProof/>
        </w:rPr>
        <w:t>5.</w:t>
      </w:r>
      <w:r>
        <w:rPr>
          <w:b/>
          <w:smallCaps/>
          <w:noProof/>
        </w:rPr>
        <w:tab/>
        <w:t>E</w:t>
      </w:r>
      <w:r>
        <w:rPr>
          <w:b/>
          <w:noProof/>
        </w:rPr>
        <w:t>xercițiul delegării de competență în temeiul articolului 15 alineatul (3) din regulament</w:t>
      </w:r>
    </w:p>
    <w:p>
      <w:pPr>
        <w:jc w:val="both"/>
        <w:rPr>
          <w:noProof/>
        </w:rPr>
      </w:pPr>
    </w:p>
    <w:p>
      <w:pPr>
        <w:jc w:val="both"/>
        <w:rPr>
          <w:noProof/>
        </w:rPr>
      </w:pPr>
      <w:r>
        <w:rPr>
          <w:noProof/>
        </w:rPr>
        <w:t>Regulamentul conferă Comisiei competențe în vederea punerii în aplicare a unor dispoziții din respectivul regulament. În special, articolul 15 alineatul (3) prevede că „Comisia este împuternicită să adopte acte delegate în conformitate cu articolul 23a privind actualizarea listei de produse cu dublă utilizare prevăzută în anexa I. Actualizarea anexei I se realizează în limitele prevăzute la alineatul (1) din prezentul articol. Acolo unde actualizarea anexei I vizează produse cu dublă utilizare care sunt enumerate și în anexele IIa-IIg sau în anexa IV, anexele respective se modifică în mod corespunzător”. Articolul 23a alineatul (2), impune, de asemenea, Comisiei să prezinte „un raport privind delegarea de competențe cel târziu cu nouă luni înainte de încheierea perioadei de cinci ani” și prevede că „delegarea de competențe se prelungește tacit cu perioade identice, cu excepția cazului în care Parlamentul European sau Consiliul se opun prelungirii respective cel târziu cu trei luni înainte de încheierea fiecărei perioade.”</w:t>
      </w:r>
    </w:p>
    <w:p>
      <w:pPr>
        <w:jc w:val="both"/>
        <w:rPr>
          <w:noProof/>
        </w:rPr>
      </w:pPr>
    </w:p>
    <w:p>
      <w:pPr>
        <w:jc w:val="both"/>
        <w:rPr>
          <w:noProof/>
        </w:rPr>
      </w:pPr>
      <w:r>
        <w:rPr>
          <w:noProof/>
        </w:rPr>
        <w:t>Competența de a adopta actele delegate enumerate mai sus a fost exercitată în mod regulat și prompt pentru a actualiza lista produselor cu dublă utilizare prevăzută în anexa I la Regulamentul (CE) nr. 428/2009, în vederea asigurării conformității depline cu obligațiile internaționale de securitate, a garantării transparenței și a menținerii competitivității exportatorilor UE. În conformitate cu regulamentul, Comisia a desfășurat și consultări corespunzătoare pe durata lucrărilor sale de pregătire, inclusiv la nivel de experți. În special, reprezentanți din cadrul Parlamentului European au fost invitați în fiecare an la o sesiune specială a DUCG, în cursul căreia au fost prezentate și explicate modificările esențiale ale listei de control a UE și s-a discutat calendarul pentru actualizarea anuală.</w:t>
      </w:r>
    </w:p>
    <w:p>
      <w:pPr>
        <w:jc w:val="both"/>
        <w:rPr>
          <w:noProof/>
        </w:rPr>
      </w:pPr>
    </w:p>
    <w:p>
      <w:pPr>
        <w:jc w:val="both"/>
        <w:rPr>
          <w:noProof/>
        </w:rPr>
      </w:pPr>
      <w:r>
        <w:rPr>
          <w:noProof/>
        </w:rPr>
        <w:t>De la intrarea în vigoare a delegării de competențe în 2014, Comisia a adoptat cinci acte delegate, după cum urmează:</w:t>
      </w:r>
    </w:p>
    <w:p>
      <w:pPr>
        <w:jc w:val="both"/>
        <w:rPr>
          <w:noProof/>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sz w:val="24"/>
          <w:szCs w:val="24"/>
        </w:rPr>
        <w:t>Regulamentul delegat (UE) nr. 1382/2014 al Comisiei din 22 octombrie 2014 de modificare a Regulamentului (CE) nr. 428/2009 al Consiliului de instituire a unui regim comunitar pentru controlul exporturilor, transferului, serviciilor de intermediere și tranzitului de produse cu dublă utilizare;</w:t>
      </w:r>
    </w:p>
    <w:p>
      <w:pPr>
        <w:pStyle w:val="ListParagraph"/>
        <w:autoSpaceDE w:val="0"/>
        <w:autoSpaceDN w:val="0"/>
        <w:adjustRightInd w:val="0"/>
        <w:spacing w:before="60" w:after="60"/>
        <w:rPr>
          <w:rFonts w:ascii="EUAlbertina" w:hAnsi="EUAlbertina" w:cs="EUAlbertina"/>
          <w:noProof/>
          <w:color w:val="000000"/>
          <w:sz w:val="19"/>
          <w:szCs w:val="19"/>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sz w:val="24"/>
          <w:szCs w:val="24"/>
        </w:rPr>
        <w:t xml:space="preserve">Regulamentul delegat (UE) 2015/2420 al Comisiei din 12 octombrie 2015 de modificare a Regulamentului (CE) nr. 428/2009 al Consiliului de instituire a unui regim comunitar pentru controlul exporturilor, transferului, serviciilor de intermediere și tranzitului de produse cu dublă utilizare; </w:t>
      </w:r>
    </w:p>
    <w:p>
      <w:pPr>
        <w:pStyle w:val="ListParagraph"/>
        <w:autoSpaceDE w:val="0"/>
        <w:autoSpaceDN w:val="0"/>
        <w:adjustRightInd w:val="0"/>
        <w:spacing w:before="60" w:after="60"/>
        <w:rPr>
          <w:rFonts w:ascii="EUAlbertina" w:hAnsi="EUAlbertina" w:cs="EUAlbertina"/>
          <w:noProof/>
          <w:color w:val="000000"/>
          <w:sz w:val="19"/>
          <w:szCs w:val="19"/>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sz w:val="24"/>
          <w:szCs w:val="24"/>
        </w:rPr>
        <w:t xml:space="preserve">Regulamentul delegat (UE) 2016/1969 al Comisiei din 12 septembrie 2016 de modificare a Regulamentului (CE) nr. 428/2009 al Consiliului de instituire a unui regim comunitar pentru controlul exporturilor, transferului, serviciilor de intermediere și tranzitului de produse cu dublă utilizare; </w:t>
      </w:r>
    </w:p>
    <w:p>
      <w:pPr>
        <w:pStyle w:val="ListParagraph"/>
        <w:spacing w:after="200"/>
        <w:contextualSpacing/>
        <w:jc w:val="both"/>
        <w:rPr>
          <w:rFonts w:ascii="Times New Roman" w:hAnsi="Times New Roman" w:cs="Times New Roman"/>
          <w:noProof/>
          <w:sz w:val="24"/>
          <w:szCs w:val="24"/>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sz w:val="24"/>
          <w:szCs w:val="24"/>
        </w:rPr>
        <w:t>Regulamentul delegat (UE) 2017/2268 al Comisiei din 26 septembrie 2017 de modificare a Regulamentului (CE) nr. 428/2009 al Consiliului de instituire a unui regim comunitar pentru controlul exporturilor, transferului, serviciilor de intermediere și tranzitului de produse cu dublă utilizare;</w:t>
      </w:r>
    </w:p>
    <w:p>
      <w:pPr>
        <w:pStyle w:val="ListParagraph"/>
        <w:spacing w:before="60" w:after="60"/>
        <w:contextualSpacing/>
        <w:jc w:val="both"/>
        <w:rPr>
          <w:rFonts w:cs="EUAlbertina"/>
          <w:noProof/>
          <w:color w:val="000000"/>
        </w:rPr>
      </w:pPr>
    </w:p>
    <w:p>
      <w:pPr>
        <w:pStyle w:val="ListParagraph"/>
        <w:numPr>
          <w:ilvl w:val="0"/>
          <w:numId w:val="3"/>
        </w:numPr>
        <w:spacing w:before="60" w:after="60"/>
        <w:contextualSpacing/>
        <w:jc w:val="both"/>
        <w:rPr>
          <w:rFonts w:cs="EUAlbertina"/>
          <w:noProof/>
          <w:color w:val="000000"/>
          <w:sz w:val="24"/>
          <w:szCs w:val="24"/>
        </w:rPr>
      </w:pPr>
      <w:r>
        <w:rPr>
          <w:rFonts w:ascii="Times New Roman" w:hAnsi="Times New Roman"/>
          <w:noProof/>
          <w:sz w:val="24"/>
          <w:szCs w:val="24"/>
        </w:rPr>
        <w:t>Regulamentul delegat (UE) 2018/1922 al Comisiei din 10 octombrie 2018 de modificare a Regulamentului (CE) nr. 428/2009 al Consiliului de instituire a unui regim comunitar pentru controlul exporturilor, transferului, serviciilor de intermediere și tranzitului de produse cu dublă utilizare.</w:t>
      </w:r>
    </w:p>
    <w:p>
      <w:pPr>
        <w:pStyle w:val="ListParagraph"/>
        <w:spacing w:before="60" w:after="60"/>
        <w:contextualSpacing/>
        <w:jc w:val="both"/>
        <w:rPr>
          <w:rFonts w:cs="EUAlbertina"/>
          <w:noProof/>
          <w:color w:val="000000"/>
        </w:rPr>
      </w:pPr>
    </w:p>
    <w:p>
      <w:pPr>
        <w:pStyle w:val="ListParagraph"/>
        <w:spacing w:before="60" w:after="60"/>
        <w:ind w:left="0"/>
        <w:contextualSpacing/>
        <w:jc w:val="both"/>
        <w:rPr>
          <w:rFonts w:ascii="Times New Roman" w:eastAsiaTheme="minorHAnsi" w:hAnsi="Times New Roman" w:cs="Times New Roman"/>
          <w:noProof/>
          <w:sz w:val="24"/>
          <w:szCs w:val="24"/>
        </w:rPr>
      </w:pPr>
    </w:p>
    <w:p>
      <w:pPr>
        <w:keepNext/>
        <w:tabs>
          <w:tab w:val="left" w:pos="850"/>
        </w:tabs>
        <w:spacing w:after="120"/>
        <w:ind w:left="850" w:hanging="850"/>
        <w:jc w:val="both"/>
        <w:outlineLvl w:val="0"/>
        <w:rPr>
          <w:rFonts w:eastAsia="Times New Roman"/>
          <w:b/>
          <w:smallCaps/>
          <w:noProof/>
        </w:rPr>
      </w:pPr>
      <w:r>
        <w:rPr>
          <w:b/>
          <w:smallCaps/>
          <w:noProof/>
        </w:rPr>
        <w:t>6.</w:t>
      </w:r>
      <w:r>
        <w:rPr>
          <w:b/>
          <w:smallCaps/>
          <w:noProof/>
        </w:rPr>
        <w:tab/>
        <w:t>Concluzii</w:t>
      </w:r>
    </w:p>
    <w:p>
      <w:pPr>
        <w:jc w:val="both"/>
        <w:rPr>
          <w:noProof/>
        </w:rPr>
      </w:pPr>
      <w:r>
        <w:rPr>
          <w:noProof/>
        </w:rPr>
        <w:t>Comisia invită Parlamentul European și Consiliul să ia act de prezentul raport în contextul exercitării corespunzătoare de către Comisie a competențelor delegate prin Regulamentul UE.</w:t>
      </w:r>
    </w:p>
    <w:p>
      <w:pPr>
        <w:rPr>
          <w:b/>
          <w:noProof/>
        </w:rPr>
      </w:pPr>
      <w:r>
        <w:rPr>
          <w:b/>
          <w:noProof/>
        </w:rPr>
        <w:t xml:space="preserve">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195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COM(2014)244 final din 24.4.2014.</w:t>
      </w:r>
    </w:p>
  </w:footnote>
  <w:footnote w:id="2">
    <w:p>
      <w:pPr>
        <w:pStyle w:val="FootnoteText"/>
      </w:pPr>
      <w:r>
        <w:rPr>
          <w:rStyle w:val="FootnoteReference"/>
        </w:rPr>
        <w:footnoteRef/>
      </w:r>
      <w:r>
        <w:t xml:space="preserve"> JO L 173, 12.6.2014, p. 79.</w:t>
      </w:r>
    </w:p>
  </w:footnote>
  <w:footnote w:id="3">
    <w:p>
      <w:pPr>
        <w:jc w:val="both"/>
        <w:rPr>
          <w:sz w:val="20"/>
          <w:szCs w:val="20"/>
        </w:rPr>
      </w:pPr>
      <w:r>
        <w:rPr>
          <w:rStyle w:val="FootnoteReference"/>
        </w:rPr>
        <w:footnoteRef/>
      </w:r>
      <w:r>
        <w:t xml:space="preserve"> </w:t>
      </w:r>
      <w:r>
        <w:rPr>
          <w:sz w:val="20"/>
          <w:szCs w:val="20"/>
        </w:rPr>
        <w:t>De asemenea, unele autorități competente ale statelor membre publică rapoarte privind comerțul cu produse cu dublă utilizare.</w:t>
      </w:r>
    </w:p>
  </w:footnote>
  <w:footnote w:id="4">
    <w:p>
      <w:pPr>
        <w:pStyle w:val="FootnoteText"/>
      </w:pPr>
      <w:r>
        <w:rPr>
          <w:rStyle w:val="FootnoteReference"/>
        </w:rPr>
        <w:footnoteRef/>
      </w:r>
      <w:r>
        <w:t xml:space="preserve"> Propunerea Comisiei de regulament COM(2016)616 este disponibilă la adresa </w:t>
      </w:r>
      <w:hyperlink r:id="rId1" w:history="1">
        <w:r>
          <w:rPr>
            <w:rStyle w:val="Hyperlink"/>
          </w:rPr>
          <w:t>https://eur-lex.europa.eu/legal-content/RO/TXT/?qid=1476175365847&amp;uri=CELEX:52016PC0616</w:t>
        </w:r>
      </w:hyperlink>
    </w:p>
  </w:footnote>
  <w:footnote w:id="5">
    <w:p>
      <w:pPr>
        <w:pStyle w:val="FootnoteText"/>
        <w:jc w:val="both"/>
      </w:pPr>
      <w:r>
        <w:rPr>
          <w:rStyle w:val="FootnoteReference"/>
        </w:rPr>
        <w:footnoteRef/>
      </w:r>
      <w:r>
        <w:t xml:space="preserve"> </w:t>
      </w:r>
      <w:r>
        <w:rPr>
          <w:rStyle w:val="Hyperlink"/>
        </w:rPr>
        <w:t xml:space="preserve">http://trade.ec.europa.eu/doclib/docs/2018/december/tradoc_157562.pdf </w:t>
      </w:r>
    </w:p>
  </w:footnote>
  <w:footnote w:id="6">
    <w:p>
      <w:pPr>
        <w:pStyle w:val="FootnoteText"/>
        <w:jc w:val="both"/>
      </w:pPr>
      <w:r>
        <w:rPr>
          <w:rStyle w:val="FootnoteReference"/>
        </w:rPr>
        <w:footnoteRef/>
      </w:r>
      <w:r>
        <w:t xml:space="preserve"> JO L 319, 14.12.2018, p. 1.</w:t>
      </w:r>
    </w:p>
  </w:footnote>
  <w:footnote w:id="7">
    <w:p>
      <w:pPr>
        <w:pStyle w:val="FootnoteText"/>
        <w:jc w:val="both"/>
      </w:pPr>
      <w:r>
        <w:rPr>
          <w:rStyle w:val="FootnoteReference"/>
        </w:rPr>
        <w:footnoteRef/>
      </w:r>
      <w:r>
        <w:t xml:space="preserve"> Rezumatul notei este disponibil la adresa: </w:t>
      </w:r>
      <w:r>
        <w:tab/>
      </w:r>
      <w:r>
        <w:br/>
        <w:t>http://trade.ec.europa.eu/doclib/docs/2018/december/tradoc_157585.pdf</w:t>
      </w:r>
    </w:p>
  </w:footnote>
  <w:footnote w:id="8">
    <w:p>
      <w:pPr>
        <w:pStyle w:val="Default"/>
        <w:rPr>
          <w:rFonts w:ascii="Times New Roman" w:eastAsia="Calibri" w:hAnsi="Times New Roman" w:cs="Times New Roman"/>
          <w:color w:val="auto"/>
          <w:sz w:val="20"/>
          <w:szCs w:val="20"/>
        </w:rPr>
      </w:pPr>
      <w:r>
        <w:rPr>
          <w:rStyle w:val="FootnoteReference"/>
        </w:rPr>
        <w:footnoteRef/>
      </w:r>
      <w:r>
        <w:t xml:space="preserve"> </w:t>
      </w:r>
      <w:r>
        <w:rPr>
          <w:rFonts w:ascii="Times New Roman" w:hAnsi="Times New Roman"/>
          <w:sz w:val="20"/>
          <w:szCs w:val="20"/>
        </w:rPr>
        <w:t>JO L 85 I, 27.3.2019, p. 20. Regulamentul (UE) 2019/496 al Parlamentului European și al Consiliului a fost adoptat la 25 martie 2019 (JO L 85 I, 27.3.2019).</w:t>
      </w:r>
    </w:p>
  </w:footnote>
  <w:footnote w:id="9">
    <w:p>
      <w:pPr>
        <w:pStyle w:val="FootnoteText"/>
      </w:pPr>
      <w:r>
        <w:rPr>
          <w:rStyle w:val="FootnoteReference"/>
        </w:rPr>
        <w:footnoteRef/>
      </w:r>
      <w:r>
        <w:t xml:space="preserve"> JO C 304, 20.8.2016, p. 3.</w:t>
      </w:r>
      <w:r>
        <w:rPr>
          <w:rFonts w:ascii="Bookman Old Style" w:hAnsi="Bookman Old Style"/>
          <w:color w:val="215868"/>
        </w:rPr>
        <w:t xml:space="preserve"> </w:t>
      </w:r>
    </w:p>
  </w:footnote>
  <w:footnote w:id="10">
    <w:p>
      <w:pPr>
        <w:pStyle w:val="FootnoteText"/>
        <w:jc w:val="both"/>
      </w:pPr>
      <w:r>
        <w:rPr>
          <w:rStyle w:val="FootnoteReference"/>
        </w:rPr>
        <w:footnoteRef/>
      </w:r>
      <w:r>
        <w:t xml:space="preserve"> Au fost emise 20 de refuzuri în 2017 pentru echipamente de interceptare sau bruiere a telecomunicațiilor mobile, unul pentru sisteme de supraveghere a comunicațiilor în rețea pe bază de protocol internet (IP) și 13 pentru produse software de intruziune.</w:t>
      </w:r>
    </w:p>
  </w:footnote>
  <w:footnote w:id="11">
    <w:p>
      <w:pPr>
        <w:pStyle w:val="FootnoteText"/>
      </w:pPr>
      <w:r>
        <w:rPr>
          <w:rStyle w:val="FootnoteReference"/>
        </w:rPr>
        <w:footnoteRef/>
      </w:r>
      <w:r>
        <w:t xml:space="preserve"> JO L 319, 14.12.2018, p. 1.</w:t>
      </w:r>
    </w:p>
  </w:footnote>
  <w:footnote w:id="12">
    <w:p>
      <w:pPr>
        <w:pStyle w:val="FootnoteText"/>
        <w:jc w:val="both"/>
      </w:pPr>
      <w:r>
        <w:rPr>
          <w:rStyle w:val="FootnoteReference"/>
        </w:rPr>
        <w:footnoteRef/>
      </w:r>
      <w:r>
        <w:t xml:space="preserve"> Metodologia statistică elaborată de Centrul Comun de Cercetare al Comisiei se bazează pe utilizarea unui tabel de corespondență, elaborat de DG TAXUD, între numerele de clasificare ale produselor cu dublă utilizare și codurile vamale, pe datele COMTEXT ale Eurostat, precum și pe datele privind acordarea de licențe. Noțiunea de </w:t>
      </w:r>
      <w:r>
        <w:rPr>
          <w:i/>
          <w:iCs/>
        </w:rPr>
        <w:t>domeniu al exporturilor cu dublă utilizare</w:t>
      </w:r>
      <w:r>
        <w:t xml:space="preserve"> se referă la un vast ansamblu de mărfuri diferite, care include produsele cu dublă utilizare. Comerțul cu produse cu dublă utilizare are loc </w:t>
      </w:r>
      <w:r>
        <w:rPr>
          <w:i/>
          <w:iCs/>
        </w:rPr>
        <w:t>în cadrul</w:t>
      </w:r>
      <w:r>
        <w:t xml:space="preserve"> acestui domeniu de produse, dar nu este identic cu acesta, dat fiind faptul că, în mare măsură, nu toate produsele din </w:t>
      </w:r>
      <w:r>
        <w:rPr>
          <w:i/>
          <w:iCs/>
        </w:rPr>
        <w:t>domeniul exporturilor cu dublă utilizare</w:t>
      </w:r>
      <w:r>
        <w:t xml:space="preserve"> sunt în realitate produse cu dublă utilizare. </w:t>
      </w:r>
    </w:p>
    <w:p>
      <w:pPr>
        <w:pStyle w:val="FootnoteText"/>
      </w:pPr>
    </w:p>
  </w:footnote>
  <w:footnote w:id="13">
    <w:p>
      <w:pPr>
        <w:pStyle w:val="FootnoteText"/>
        <w:jc w:val="both"/>
      </w:pPr>
      <w:r>
        <w:rPr>
          <w:rStyle w:val="FootnoteReference"/>
        </w:rPr>
        <w:footnoteRef/>
      </w:r>
      <w:r>
        <w:t xml:space="preserve"> Prin „Stocuri și provizii extra” se înțelege furnizarea de stocuri pentru nave și avioane. „Diverse – țări nespecificate extra” includ țări și teritorii care nu sunt specificate în cadrul comerțului cu țări terțe (mai exact, aceste coduri sunt, de obicei, utilizate pentru mărfuri livrate instalațiilor offshore).</w:t>
      </w:r>
    </w:p>
  </w:footnote>
  <w:footnote w:id="14">
    <w:p>
      <w:pPr>
        <w:pStyle w:val="FootnoteText"/>
      </w:pPr>
      <w:r>
        <w:rPr>
          <w:rStyle w:val="FootnoteReference"/>
        </w:rPr>
        <w:footnoteRef/>
      </w:r>
      <w:r>
        <w:t xml:space="preserve"> Această cifră include valoarea corespunzătoare cererilor de licențe și notificărilor în baza autorizațiilor generale de export.</w:t>
      </w:r>
    </w:p>
  </w:footnote>
  <w:footnote w:id="15">
    <w:p>
      <w:pPr>
        <w:pStyle w:val="FootnoteText"/>
        <w:jc w:val="both"/>
      </w:pPr>
      <w:r>
        <w:rPr>
          <w:rStyle w:val="FootnoteReference"/>
          <w:color w:val="808080"/>
        </w:rPr>
        <w:footnoteRef/>
      </w:r>
      <w:r>
        <w:rPr>
          <w:color w:val="808080"/>
        </w:rPr>
        <w:t xml:space="preserve"> </w:t>
      </w:r>
      <w:r>
        <w:t>În figurile 5 și 6, datele referitoare la „cereri” cuprind toate cererile de licențe, incluzând notificările în cadrul autorizațiilor generale, oferind astfel o indicație privind „exporturile controlate”, adică valoarea exporturilor în afara UE care fac obiectul unui proces de autorizare. În cazurile în care nu sunt disponibile date referitoare la cereri, diagramele utilizează datele referitoare la autorizații ca estimări ale datelor referitoare la cereri. Datele referitoare la „autorizații” se referă la exporturile de produse cu dublă utilizare autorizate în baza unor licențe individuale și globale. Este de remarcat că cererile nu corespund neapărat sumei autorizațiilor și refuzurilor, întrucât o serie de cereri pot fi anulate și este posibil ca unele cereri să nu fie finalizate în același an. „Refuz” se referă la volumul și la valoarea exporturilor refuzate.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9E6"/>
    <w:multiLevelType w:val="hybridMultilevel"/>
    <w:tmpl w:val="C63EC01C"/>
    <w:lvl w:ilvl="0" w:tplc="4D52C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4452A"/>
    <w:multiLevelType w:val="hybridMultilevel"/>
    <w:tmpl w:val="4208AD42"/>
    <w:lvl w:ilvl="0" w:tplc="67549FD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B1372"/>
    <w:multiLevelType w:val="hybridMultilevel"/>
    <w:tmpl w:val="A02AF742"/>
    <w:lvl w:ilvl="0" w:tplc="7EE211B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C61A0"/>
    <w:multiLevelType w:val="hybridMultilevel"/>
    <w:tmpl w:val="EE2C9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63C46"/>
    <w:multiLevelType w:val="hybridMultilevel"/>
    <w:tmpl w:val="0E8C63E2"/>
    <w:lvl w:ilvl="0" w:tplc="67549FD4">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591CD7"/>
    <w:multiLevelType w:val="hybridMultilevel"/>
    <w:tmpl w:val="F246FAFC"/>
    <w:lvl w:ilvl="0" w:tplc="4D52C4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360282A"/>
    <w:multiLevelType w:val="hybridMultilevel"/>
    <w:tmpl w:val="00CE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F537AD"/>
    <w:multiLevelType w:val="hybridMultilevel"/>
    <w:tmpl w:val="2910D4E8"/>
    <w:lvl w:ilvl="0" w:tplc="4D52C4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7DEC4B3-74BE-4820-8F89-755364135778"/>
    <w:docVar w:name="LW_COVERPAGE_TYPE" w:val="1"/>
    <w:docVar w:name="LW_CROSSREFERENCE" w:val="&lt;UNUSED&gt;"/>
    <w:docVar w:name="LW_DocType" w:val="NORMAL"/>
    <w:docVar w:name="LW_EMISSION" w:val="4.11.2019"/>
    <w:docVar w:name="LW_EMISSION_ISODATE" w:val="2019-11-04"/>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5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rivind punerea în aplicare a Regulamentului (CE) nr. 428/2009 de instituire a unui regim comunitar pentru controlul exporturilor, transferului, serviciilor de intermediere \u537?i tranzitului de produse cu dubl\u259? utilizare, inclusiv un raport privind exercitarea competen\u539?ei de a adopta acte delegate conferite Comisiei în conformitate cu Regulamentul (UE) nr. 599/2014 al Parlamentului European \u537?i al Consiliului din 16 aprilie 2014 de modificare a Regulamentului (CE) nr. 428/2009 al Consiliului de instituire a unui regim comunitar pentru controlul exporturilor, transferului, serviciilor de intermediere \u537?i tranzitului de produse cu dubl\u259? utilizare&lt;/FMT&gt;"/>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o-RO"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basedOn w:val="DefaultParagraphFont"/>
    <w:link w:val="FootnoteText"/>
    <w:uiPriority w:val="99"/>
    <w:rPr>
      <w:rFonts w:eastAsia="Calibri"/>
      <w:lang w:val="ro-RO"/>
    </w:rPr>
  </w:style>
  <w:style w:type="character" w:styleId="FootnoteReference">
    <w:name w:val="footnote reference"/>
    <w:uiPriority w:val="99"/>
    <w:unhideWhenUsed/>
    <w:rPr>
      <w:shd w:val="clear" w:color="auto" w:fill="auto"/>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ro-RO"/>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ro-RO"/>
    </w:rPr>
  </w:style>
  <w:style w:type="paragraph" w:customStyle="1" w:styleId="Confidentialit">
    <w:name w:val="Confidentialité"/>
    <w:basedOn w:val="Normal"/>
    <w:next w:val="TypedudocumentPagedecouverture"/>
    <w:pPr>
      <w:spacing w:before="240" w:after="240"/>
      <w:ind w:left="5103"/>
    </w:pPr>
    <w:rPr>
      <w:rFonts w:eastAsia="Calibri"/>
      <w:i/>
      <w:sz w:val="32"/>
      <w:szCs w:val="22"/>
    </w:rPr>
  </w:style>
  <w:style w:type="paragraph" w:customStyle="1" w:styleId="Emission">
    <w:name w:val="Emission"/>
    <w:basedOn w:val="Normal"/>
    <w:next w:val="Rfrenceinstitutionnelle"/>
    <w:pPr>
      <w:ind w:left="5103"/>
    </w:pPr>
    <w:rPr>
      <w:rFonts w:eastAsia="Calibri"/>
      <w:szCs w:val="22"/>
    </w:rPr>
  </w:style>
  <w:style w:type="paragraph" w:customStyle="1" w:styleId="Langue">
    <w:name w:val="Langue"/>
    <w:basedOn w:val="Normal"/>
    <w:next w:val="Normal"/>
    <w:pPr>
      <w:framePr w:wrap="around" w:vAnchor="page" w:hAnchor="text" w:xAlign="center" w:y="14741"/>
      <w:spacing w:after="600"/>
      <w:jc w:val="center"/>
    </w:pPr>
    <w:rPr>
      <w:rFonts w:eastAsia="Calibri"/>
      <w:b/>
      <w:caps/>
      <w:szCs w:val="22"/>
    </w:rPr>
  </w:style>
  <w:style w:type="paragraph" w:customStyle="1" w:styleId="Nomdelinstitution">
    <w:name w:val="Nom de l'institution"/>
    <w:basedOn w:val="Normal"/>
    <w:next w:val="Emission"/>
    <w:rPr>
      <w:rFonts w:ascii="Arial" w:eastAsia="Calibri" w:hAnsi="Arial" w:cs="Arial"/>
      <w:szCs w:val="22"/>
    </w:rPr>
  </w:style>
  <w:style w:type="paragraph" w:customStyle="1" w:styleId="Rfrenceinstitutionnelle">
    <w:name w:val="Référence institutionnelle"/>
    <w:basedOn w:val="Normal"/>
    <w:next w:val="Confidentialit"/>
    <w:pPr>
      <w:spacing w:after="240"/>
      <w:ind w:left="5103"/>
    </w:pPr>
    <w:rPr>
      <w:rFonts w:eastAsia="Calibri"/>
      <w:szCs w:val="22"/>
    </w:rPr>
  </w:style>
  <w:style w:type="paragraph" w:customStyle="1" w:styleId="TitreobjetPagedecouverture">
    <w:name w:val="Titre objet (Page de couverture)"/>
    <w:basedOn w:val="Normal"/>
    <w:next w:val="Normal"/>
    <w:pPr>
      <w:spacing w:before="360" w:after="360"/>
      <w:jc w:val="center"/>
    </w:pPr>
    <w:rPr>
      <w:rFonts w:eastAsia="Calibri"/>
      <w:b/>
      <w:szCs w:val="22"/>
    </w:rPr>
  </w:style>
  <w:style w:type="paragraph" w:customStyle="1" w:styleId="TypedudocumentPagedecouverture">
    <w:name w:val="Type du document (Page de couverture)"/>
    <w:basedOn w:val="Normal"/>
    <w:next w:val="TitreobjetPagedecouverture"/>
    <w:pPr>
      <w:spacing w:before="360"/>
      <w:jc w:val="center"/>
    </w:pPr>
    <w:rPr>
      <w:rFonts w:eastAsia="Calibri"/>
      <w:b/>
      <w:szCs w:val="22"/>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lang w:val="ro-RO"/>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character" w:customStyle="1" w:styleId="PagedecouvertureChar">
    <w:name w:val="Page de couverture Char"/>
    <w:basedOn w:val="DefaultParagraphFont"/>
    <w:link w:val="Pagedecouverture"/>
    <w:rPr>
      <w:sz w:val="24"/>
      <w:szCs w:val="22"/>
      <w:lang w:val="ro-RO"/>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ro-RO"/>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ro-RO"/>
    </w:rPr>
  </w:style>
  <w:style w:type="paragraph" w:styleId="Revision">
    <w:name w:val="Revision"/>
    <w:hidden/>
    <w:uiPriority w:val="99"/>
    <w:semiHidden/>
    <w:rPr>
      <w:sz w:val="24"/>
      <w:szCs w:val="24"/>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ro-RO"/>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o-RO"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basedOn w:val="DefaultParagraphFont"/>
    <w:link w:val="FootnoteText"/>
    <w:uiPriority w:val="99"/>
    <w:rPr>
      <w:rFonts w:eastAsia="Calibri"/>
      <w:lang w:val="ro-RO"/>
    </w:rPr>
  </w:style>
  <w:style w:type="character" w:styleId="FootnoteReference">
    <w:name w:val="footnote reference"/>
    <w:uiPriority w:val="99"/>
    <w:unhideWhenUsed/>
    <w:rPr>
      <w:shd w:val="clear" w:color="auto" w:fill="auto"/>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ro-RO"/>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ro-RO"/>
    </w:rPr>
  </w:style>
  <w:style w:type="paragraph" w:customStyle="1" w:styleId="Confidentialit">
    <w:name w:val="Confidentialité"/>
    <w:basedOn w:val="Normal"/>
    <w:next w:val="TypedudocumentPagedecouverture"/>
    <w:pPr>
      <w:spacing w:before="240" w:after="240"/>
      <w:ind w:left="5103"/>
    </w:pPr>
    <w:rPr>
      <w:rFonts w:eastAsia="Calibri"/>
      <w:i/>
      <w:sz w:val="32"/>
      <w:szCs w:val="22"/>
    </w:rPr>
  </w:style>
  <w:style w:type="paragraph" w:customStyle="1" w:styleId="Emission">
    <w:name w:val="Emission"/>
    <w:basedOn w:val="Normal"/>
    <w:next w:val="Rfrenceinstitutionnelle"/>
    <w:pPr>
      <w:ind w:left="5103"/>
    </w:pPr>
    <w:rPr>
      <w:rFonts w:eastAsia="Calibri"/>
      <w:szCs w:val="22"/>
    </w:rPr>
  </w:style>
  <w:style w:type="paragraph" w:customStyle="1" w:styleId="Langue">
    <w:name w:val="Langue"/>
    <w:basedOn w:val="Normal"/>
    <w:next w:val="Normal"/>
    <w:pPr>
      <w:framePr w:wrap="around" w:vAnchor="page" w:hAnchor="text" w:xAlign="center" w:y="14741"/>
      <w:spacing w:after="600"/>
      <w:jc w:val="center"/>
    </w:pPr>
    <w:rPr>
      <w:rFonts w:eastAsia="Calibri"/>
      <w:b/>
      <w:caps/>
      <w:szCs w:val="22"/>
    </w:rPr>
  </w:style>
  <w:style w:type="paragraph" w:customStyle="1" w:styleId="Nomdelinstitution">
    <w:name w:val="Nom de l'institution"/>
    <w:basedOn w:val="Normal"/>
    <w:next w:val="Emission"/>
    <w:rPr>
      <w:rFonts w:ascii="Arial" w:eastAsia="Calibri" w:hAnsi="Arial" w:cs="Arial"/>
      <w:szCs w:val="22"/>
    </w:rPr>
  </w:style>
  <w:style w:type="paragraph" w:customStyle="1" w:styleId="Rfrenceinstitutionnelle">
    <w:name w:val="Référence institutionnelle"/>
    <w:basedOn w:val="Normal"/>
    <w:next w:val="Confidentialit"/>
    <w:pPr>
      <w:spacing w:after="240"/>
      <w:ind w:left="5103"/>
    </w:pPr>
    <w:rPr>
      <w:rFonts w:eastAsia="Calibri"/>
      <w:szCs w:val="22"/>
    </w:rPr>
  </w:style>
  <w:style w:type="paragraph" w:customStyle="1" w:styleId="TitreobjetPagedecouverture">
    <w:name w:val="Titre objet (Page de couverture)"/>
    <w:basedOn w:val="Normal"/>
    <w:next w:val="Normal"/>
    <w:pPr>
      <w:spacing w:before="360" w:after="360"/>
      <w:jc w:val="center"/>
    </w:pPr>
    <w:rPr>
      <w:rFonts w:eastAsia="Calibri"/>
      <w:b/>
      <w:szCs w:val="22"/>
    </w:rPr>
  </w:style>
  <w:style w:type="paragraph" w:customStyle="1" w:styleId="TypedudocumentPagedecouverture">
    <w:name w:val="Type du document (Page de couverture)"/>
    <w:basedOn w:val="Normal"/>
    <w:next w:val="TitreobjetPagedecouverture"/>
    <w:pPr>
      <w:spacing w:before="360"/>
      <w:jc w:val="center"/>
    </w:pPr>
    <w:rPr>
      <w:rFonts w:eastAsia="Calibri"/>
      <w:b/>
      <w:szCs w:val="22"/>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lang w:val="ro-RO"/>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character" w:customStyle="1" w:styleId="PagedecouvertureChar">
    <w:name w:val="Page de couverture Char"/>
    <w:basedOn w:val="DefaultParagraphFont"/>
    <w:link w:val="Pagedecouverture"/>
    <w:rPr>
      <w:sz w:val="24"/>
      <w:szCs w:val="22"/>
      <w:lang w:val="ro-RO"/>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ro-RO"/>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ro-RO"/>
    </w:rPr>
  </w:style>
  <w:style w:type="paragraph" w:styleId="Revision">
    <w:name w:val="Revision"/>
    <w:hidden/>
    <w:uiPriority w:val="99"/>
    <w:semiHidden/>
    <w:rPr>
      <w:sz w:val="24"/>
      <w:szCs w:val="24"/>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ro-RO"/>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qid=1476175365847&amp;uri=CELEX:52016PC06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TRADE\F\1\00.%20DUAL%20USE\EU-COM-Miscelleneaous\HumanRights&amp;Trade\ICT-Exports-HR\2018\jos&#233;_work\complete%202018%20jos&#233;\190103REV_reading%20the%20MS%20Cyber%20tech%20questionnaire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'josé_2018 quest'!$P$40</c:f>
              <c:strCache>
                <c:ptCount val="1"/>
                <c:pt idx="0">
                  <c:v>5A001.f</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quest'!$Q$40:$T$40</c:f>
              <c:numCache>
                <c:formatCode>General</c:formatCode>
                <c:ptCount val="4"/>
                <c:pt idx="0">
                  <c:v>47</c:v>
                </c:pt>
                <c:pt idx="1">
                  <c:v>98</c:v>
                </c:pt>
                <c:pt idx="2">
                  <c:v>111</c:v>
                </c:pt>
                <c:pt idx="3">
                  <c:v>235</c:v>
                </c:pt>
              </c:numCache>
            </c:numRef>
          </c:val>
          <c:extLst xmlns:c16r2="http://schemas.microsoft.com/office/drawing/2015/06/chart">
            <c:ext xmlns:c16="http://schemas.microsoft.com/office/drawing/2014/chart" uri="{C3380CC4-5D6E-409C-BE32-E72D297353CC}">
              <c16:uniqueId val="{00000000-EEE2-48C6-B370-4BFB2A6D460F}"/>
            </c:ext>
          </c:extLst>
        </c:ser>
        <c:ser>
          <c:idx val="1"/>
          <c:order val="1"/>
          <c:tx>
            <c:strRef>
              <c:f>'josé_2018 quest'!$P$41</c:f>
              <c:strCache>
                <c:ptCount val="1"/>
                <c:pt idx="0">
                  <c:v>5A001.j</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quest'!$Q$41:$T$41</c:f>
              <c:numCache>
                <c:formatCode>General</c:formatCode>
                <c:ptCount val="4"/>
                <c:pt idx="0">
                  <c:v>0</c:v>
                </c:pt>
                <c:pt idx="1">
                  <c:v>10</c:v>
                </c:pt>
                <c:pt idx="2">
                  <c:v>3</c:v>
                </c:pt>
                <c:pt idx="3">
                  <c:v>19</c:v>
                </c:pt>
              </c:numCache>
            </c:numRef>
          </c:val>
          <c:extLst xmlns:c16r2="http://schemas.microsoft.com/office/drawing/2015/06/chart">
            <c:ext xmlns:c16="http://schemas.microsoft.com/office/drawing/2014/chart" uri="{C3380CC4-5D6E-409C-BE32-E72D297353CC}">
              <c16:uniqueId val="{00000001-EEE2-48C6-B370-4BFB2A6D460F}"/>
            </c:ext>
          </c:extLst>
        </c:ser>
        <c:ser>
          <c:idx val="2"/>
          <c:order val="2"/>
          <c:tx>
            <c:strRef>
              <c:f>'josé_2018 quest'!$P$42</c:f>
              <c:strCache>
                <c:ptCount val="1"/>
                <c:pt idx="0">
                  <c:v>4A005, 4D004, 4E001a/c</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quest'!$Q$42:$T$42</c:f>
              <c:numCache>
                <c:formatCode>General</c:formatCode>
                <c:ptCount val="4"/>
                <c:pt idx="0">
                  <c:v>4</c:v>
                </c:pt>
                <c:pt idx="1">
                  <c:v>7</c:v>
                </c:pt>
                <c:pt idx="2">
                  <c:v>25</c:v>
                </c:pt>
                <c:pt idx="3">
                  <c:v>31</c:v>
                </c:pt>
              </c:numCache>
            </c:numRef>
          </c:val>
          <c:extLst xmlns:c16r2="http://schemas.microsoft.com/office/drawing/2015/06/chart">
            <c:ext xmlns:c16="http://schemas.microsoft.com/office/drawing/2014/chart" uri="{C3380CC4-5D6E-409C-BE32-E72D297353CC}">
              <c16:uniqueId val="{00000002-EEE2-48C6-B370-4BFB2A6D460F}"/>
            </c:ext>
          </c:extLst>
        </c:ser>
        <c:dLbls>
          <c:showLegendKey val="0"/>
          <c:showVal val="0"/>
          <c:showCatName val="0"/>
          <c:showSerName val="0"/>
          <c:showPercent val="0"/>
          <c:showBubbleSize val="0"/>
        </c:dLbls>
        <c:gapWidth val="150"/>
        <c:shape val="box"/>
        <c:axId val="80589568"/>
        <c:axId val="80591104"/>
        <c:axId val="0"/>
      </c:bar3DChart>
      <c:catAx>
        <c:axId val="80589568"/>
        <c:scaling>
          <c:orientation val="minMax"/>
        </c:scaling>
        <c:delete val="0"/>
        <c:axPos val="b"/>
        <c:numFmt formatCode="General" sourceLinked="1"/>
        <c:majorTickMark val="none"/>
        <c:minorTickMark val="none"/>
        <c:tickLblPos val="nextTo"/>
        <c:crossAx val="80591104"/>
        <c:crosses val="autoZero"/>
        <c:auto val="0"/>
        <c:lblAlgn val="ctr"/>
        <c:lblOffset val="100"/>
        <c:noMultiLvlLbl val="0"/>
      </c:catAx>
      <c:valAx>
        <c:axId val="80591104"/>
        <c:scaling>
          <c:orientation val="minMax"/>
        </c:scaling>
        <c:delete val="0"/>
        <c:axPos val="l"/>
        <c:majorGridlines/>
        <c:numFmt formatCode="General" sourceLinked="1"/>
        <c:majorTickMark val="none"/>
        <c:minorTickMark val="none"/>
        <c:tickLblPos val="nextTo"/>
        <c:crossAx val="80589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5D0A87-AB39-4729-BC2F-C7DC095A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4589</Words>
  <Characters>27214</Characters>
  <Application>Microsoft Office Word</Application>
  <DocSecurity>0</DocSecurity>
  <Lines>438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25</cp:revision>
  <dcterms:created xsi:type="dcterms:W3CDTF">2019-09-12T13:21:00Z</dcterms:created>
  <dcterms:modified xsi:type="dcterms:W3CDTF">2019-10-29T10:04:00Z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