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0AA08C7-050E-4332-9160-5514BEB67472" style="width:450.75pt;height:461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360"/>
        <w:jc w:val="center"/>
        <w:rPr>
          <w:b/>
          <w:noProof/>
          <w:u w:val="single"/>
        </w:rPr>
      </w:pPr>
      <w:bookmarkStart w:id="1" w:name="_GoBack"/>
      <w:bookmarkEnd w:id="1"/>
      <w:r>
        <w:rPr>
          <w:b/>
          <w:noProof/>
          <w:u w:val="single"/>
        </w:rPr>
        <w:lastRenderedPageBreak/>
        <w:t>ПРИЛОЖЕНИЕ</w:t>
      </w:r>
    </w:p>
    <w:p>
      <w:pPr>
        <w:rPr>
          <w:b/>
          <w:noProof/>
        </w:rPr>
      </w:pPr>
      <w:r>
        <w:rPr>
          <w:b/>
          <w:noProof/>
        </w:rPr>
        <w:t>Списък на мерките, предприети от държавите членки съгласно член 24 и съобщени на Комисията (национални мерки за прилагане)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06"/>
        <w:gridCol w:w="2538"/>
        <w:gridCol w:w="2643"/>
      </w:tblGrid>
      <w:tr>
        <w:trPr>
          <w:trHeight w:val="1069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Държава членка</w:t>
            </w:r>
          </w:p>
        </w:tc>
        <w:tc>
          <w:tcPr>
            <w:tcW w:w="3006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Приложимо законодателство</w:t>
            </w:r>
          </w:p>
        </w:tc>
        <w:tc>
          <w:tcPr>
            <w:tcW w:w="2538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Административни санкции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643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Наказателноправни санкции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BE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от 11 септември 1962 г. за вноса, износа и транзита на стоки и свързани с тях технологии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Член 231 от Общия закон за митниците и акцизите, в който е определено правомощието за вземане на решение и наказателно преследване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2 пъти стойността на стоките</w:t>
            </w: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Конфискация на стоките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5 години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BG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експортния контрол на продукти, свързани с отбраната, и на изделия и технологии с двойна употреба (Държавен вестник бр. 26/29.3.2011 г.)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500 000 BGN (прибл. 250 000 EUR) (чл. 72, 73 и 74 от закона)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Лишаване от свобода до 10 години </w:t>
            </w: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двеста хиляди лева (прибл. 100 000 EUR) (чл. 339б от Наказателния кодекс)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CY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Регламенти за отбраната (износ на стоки) (1993 г.)</w:t>
            </w:r>
          </w:p>
          <w:p>
            <w:pPr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Министерска заповед № 312/2009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2 600 EUR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Конфискацията на стоките може да бъде разпоредена от съд или в някои случаи от митническите органи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Лишаване от свобода до 3 години 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DE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външната търговия и външните плащания (6 юни 2013 г.)</w:t>
            </w:r>
            <w:r>
              <w:rPr>
                <w:rFonts w:ascii="Times New Roman" w:hAnsi="Times New Roman"/>
                <w:noProof/>
              </w:rPr>
              <w:br/>
              <w:t>(Außenwirtschaftsgesetz) — предвижда административни и наказателноправни санкции в случай на нарушение на националните и европейските закони за контрол на износа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Наредба за външната търговия и външните плащания</w:t>
            </w:r>
            <w:r>
              <w:rPr>
                <w:rFonts w:ascii="Times New Roman" w:hAnsi="Times New Roman"/>
                <w:noProof/>
              </w:rPr>
              <w:br/>
              <w:t>(Außenwirtschaftsverordnung) и Закона за административните нарушения (Ordnungswidrigkeitengesetz) — допълват Закона за чуждестранната търговия и чуждестранните плащания по отношение на административните санкции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ind w:left="360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(n.b.: опитът за незаконен износ/посредничество/техническа също може да представлява нарушение и се наказва) </w:t>
            </w:r>
          </w:p>
        </w:tc>
        <w:tc>
          <w:tcPr>
            <w:tcW w:w="2538" w:type="dxa"/>
          </w:tcPr>
          <w:p>
            <w:pPr>
              <w:rPr>
                <w:rFonts w:ascii="Times New Roman" w:eastAsiaTheme="minorHAnsi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Санкции за физически лица (небрежност) </w:t>
            </w:r>
          </w:p>
          <w:p>
            <w:pPr>
              <w:rPr>
                <w:rFonts w:ascii="Times New Roman" w:eastAsiaTheme="minorHAnsi" w:hAnsi="Times New Roman" w:cs="Times New Roman"/>
                <w:b/>
                <w:noProof/>
                <w:u w:val="single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500 000 EUR (параграф 19 от Закона за външната търговия и външните плащания при нарушение на ембарго на ООН/ЕС и на националното и европейското законодателство за контрол на износа)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1 000 000 EUR (параграфи 130 и 9 от Закона за административните нарушения при нарушение на задълженията за надзор)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Санкции на дружествата (умисъл или небрежност)</w:t>
            </w:r>
          </w:p>
          <w:p>
            <w:pPr>
              <w:rPr>
                <w:rFonts w:ascii="Times New Roman" w:eastAsiaTheme="minorHAnsi" w:hAnsi="Times New Roman" w:cs="Times New Roman"/>
                <w:b/>
                <w:noProof/>
                <w:u w:val="single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10 000 000 EUR за престъпления на лица на ръководна длъжност (параграфи 30 и 9 от Закона за административните нарушения)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500 000 EUR за административни нарушения за лица на ръководна длъжност (параграфи 30, 9 от Закона за административните нарушения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Когато нарушението се състои в неизпълнение на формалностите: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Административни ограничения (глоби и други задължителни мерки)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</w:rPr>
              <w:t>Забележка: надеждността на износителя е предварително условие за издаването на лицензи съгласно параграф 8 от Закона за външната търговия. Поради това неизпълнението (предишно) на формалностите се взема предвид при процедурата по лицензиране, например като дружеството не се допуска до улеснените процедури).</w:t>
            </w:r>
          </w:p>
        </w:tc>
        <w:tc>
          <w:tcPr>
            <w:tcW w:w="2643" w:type="dxa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Когато нарушението е умишлено: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или лишаване от свобода до 15 години (параграфи 17 и 18 от Закона за външната търговия и външните плащания при нарушение на ембарго на ООН/ЕС и на националното и европейското законодателство за контрол на износа)</w:t>
            </w:r>
          </w:p>
          <w:p>
            <w:pPr>
              <w:pStyle w:val="BodyText"/>
              <w:framePr w:hSpace="0" w:wrap="auto" w:vAnchor="margin" w:hAnchor="text" w:yAlign="in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BodyText"/>
              <w:framePr w:hSpace="0" w:wrap="auto" w:vAnchor="margin" w:hAnchor="text" w:yAlign="inlin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Когато нарушението се дължи на груба небрежност:</w:t>
            </w:r>
          </w:p>
          <w:p>
            <w:pPr>
              <w:pStyle w:val="BodyText"/>
              <w:framePr w:hSpace="0" w:wrap="auto" w:vAnchor="margin" w:hAnchor="text" w:yAlign="inline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или лишаване от свобода до 5 години (параграф 17 относно нарушения на ембарго на ООН/ЕС.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DK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№ 635 от 9 юни 2011 г.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(Наказателен кодекс) № 1156 от 20 септември 2018 г.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N/A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Нарушение на правилата за контрол на износа: 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(не е определен размер)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2 години (</w:t>
            </w:r>
            <w:r>
              <w:rPr>
                <w:rFonts w:ascii="Times New Roman" w:hAnsi="Times New Roman"/>
                <w:noProof/>
                <w:shd w:val="clear" w:color="auto" w:fill="FFFFFF"/>
              </w:rPr>
              <w:t>§ 2 от Закон № 635 от 9 юни 2011 г.).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Нарушение при утежняващи обстоятелства: 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6 години (§ 114 h от Наказателния кодекс).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EE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стратегическите стоки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размер прибл. 400 EUR (нарушение на задължението за уведомление от страна на физическо лице)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размер до 640 EUR (нарушение на задължението за уведомление от страна на юридическо лице)</w:t>
            </w:r>
          </w:p>
        </w:tc>
        <w:tc>
          <w:tcPr>
            <w:tcW w:w="2643" w:type="dxa"/>
          </w:tcPr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- Глоба (неограничена) или</w:t>
            </w:r>
          </w:p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- Лишаване от свобода до 20 години</w:t>
            </w:r>
          </w:p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FI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</w:t>
            </w:r>
          </w:p>
        </w:tc>
        <w:tc>
          <w:tcPr>
            <w:tcW w:w="2538" w:type="dxa"/>
          </w:tcPr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Когато нарушението е умишлено: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850 000 EUR за юридически лица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4 години (глава 46, параграфи 1-3).</w:t>
            </w:r>
          </w:p>
          <w:p>
            <w:pPr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Когато нарушението се дължи на небрежност (приложимо само приложимо само при нарушаване на член 4.4 от Регламент (ЕО) № 428/2009):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(не е определен максимален размер)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6 месеца (глава 46, параграф 12).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FR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 (членове 411—6: доставяне или предоставяне на разположение на чуждестранен субект на знания/стоки, които могат да увредят основни интереси на нацията)</w:t>
            </w: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Митнически кодекс (членове 38, 414, 427)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Кодекс на отбраната (член L1333-9/13, членове L2339-14 — 18, членове L2341-1 — 6, L2342-3 — 81) 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eastAsiaTheme="minorHAns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</w:rPr>
              <w:t>Всички посочени по-горе разпоредби са въведени със Закон № 2011—266 от 14 март 2011 г. във връзка с борбата срещу разпространението на ОМУ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Кодекс на отбраната (част 2, том III, дял II „Сигурност на информационните системи“, глава I – членове L2321-2-2 и L2322-1) 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размер до 225 000 EUR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размер до 3 пъти стойността на стоките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Конфискация на стоките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размер до 7 500 000 EUR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размер до 150 000 EUR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Конфискация на стоките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15 години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5 години</w:t>
            </w:r>
          </w:p>
          <w:p>
            <w:pPr>
              <w:pStyle w:val="PlainText"/>
              <w:ind w:left="720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30 години или доживотна присъда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Общо лишаване от права до 5 години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2 години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HR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контрола на изделията с двойна употреба (OJ 80/11, 68/13)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 xml:space="preserve">Глоба в минимален размер от 50 000 HRK (прибл. 6 700 EUR) за нарушение на формалностите (членове 22 и 23)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</w:rPr>
              <w:t>Глоба в максимален размер 500 000.00 HRK (прибл. 68 000 EUR) за други нарушения (напр. липса на лиценз или  уведомление)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6 месеца до 5 години, ако са заплашени външнополитически интереси или са нарушени международни задължения и санкции</w:t>
            </w:r>
          </w:p>
          <w:p>
            <w:pPr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за минимум 5 години при настъпили смъртни случаи — един или повече, или при големи материални щети (чл. 24)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HU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Указ на правителството № 13 от 2011 г. относно разрешенията за външна търговия с изделия с двойна употреба (параграфи 15 и 28)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Акт С от 2012 г. по Наказателния кодекс (член 330)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от 300 до 15 500 EUR (Нарушения на административните формалности)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от 15 500 до 30 000 (излизане извън обхвата на разрешението, което е в нарушение на външната политика и политиката на сигурност или на задълженията за неразпространение)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1 до 5 години (излизане извън обхвата на разрешението, което е в нарушение на външната политика и политиката на сигурност или на задълженията за неразпространение, търговия без разрешение)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2 до 8 години. Престъпленията са свързани с ядрените изделия и технологии с двойна употреба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1 до 3 години (Подготовка на горното правонарушение)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IE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контрол на износа от 2008 г.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N/A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10 000 000 EUR или 3 пъти стойността на стоките или технологиите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5 години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Законодателен декрет № 221 от 15 декември 2017 г., № 221 (член 18)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</w:rPr>
              <w:t>(n.b.:  опитът за незаконен износ/посредничество/техническа също може да представлява нарушение и се наказва)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Когато нарушението се състои в неизпълнение на административните формалности поради небрежност: 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от 15 000 EUR до 90 000 EUR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Когато нарушението е умишлено: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Глоба в размер до 250 000 EUR и/или лишаване от свобода до 6 години (например за износ или транзит без лиценз, декларация и/или документация с невярно съдържание)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Конфискуване на стоките (или на други стоки на същата стойност, които са собственост на износителя)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LT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</w:rPr>
              <w:t>Кодекс на административните нарушения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 (26 септември 2010 г.)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 нарушения на правилата за лицензиране или контрол на износа, вноса, транзита и брокерската дейност на стратегически стоки (член 141 от Кодекса на административните нарушения)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Глоба в размер от 90 EUR до 170 EUR за физически лица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от 300 EUR до 560 EUR за ръководителите на юридически лица или на чуждестранни юридически лица и дъщерни дружества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Когато нарушението се отнася до контрабанда на стратегически стоки: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3 до 10 години (член 199.4 от Наказателния кодекс).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LV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движението на изделия със стратегическо значение (21 юни 2007 г.)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Латвийски кодекс на административните нарушения (1984 г.)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митниците (2 юни 2016 г.)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 (17 юни 1998 г.)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750 EUR; за юридически лица от 280 до 7 100 евро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Може да се извърши конфискация на съответните стоки (Пара. 179</w:t>
            </w:r>
            <w:r>
              <w:rPr>
                <w:rFonts w:ascii="Times New Roman" w:hAnsi="Times New Roman"/>
                <w:noProof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</w:rPr>
              <w:t xml:space="preserve"> и 201</w:t>
            </w:r>
            <w:r>
              <w:rPr>
                <w:rFonts w:ascii="Times New Roman" w:hAnsi="Times New Roman"/>
                <w:noProof/>
                <w:vertAlign w:val="superscript"/>
              </w:rPr>
              <w:t>10</w:t>
            </w:r>
            <w:r>
              <w:rPr>
                <w:rFonts w:ascii="Times New Roman" w:hAnsi="Times New Roman"/>
                <w:noProof/>
              </w:rPr>
              <w:t xml:space="preserve"> Латвийски кодекс на административните нарушения)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В случай на нарушение на разпоредбите на Закона за движението на изделия със стратегическо значение: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2 години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Общественополезен труд, лишаване от права за извършване на подобна стопанска дейност (пара. 237 от Наказателния кодекс)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В случай на незаконен внос или износ на стоки със стратегическо значение: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12 години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Временно лишаване от свобода (до 3 месеца)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Общественополезен труд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Глоба, със или без конфискация на имущество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Забрана за извършване на сходна икономическа дейност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Забрана за извършване на конкретна дейност или на правото за заемане на конкретна длъжност за срок до 5 години (пара. 190</w:t>
            </w:r>
            <w:r>
              <w:rPr>
                <w:rFonts w:ascii="Times New Roman" w:hAnsi="Times New Roman"/>
                <w:noProof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</w:rPr>
              <w:t xml:space="preserve"> от Наказателния кодекс).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LU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от 27 юни 2018 г. относно контрола на износа (с изменения)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Забрана, ограничена до шест месеца или окончателна, за извършване на дейност, спиране за максимален срок от шест месеца на използването на всякакви разрешения или глоба в размер на 1250 евро на ден, но не повече от 25 000 евро общо. (Чл. 54 от Закона от 27 юни 2018 г.)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Глоби от 251 EUR до 1 000 000 EUR, лишаване от свобода от 8 дни до 10 години или само едното от двете наказания (чл. 57—61 от Закона от 27 юни 2018 г.)</w:t>
            </w: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(n.b.: Ако неспазването на рестриктивна мярка води до значителна финансова изгода, глобата може да бъде увеличена до четири пъти сумата, която е обект на нарушението Чл. 58 от Закона от 27 юни 2018 г. за контрола на износа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NL 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икономическите нарушения (1950 г.)</w:t>
            </w: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Когато нарушението се състои в неизпълнение на формалностите: 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83 000 EUR за юридически лица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1 година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общественополезен труд </w:t>
            </w: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Допълнителни наказания, напр. временна или постоянна забрана за извършване на сходна икономическа дейност и/или конфискуване на стоките и на печалбата от незаконната сделка 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Когато нарушението е умишлено: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830 000 EUR за юридически лица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6 години,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общественополезен труд </w:t>
            </w: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Допълнителни наказания, напр. временна или постоянна забрана за извършване на сходна икономическа дейност и/или конфискуване на стоките и на печалбата от незаконната сделка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AT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външната търговия от 2011 г.</w:t>
            </w:r>
          </w:p>
          <w:p>
            <w:pPr>
              <w:pStyle w:val="PlainText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неразпространение на ядреното оръжие от 2013 г.(SKG 2013 г.)</w:t>
            </w:r>
          </w:p>
          <w:p>
            <w:pPr>
              <w:pStyle w:val="PlainText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Наказателен кодекс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Някои нарушения, напр. нарушения на изискванията за докладване, представляват административни нарушения:</w:t>
            </w:r>
          </w:p>
          <w:p>
            <w:pPr>
              <w:pStyle w:val="PlainText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Глоба до 25 000 евро (чл. 87 от Закона за външната търговия) или </w:t>
            </w:r>
            <w:r>
              <w:rPr>
                <w:rFonts w:ascii="Times New Roman" w:hAnsi="Times New Roman"/>
                <w:noProof/>
              </w:rPr>
              <w:br/>
              <w:t>40 000 евро (чл. 26 от SKG за стоки от категория 0)</w:t>
            </w:r>
          </w:p>
        </w:tc>
        <w:tc>
          <w:tcPr>
            <w:tcW w:w="2643" w:type="dxa"/>
          </w:tcPr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Повечето нарушения представляват престъпления</w:t>
            </w:r>
          </w:p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>
              <w:rPr>
                <w:rFonts w:ascii="Times New Roman" w:hAnsi="Times New Roman"/>
                <w:noProof/>
              </w:rPr>
              <w:tab/>
              <w:t>Наказателна санкция или лишаване от свобода до три години в случай на умисъл, при квалифицирани случаи до 10 години (чл. 79, 80, 82 от Закона за външната търговия, чл. 177b от Наказателния кодекс за стоки от категория 0).</w:t>
            </w:r>
          </w:p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>
              <w:rPr>
                <w:rFonts w:ascii="Times New Roman" w:hAnsi="Times New Roman"/>
                <w:noProof/>
              </w:rPr>
              <w:tab/>
              <w:t>Наказателна санкция или лишаване от свобода до 1 година в случай на небрежност, при квалифицирани случаи до 2 години (чл. 79, 80, 82 от Закона за външната търговия, чл. 177с от Наказателния кодекс за стоки от категория 0).</w:t>
            </w:r>
          </w:p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Закон от 29 ноември 2000 г. за външната търговия със стоки, технологии и услуги от стратегическо значение за сигурността на държавата и за запазването на международния мир и сигурност (консолидиран текст на закона с измененията от 21 май 2019 г.)  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      Наказателен кодекс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200 000 PLN от органа за контрол на търговията със съответното административно решение (търговия без валиден лиценз) (чл. 37)</w:t>
            </w: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Глоба в размер до 100 000 PLN:  </w:t>
            </w:r>
          </w:p>
          <w:p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Непредставяне на декларация за намерения за внос или трансфер в ЕС на изделия, използвани в телекомуникациите или за информационна сигурност, пред органа, следящ вноса) (чл. 37а)</w:t>
            </w:r>
          </w:p>
          <w:p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търговия в нарушение на условията, определени в лиценза (чл. 38)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Глоба в размер до 50 000 PLN (за някои нарушения напр. нарушения на изискванията за отчитане) (чл.39) 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1 до 10 години (</w:t>
            </w:r>
            <w:r>
              <w:rPr>
                <w:rFonts w:ascii="Times New Roman" w:hAnsi="Times New Roman"/>
                <w:i/>
                <w:iCs/>
                <w:noProof/>
              </w:rPr>
              <w:t>търговия без съответния лиценз или в нарушение на условията, посочени в него, дори без умисъл</w:t>
            </w:r>
            <w:r>
              <w:rPr>
                <w:rFonts w:ascii="Times New Roman" w:hAnsi="Times New Roman"/>
                <w:noProof/>
              </w:rPr>
              <w:t>) (чл. 33.1)</w:t>
            </w: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Глоба, ограничаване на свободата или лишаване от свобода до 2 години (</w:t>
            </w:r>
            <w:r>
              <w:rPr>
                <w:rFonts w:ascii="Times New Roman" w:hAnsi="Times New Roman"/>
                <w:i/>
                <w:iCs/>
                <w:noProof/>
              </w:rPr>
              <w:t>ако лицето, което е извършвало търговия в нарушение на условията, определени в лиценза, не е действало с умисъл и ако то предприеме действията, посочени в чл. 31.1</w:t>
            </w:r>
            <w:r>
              <w:rPr>
                <w:rFonts w:ascii="Times New Roman" w:hAnsi="Times New Roman"/>
                <w:noProof/>
              </w:rPr>
              <w:t>) (чл. 33.2)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Конфискация на стоките и на средствата, получени от незаконната сделка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PT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№ 130/2015, 9 юли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до 15 000 EUR за физическо лице или 30 000 EUR за юридическо лице (размерът на глобата се намалява наполовина в случай на небрежност)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Може да се наложат допълнителни санкции, напр. спиране на използването на лицензи за до 2 години, забрана на глобални лицензи за 2 години.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5 години за физически лица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600 000 EUR за юридически лица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Може да се наложат допълнителни санкции, напр. забрана за кандидатстване за лицензи за до 2 години, публикуване на окончателната осъдителна присъда на износителя на негови разноски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Спешна наредба № 119 от 23.12.2010 г. за контрола на износа на изделия с двойна употреба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Спешна наредба № 202 от 4.12.2008 г. относно изпълнението на международни санкции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Глоба в размер до 6 500 EUR за нарушение на формалностите (чл. 35 от Спешна наредба № 119 от 23.12.2010 г., чл. 26 от Спешна наредба № 202 от 4.12.2008 г.) 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от 1 до 5 години за износ/реекспорт/трансфер/брокерска дейност на изделията с двойна употреба без лиценз (чл. 34 от Спешна наредба № 119 от 23.12.2010 г., изменена със Закон № 187 от 19.11.2012 г.)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SE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контрола на изделията с двойна употреба и на техническата помощ  (2000:1064), чл.18-23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N.A. (Нарушенията на контрола на износа във връзка с изделия с двойна употреба и техническа помощ се наказват само с наказателни санкции).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150 000 SEK или</w:t>
            </w: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6 години</w:t>
            </w: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Освен това имущество (стоки и пари), свързано с извършването на престъпление, може да бъде конфискувано 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SI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Закон за контрола на износа и изделията с двойна употреба (ZNIBDR) 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Наредба относно процедурите за издаване на разрешения и сертификати и относно компетенциите на Компетенциите на Комисията за контрол на износа на изделия с двойна употреба 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Наказателен кодекс 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отговорността на юридическите лица за престъпления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до 125 000 EUR и допълнителна глоба до 4 100 EUR за юридически лица и 1 200 EUR за физически лица (ZNIBDR, чл.13)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от 200 EUR до 10 000 EUR  и допълнителна глоба от 100 EUR до 1 200 EUR за отговорни лица (Наредба относно процедурите за издаване на разрешения и сертификати и относно компетенциите на Компетенциите на Комисията за контрол на износа на изделия с двойна употреба – чл.10: Нарушение на задълженията за докладване)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Глоба в размер до 500 000 EUR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Лишаване от свобода до пет години (Наказателен кодекс - чл. 307)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конфискация на активите, или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закриване на юридическото лице  </w:t>
            </w: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(Закон за отговорността на юридическите лица за престъпления - чл. 25).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SK</w:t>
            </w:r>
          </w:p>
        </w:tc>
        <w:tc>
          <w:tcPr>
            <w:tcW w:w="3006" w:type="dxa"/>
          </w:tcPr>
          <w:p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Закон № 39/2011 относно изделията с двойна употреба и за и изменение на Закона на Националния съвет на Република Словакия № 145/1995 относн административните такси (изменен)</w:t>
            </w:r>
          </w:p>
        </w:tc>
        <w:tc>
          <w:tcPr>
            <w:tcW w:w="2538" w:type="dxa"/>
          </w:tcPr>
          <w:p>
            <w:pPr>
              <w:ind w:left="708"/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глоба в размер до 30 000 EUR (нарушения по чл. 32)</w:t>
            </w:r>
          </w:p>
          <w:p>
            <w:pPr>
              <w:ind w:left="708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глоба в размер до 650 000 EUR (други административни нарушения по чл. 33).</w:t>
            </w:r>
          </w:p>
        </w:tc>
        <w:tc>
          <w:tcPr>
            <w:tcW w:w="2643" w:type="dxa"/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UK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Наредба относно контрола на износа от 2008 г. (ECO 2008)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Закон за митата и акцизите (CEMA) от 1979 г.</w:t>
            </w:r>
          </w:p>
        </w:tc>
        <w:tc>
          <w:tcPr>
            <w:tcW w:w="2538" w:type="dxa"/>
          </w:tcPr>
          <w:p>
            <w:pPr>
              <w:ind w:left="708"/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N.A.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2643" w:type="dxa"/>
          </w:tcPr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Всички нарушения на контрола на износа в Обединеното кралство се считат за престъпления. Не всички са свързани с налагане на санкция лишаване от свобода, която обикновено е запазена за случаите, когато има доказателства за умисъл за избягване на контрола.  Максималните санкции са глоба, чийто размер не е ограничен, или лишаване от свобода за срок до 10 години, или и двете (CEMA/ECO 2008 – чл. 35, 42, 152).</w:t>
            </w:r>
          </w:p>
        </w:tc>
      </w:tr>
    </w:tbl>
    <w:p>
      <w:pPr>
        <w:rPr>
          <w:b/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7856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F50"/>
    <w:multiLevelType w:val="hybridMultilevel"/>
    <w:tmpl w:val="7250D85A"/>
    <w:lvl w:ilvl="0" w:tplc="AE78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9E6"/>
    <w:multiLevelType w:val="hybridMultilevel"/>
    <w:tmpl w:val="C63EC01C"/>
    <w:lvl w:ilvl="0" w:tplc="4D52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452A"/>
    <w:multiLevelType w:val="hybridMultilevel"/>
    <w:tmpl w:val="4208AD42"/>
    <w:lvl w:ilvl="0" w:tplc="67549F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1372"/>
    <w:multiLevelType w:val="hybridMultilevel"/>
    <w:tmpl w:val="A02AF742"/>
    <w:lvl w:ilvl="0" w:tplc="7EE211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C46"/>
    <w:multiLevelType w:val="hybridMultilevel"/>
    <w:tmpl w:val="0E8C63E2"/>
    <w:lvl w:ilvl="0" w:tplc="67549F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91CD7"/>
    <w:multiLevelType w:val="hybridMultilevel"/>
    <w:tmpl w:val="F246FAFC"/>
    <w:lvl w:ilvl="0" w:tplc="4D52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537AD"/>
    <w:multiLevelType w:val="hybridMultilevel"/>
    <w:tmpl w:val="2910D4E8"/>
    <w:lvl w:ilvl="0" w:tplc="4D52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0AA08C7-050E-4332-9160-5514BEB67472"/>
    <w:docVar w:name="LW_COVERPAGE_TYPE" w:val="1"/>
    <w:docVar w:name="LW_CROSSREFERENCE" w:val="&lt;UNUSED&gt;"/>
    <w:docVar w:name="LW_DocType" w:val="NORMAL"/>
    <w:docVar w:name="LW_EMISSION" w:val="4.11.2019"/>
    <w:docVar w:name="LW_EMISSION_ISODATE" w:val="2019-11-04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&lt;FMT:Bold&gt;\u1086?\u1090?\u1085?\u1086?\u1089?\u1085?\u1086? \u1087?\u1088?\u1080?\u1083?\u1072?\u1075?\u1072?\u1085?\u1077?\u1090?\u1086? \u1085?\u1072? \u1056?\u1077?\u1075?\u1083?\u1072?\u1084?\u1077?\u1085?\u1090? (\u1045?\u1054?) \u8470? 428/2009 \u1079?\u1072? \u1074?\u1098?\u1074?\u1077?\u1078?\u1076?\u1072?\u1085?\u1077? \u1088?\u1077?\u1078?\u1080?\u1084? \u1085?\u1072? \u1054?\u1073?\u1097?\u1085?\u1086?\u1089?\u1090?\u1090?\u1072? \u1079?\u1072? \u1082?\u1086?\u1085?\u1090?\u1088?\u1086?\u1083? \u1085?\u1072? \u1080?\u1079?\u1085?\u1086?\u1089?\u1072?, \u1090?\u1088?\u1072?\u1085?\u1089?\u1092?\u1077?\u1088?\u1072?, \u1073?\u1088?\u1086?\u1082?\u1077?\u1088?\u1089?\u1082?\u1072?\u1090?\u1072? \u1076?\u1077?\u1081?\u1085?\u1086?\u1089?\u1090? \u1080? \u1090?\u1088?\u1072?\u1085?\u1079?\u1080?\u1090?\u1072? \u1085?\u1072? \u1080?\u1079?\u1076?\u1077?\u1083?\u1080?\u1103? \u1080? \u1090?\u1077?\u1093?\u1085?\u1086?\u1083?\u1086?\u1075?\u1080?\u1080? \u1089? \u1076?\u1074?\u1086?\u1081?\u1085?\u1072? \u1091?\u1087?\u1086?\u1090?\u1088?\u1077?\u1073?\u1072?, \u1074?\u1082?\u1083?\u1102?\u1095?\u1074?\u1072?\u1097? \u1076?\u1086?\u1082?\u1083?\u1072?\u1076? \u1086?\u1090?\u1085?\u1086?\u1089?\u1085?\u1086? \u1091?\u1087?\u1088?\u1072?\u1078?\u1085?\u1103?\u1074?\u1072?\u1085?\u1077?\u1090?\u1086? \u1085?\u1072? \u1087?\u1088?\u1072?\u1074?\u1086?\u1084?\u1086?\u1097?\u1080?\u1077?\u1090?\u1086? \u1079?\u1072? \u1087?\u1088?\u1080?\u1077?\u1084?\u1072?\u1085?\u1077? \u1085?\u1072? \u1076?\u1077?\u1083?\u1077?\u1075?\u1080?\u1088?\u1072?\u1085?\u1080? \u1072?\u1082?\u1090?\u1086?\u1074?\u1077?, \u1087?\u1088?\u1077?\u1076?\u1086?\u1089?\u1090?\u1072?\u1074?\u1077?\u1085?\u1086? \u1085?\u1072? \u1050?\u1086?\u1084?\u1080?\u1089?\u1080?\u1103?\u1090?\u1072? \u1089?\u1098?\u1075?\u1083?\u1072?\u1089?\u1085?\u1086? \u1056?\u1077?\u1075?\u1083?\u1072?\u1084?\u1077?\u1085?\u1090? (\u1045?\u1057?) \u8470? 599/2014 \u1085?\u1072? \u1045?\u1074?\u1088?\u1086?\u1087?\u1077?\u1081?\u1089?\u1082?\u1080?\u1103? \u1087?\u1072?\u1088?\u1083?\u1072?\u1084?\u1077?\u1085?\u1090? \u1080? \u1085?\u1072? \u1057?\u1098?\u1074?\u1077?\u1090?\u1072? \u1086?\u1090? 16 \u1072?\u1087?\u1088?\u1080?\u1083? 2014 \u1075?. \u1079?\u1072? \u1080?\u1079?\u1084?\u1077?\u1085?\u1077?\u1085?\u1080?\u1077? \u1085?\u1072? \u1056?\u1077?\u1075?\u1083?\u1072?\u1084?\u1077?\u1085?\u1090? (\u1045?\u1054?) \u8470? 428/2009 \u1085?\u1072? \u1057?\u1098?\u1074?\u1077?\u1090?\u1072? \u1079?\u1072? \u1074?\u1098?\u1074?\u1077?\u1078?\u1076?\u1072?\u1085?\u1077? \u1088?\u1077?\u1078?\u1080?\u1084? \u1085?\u1072? \u1054?\u1073?\u1097?\u1085?\u1086?\u1089?\u1090?\u1090?\u1072? \u1079?\u1072? \u1082?\u1086?\u1085?\u1090?\u1088?\u1086?\u1083? \u1085?\u1072? \u1080?\u1079?\u1085?\u1086?\u1089?\u1072?, \u1090?\u1088?\u1072?\u1085?\u1089?\u1092?\u1077?\u1088?\u1072?, \u1073?\u1088?\u1086?\u1082?\u1077?\u1088?\u1089?\u1082?\u1072?\u1090?\u1072? \u1076?\u1077?\u1081?\u1085?\u1086?\u1089?\u1090? \u1080? \u1090?\u1088?\u1072?\u1085?\u1079?\u1080?\u1090?\u1072? \u1085?\u1072? \u1080?\u1079?\u1076?\u1077?\u1083?\u1080?\u1103? \u1080? \u1090?\u1077?\u1093?\u1085?\u1086?\u1083?\u1086?\u1075?\u1080?\u1080? \u1089? \u1076?\u1074?\u1086?\u1081?\u1085?\u1072? \u1091?\u1087?\u1086?\u1090?\u1088?\u1077?\u1073?\u1072?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5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44?\u1086?\u1082?\u1083?\u1072?\u1076? \u1085?\u1072? \u1050?\u1086?\u1084?\u1080?\u1089?\u1080?\u1103?\u1090?\u1072? \u1076?\u1086? \u1045?\u1074?\u1088?\u1086?\u1087?\u1077?\u1081?\u1089?\u1082?\u1080?\u1103? \u1087?\u1072?\u1088?\u1083?\u1072?\u1084?\u1077?\u1085?\u1090? \u1080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sz w:val="22"/>
      <w:szCs w:val="21"/>
      <w:lang w:val="bg-BG"/>
    </w:rPr>
  </w:style>
  <w:style w:type="paragraph" w:styleId="BodyText">
    <w:name w:val="Body Text"/>
    <w:basedOn w:val="Normal"/>
    <w:link w:val="BodyTextChar"/>
    <w:uiPriority w:val="99"/>
    <w:unhideWhenUsed/>
    <w:pPr>
      <w:framePr w:hSpace="141" w:wrap="around" w:vAnchor="page" w:hAnchor="margin" w:y="2845"/>
      <w:jc w:val="both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/>
      <w:sz w:val="22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szCs w:val="24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sz w:val="22"/>
      <w:szCs w:val="21"/>
      <w:lang w:val="bg-BG"/>
    </w:rPr>
  </w:style>
  <w:style w:type="paragraph" w:styleId="BodyText">
    <w:name w:val="Body Text"/>
    <w:basedOn w:val="Normal"/>
    <w:link w:val="BodyTextChar"/>
    <w:uiPriority w:val="99"/>
    <w:unhideWhenUsed/>
    <w:pPr>
      <w:framePr w:hSpace="141" w:wrap="around" w:vAnchor="page" w:hAnchor="margin" w:y="2845"/>
      <w:jc w:val="both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/>
      <w:sz w:val="22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szCs w:val="24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2722</Words>
  <Characters>13475</Characters>
  <Application>Microsoft Office Word</Application>
  <DocSecurity>0</DocSecurity>
  <Lines>1347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13</cp:revision>
  <dcterms:created xsi:type="dcterms:W3CDTF">2019-10-02T08:57:00Z</dcterms:created>
  <dcterms:modified xsi:type="dcterms:W3CDTF">2019-10-29T10:05:00Z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