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82699EC-5C47-4659-8D68-6D261E5A99A3"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u w:val="none"/>
        </w:rPr>
      </w:pPr>
      <w:bookmarkStart w:id="0" w:name="_GoBack"/>
      <w:bookmarkEnd w:id="0"/>
      <w:r>
        <w:rPr>
          <w:noProof/>
          <w:u w:val="none"/>
        </w:rPr>
        <w:lastRenderedPageBreak/>
        <w:t>EXPUNERE DE MOTIVE</w:t>
      </w:r>
    </w:p>
    <w:p>
      <w:pPr>
        <w:pStyle w:val="ManualHeading1"/>
        <w:rPr>
          <w:noProof/>
        </w:rPr>
      </w:pPr>
      <w:r>
        <w:rPr>
          <w:noProof/>
        </w:rPr>
        <w:t>1.</w:t>
      </w:r>
      <w:r>
        <w:rPr>
          <w:noProof/>
        </w:rPr>
        <w:tab/>
        <w:t>CONTEXTUL PROPUNERII</w:t>
      </w:r>
    </w:p>
    <w:p>
      <w:pPr>
        <w:rPr>
          <w:noProof/>
        </w:rPr>
      </w:pPr>
      <w:r>
        <w:rPr>
          <w:noProof/>
        </w:rPr>
        <w:t xml:space="preserve">Acordul euro-mediteraneean privind serviciile aeriene între Uniunea Europeană și statele membre ale acesteia, pe de o parte, și Regatul Hașemit al Iordaniei, pe de altă parte, a fost negociat de Comisie conform autorizației primite din partea Consiliului în iunie 2007. </w:t>
      </w:r>
    </w:p>
    <w:p>
      <w:pPr>
        <w:rPr>
          <w:noProof/>
        </w:rPr>
      </w:pPr>
      <w:r>
        <w:rPr>
          <w:noProof/>
        </w:rPr>
        <w:t>Acordul a fost semnat la 15 decembrie 2010, sub rezerva încheierii sale la o dată ulterioară, în conformitate cu Decizia 2012/750/UE a Consiliului și a reprezentanților guvernelor statelor membre ale Uniunii Europene, reuniți în cadrul Consiliului</w:t>
      </w:r>
      <w:r>
        <w:rPr>
          <w:rStyle w:val="FootnoteReference"/>
          <w:noProof/>
        </w:rPr>
        <w:footnoteReference w:id="1"/>
      </w:r>
      <w:r>
        <w:rPr>
          <w:noProof/>
        </w:rPr>
        <w:t>. În ceea ce privește UE, atât Uniunea, cât și statele sale membre sunt părți la acest acord.</w:t>
      </w:r>
    </w:p>
    <w:p>
      <w:pPr>
        <w:rPr>
          <w:noProof/>
        </w:rPr>
      </w:pPr>
      <w:r>
        <w:rPr>
          <w:noProof/>
        </w:rPr>
        <w:t>Procesul de ratificare a fost finalizat de toate statele membre, cu excepția Republicii Croația. Republica Croația aderă la acord în conformitate cu procedura prevăzută în Actul de aderare anexat la Tratatul de aderare din 5 decembrie 2011, iar protocolul relevant privind aderarea Republicii Croația la acest acord a fost semnat la 3 mai 2016</w:t>
      </w:r>
      <w:r>
        <w:rPr>
          <w:rStyle w:val="FootnoteReference"/>
          <w:noProof/>
        </w:rPr>
        <w:footnoteReference w:id="2"/>
      </w:r>
      <w:r>
        <w:rPr>
          <w:noProof/>
        </w:rPr>
        <w:t>.</w:t>
      </w:r>
    </w:p>
    <w:p>
      <w:pPr>
        <w:rPr>
          <w:noProof/>
        </w:rPr>
      </w:pPr>
      <w:r>
        <w:rPr>
          <w:noProof/>
        </w:rPr>
        <w:t>Pentru a ține seama, în special, de intrarea în vigoare a Tratatului de la Lisabona și în urma hotărârii Curții de Justiție a Uniunii Europene din 28 aprilie 2015 în cauza C-28/12, prezenta propunere modifică propunerea inițială a Comisiei [COM(2010)332 final</w:t>
      </w:r>
      <w:r>
        <w:rPr>
          <w:rStyle w:val="FootnoteReference"/>
          <w:noProof/>
        </w:rPr>
        <w:footnoteReference w:id="3"/>
      </w:r>
      <w:r>
        <w:rPr>
          <w:noProof/>
        </w:rPr>
        <w:t xml:space="preserve">], care a fost adoptată la 24 iunie 2010 și prezentată ulterior Consiliului. Pentru a înlesni examinarea de către Consiliu, textul relevant este prezentat în întregime ca propunere modificată. </w:t>
      </w:r>
    </w:p>
    <w:p>
      <w:pPr>
        <w:pStyle w:val="ManualHeading1"/>
        <w:rPr>
          <w:noProof/>
        </w:rPr>
      </w:pPr>
      <w:r>
        <w:rPr>
          <w:noProof/>
        </w:rPr>
        <w:t>2.</w:t>
      </w:r>
      <w:r>
        <w:rPr>
          <w:noProof/>
        </w:rPr>
        <w:tab/>
        <w:t>TEMEI JURIDIC</w:t>
      </w:r>
    </w:p>
    <w:p>
      <w:pPr>
        <w:pBdr>
          <w:top w:val="nil"/>
          <w:left w:val="nil"/>
          <w:bottom w:val="nil"/>
          <w:right w:val="nil"/>
          <w:between w:val="nil"/>
          <w:bar w:val="nil"/>
        </w:pBdr>
        <w:spacing w:before="0" w:after="240"/>
        <w:rPr>
          <w:noProof/>
        </w:rPr>
      </w:pPr>
      <w:r>
        <w:rPr>
          <w:noProof/>
        </w:rPr>
        <w:t>Propunerea are ca temei juridic articolul 100 alineatul (2) din Tratatul privind funcționarea Uniunii Europene, coroborat cu articolul </w:t>
      </w:r>
      <w:r>
        <w:rPr>
          <w:noProof/>
          <w:szCs w:val="27"/>
          <w:shd w:val="clear" w:color="auto" w:fill="FFFFFF"/>
        </w:rPr>
        <w:t>218 alineatul (6) litera (a) punctul (v)</w:t>
      </w:r>
      <w:r>
        <w:rPr>
          <w:noProof/>
        </w:rPr>
        <w:t xml:space="preserve"> și cu articolul 218 alineatul (7). </w:t>
      </w:r>
    </w:p>
    <w:p>
      <w:pPr>
        <w:pStyle w:val="ManualHeading1"/>
        <w:rPr>
          <w:noProof/>
        </w:rPr>
      </w:pPr>
      <w:r>
        <w:rPr>
          <w:noProof/>
        </w:rPr>
        <w:t>3.</w:t>
      </w:r>
      <w:r>
        <w:rPr>
          <w:noProof/>
        </w:rPr>
        <w:tab/>
        <w:t>REZULTATELE EVALUĂRILOR EX POST, ALE CONSULTĂRILOR CU PĂRȚILE INTERESATE ȘI ALE EVALUĂRILOR IMPACTULUI</w:t>
      </w:r>
    </w:p>
    <w:p>
      <w:pPr>
        <w:rPr>
          <w:noProof/>
        </w:rPr>
      </w:pPr>
      <w:r>
        <w:rPr>
          <w:noProof/>
        </w:rPr>
        <w:t>Nu se aplică.</w:t>
      </w:r>
    </w:p>
    <w:p>
      <w:pPr>
        <w:pStyle w:val="ManualHeading1"/>
        <w:rPr>
          <w:noProof/>
        </w:rPr>
      </w:pPr>
      <w:r>
        <w:rPr>
          <w:noProof/>
        </w:rPr>
        <w:t>4.</w:t>
      </w:r>
      <w:r>
        <w:rPr>
          <w:noProof/>
        </w:rPr>
        <w:tab/>
        <w:t>IMPLICAȚII BUGETARE</w:t>
      </w:r>
    </w:p>
    <w:p>
      <w:pPr>
        <w:rPr>
          <w:noProof/>
        </w:rPr>
      </w:pPr>
      <w:r>
        <w:rPr>
          <w:noProof/>
        </w:rPr>
        <w:t>Propunerea nu are implicații asupra bugetului Uniunii.</w:t>
      </w:r>
    </w:p>
    <w:p>
      <w:pPr>
        <w:pStyle w:val="ManualHeading1"/>
        <w:rPr>
          <w:noProof/>
        </w:rPr>
      </w:pPr>
      <w:r>
        <w:rPr>
          <w:noProof/>
        </w:rPr>
        <w:t>5.</w:t>
      </w:r>
      <w:r>
        <w:rPr>
          <w:noProof/>
        </w:rPr>
        <w:tab/>
        <w:t>ALTE ELEMENTE</w:t>
      </w:r>
    </w:p>
    <w:p>
      <w:pPr>
        <w:pStyle w:val="ListBullet1"/>
        <w:rPr>
          <w:noProof/>
        </w:rPr>
      </w:pPr>
      <w:r>
        <w:rPr>
          <w:noProof/>
        </w:rPr>
        <w:t>Rezumatul acordului propus</w:t>
      </w:r>
    </w:p>
    <w:p>
      <w:pPr>
        <w:ind w:left="720"/>
        <w:rPr>
          <w:noProof/>
        </w:rPr>
      </w:pPr>
      <w:r>
        <w:rPr>
          <w:noProof/>
        </w:rPr>
        <w:t xml:space="preserve">Acordul este compus din partea de bază, care cuprinde dispozițiile principale, și din patru anexe: anexa I privind serviciile autorizate și rutele specificate, anexa II privind </w:t>
      </w:r>
      <w:r>
        <w:rPr>
          <w:noProof/>
        </w:rPr>
        <w:lastRenderedPageBreak/>
        <w:t>dispozițiile tranzitorii, anexa III conținând lista normelor de aviație civilă și anexa IV conținând o listă a celorlalte state menționate la articolele 3 și 4 și în anexa 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rPr>
          <w:noProof/>
        </w:rPr>
      </w:pPr>
    </w:p>
    <w:p>
      <w:pPr>
        <w:pStyle w:val="Rfrenceinterinstitutionnelle"/>
        <w:rPr>
          <w:noProof/>
        </w:rPr>
      </w:pPr>
      <w:r>
        <w:rPr>
          <w:noProof/>
        </w:rPr>
        <w:t>2010/0180 (NLE)</w:t>
      </w:r>
    </w:p>
    <w:p>
      <w:pPr>
        <w:pStyle w:val="Statut"/>
        <w:rPr>
          <w:noProof/>
        </w:rPr>
      </w:pPr>
      <w:r>
        <w:rPr>
          <w:noProof/>
        </w:rPr>
        <w:t>Propunere modificată de</w:t>
      </w:r>
    </w:p>
    <w:p>
      <w:pPr>
        <w:pStyle w:val="Typedudocument"/>
        <w:rPr>
          <w:noProof/>
        </w:rPr>
      </w:pPr>
      <w:r>
        <w:rPr>
          <w:noProof/>
        </w:rPr>
        <w:t>DECIZIE A CONSILIULUI</w:t>
      </w:r>
    </w:p>
    <w:p>
      <w:pPr>
        <w:pStyle w:val="Titreobjet"/>
        <w:rPr>
          <w:noProof/>
        </w:rPr>
      </w:pPr>
      <w:r>
        <w:rPr>
          <w:noProof/>
        </w:rPr>
        <w:t>privind încheierea Acordului euro-mediteraneean privind serviciile aeriene între Uniunea Europeană și statele membre ale acesteia, pe de o parte, și Regatul Hașemit al Iordaniei, pe de altă parte</w:t>
      </w:r>
    </w:p>
    <w:p>
      <w:pPr>
        <w:pStyle w:val="Institutionquiagit"/>
        <w:rPr>
          <w:noProof/>
        </w:rPr>
      </w:pPr>
      <w:r>
        <w:rPr>
          <w:noProof/>
        </w:rPr>
        <w:t xml:space="preserve">CONSILIUL UNIUNII EUROPENE, </w:t>
      </w:r>
    </w:p>
    <w:p>
      <w:pPr>
        <w:rPr>
          <w:noProof/>
        </w:rPr>
      </w:pPr>
      <w:r>
        <w:rPr>
          <w:noProof/>
        </w:rPr>
        <w:t>având în vedere Tratatul privind funcționarea Uniunii Europene, în special articolul 100 alineatul (2), coroborat cu articolul 218 alineatul (6) litera (a) punctul (v) și cu articolul 218 alineatul (7),</w:t>
      </w:r>
    </w:p>
    <w:p>
      <w:pPr>
        <w:rPr>
          <w:noProof/>
        </w:rPr>
      </w:pPr>
      <w:r>
        <w:rPr>
          <w:noProof/>
        </w:rPr>
        <w:t>având în vedere propunerea Comisiei Europene,</w:t>
      </w:r>
    </w:p>
    <w:p>
      <w:pPr>
        <w:rPr>
          <w:noProof/>
        </w:rPr>
      </w:pPr>
      <w:r>
        <w:rPr>
          <w:noProof/>
        </w:rPr>
        <w:t>având în vedere aprobarea Parlamentului European</w:t>
      </w:r>
      <w:r>
        <w:rPr>
          <w:rStyle w:val="FootnoteReference"/>
          <w:noProof/>
        </w:rPr>
        <w:footnoteReference w:id="4"/>
      </w:r>
      <w:r>
        <w:rPr>
          <w:noProof/>
        </w:rPr>
        <w:t>,</w:t>
      </w:r>
    </w:p>
    <w:p>
      <w:pPr>
        <w:rPr>
          <w:noProof/>
        </w:rPr>
      </w:pPr>
      <w:r>
        <w:rPr>
          <w:noProof/>
        </w:rPr>
        <w:t>întrucât:</w:t>
      </w:r>
    </w:p>
    <w:p>
      <w:pPr>
        <w:pStyle w:val="ManualConsidrant"/>
        <w:rPr>
          <w:noProof/>
        </w:rPr>
      </w:pPr>
      <w:r>
        <w:rPr>
          <w:noProof/>
        </w:rPr>
        <w:t>(1)</w:t>
      </w:r>
      <w:r>
        <w:rPr>
          <w:noProof/>
        </w:rPr>
        <w:tab/>
        <w:t>Acordul euro-mediteraneean privind serviciile aeriene între Uniunea Europeană și statele membre ale acesteia, pe de o parte, și Regatul Hașemit al Iordaniei, pe de altă parte, a fost semnat la 15 decembrie 2010, sub rezerva încheierii sale la o dată ulterioară, în conformitate cu Decizia 2012/750/UE a Consiliului și a reprezentanților guvernelor statelor membre, reuniți în cadrul Consiliului</w:t>
      </w:r>
      <w:r>
        <w:rPr>
          <w:rStyle w:val="FootnoteReference"/>
          <w:noProof/>
        </w:rPr>
        <w:footnoteReference w:id="5"/>
      </w:r>
      <w:r>
        <w:rPr>
          <w:noProof/>
        </w:rPr>
        <w:t>.</w:t>
      </w:r>
    </w:p>
    <w:p>
      <w:pPr>
        <w:pStyle w:val="ManualConsidrant"/>
        <w:rPr>
          <w:noProof/>
        </w:rPr>
      </w:pPr>
      <w:r>
        <w:rPr>
          <w:noProof/>
        </w:rPr>
        <w:t>(2)</w:t>
      </w:r>
      <w:r>
        <w:rPr>
          <w:noProof/>
        </w:rPr>
        <w:tab/>
        <w:t>Acordul a fost ratificat de toate statele membre, cu excepția Republicii Croația. Republica Croația aderă la acord în conformitate cu procedura prevăzută în Actul de aderare anexat la Tratatul de aderare din 5 decembrie 2011, iar protocolul relevant privind aderarea Republicii Croația la acest acord a fost semnat la 3 mai 2016</w:t>
      </w:r>
      <w:r>
        <w:rPr>
          <w:rStyle w:val="FootnoteReference"/>
          <w:noProof/>
        </w:rPr>
        <w:footnoteReference w:id="6"/>
      </w:r>
      <w:r>
        <w:rPr>
          <w:noProof/>
        </w:rPr>
        <w:t>.</w:t>
      </w:r>
    </w:p>
    <w:p>
      <w:pPr>
        <w:pStyle w:val="ManualConsidrant"/>
        <w:rPr>
          <w:noProof/>
        </w:rPr>
      </w:pPr>
      <w:r>
        <w:rPr>
          <w:noProof/>
        </w:rPr>
        <w:t>(3)</w:t>
      </w:r>
      <w:r>
        <w:rPr>
          <w:noProof/>
        </w:rPr>
        <w:tab/>
        <w:t>Acordul ar trebui să fie aprobat în numele Uniunii.</w:t>
      </w:r>
    </w:p>
    <w:p>
      <w:pPr>
        <w:pStyle w:val="ManualConsidrant"/>
        <w:rPr>
          <w:noProof/>
        </w:rPr>
      </w:pPr>
      <w:r>
        <w:rPr>
          <w:noProof/>
        </w:rPr>
        <w:t>(4)</w:t>
      </w:r>
      <w:r>
        <w:rPr>
          <w:noProof/>
        </w:rPr>
        <w:tab/>
        <w:t xml:space="preserve">Articolele 3 și 4 din Decizia 2012/750/UE conțin dispoziții privind procesul decizional și reprezentarea, referitoare la diverse aspecte prevăzute în acord. Având în vedere hotărârea Curții de Justiție a Uniunii Europene din 28 aprilie 2015 în cauza C-28/12, aplicarea dispozițiilor în cauză ar trebui să înceteze. Având în vedere tratatele, nu sunt necesare noi dispoziții referitoare la aceste aspecte și nici dispoziții privind obligațiile de informare ale statelor membre, conținute în articolul 5 din decizie. În consecință, </w:t>
      </w:r>
      <w:r>
        <w:rPr>
          <w:noProof/>
        </w:rPr>
        <w:lastRenderedPageBreak/>
        <w:t>articolele 3, 4 și 5 din Decizia 2012/750/UE ar trebui să înceteze să se aplice la data intrării în vigoare a prezentei decizii. .</w:t>
      </w:r>
    </w:p>
    <w:p>
      <w:pPr>
        <w:pStyle w:val="Formuledadoption"/>
        <w:rPr>
          <w:noProof/>
        </w:rPr>
      </w:pPr>
      <w:r>
        <w:rPr>
          <w:noProof/>
        </w:rPr>
        <w:t xml:space="preserve">ADOPTĂ PREZENTA DECIZIE: </w:t>
      </w:r>
    </w:p>
    <w:p>
      <w:pPr>
        <w:pStyle w:val="Titrearticle"/>
        <w:rPr>
          <w:noProof/>
        </w:rPr>
      </w:pPr>
      <w:r>
        <w:rPr>
          <w:noProof/>
        </w:rPr>
        <w:t>Articolul 1</w:t>
      </w:r>
    </w:p>
    <w:p>
      <w:pPr>
        <w:rPr>
          <w:noProof/>
        </w:rPr>
      </w:pPr>
      <w:r>
        <w:rPr>
          <w:noProof/>
        </w:rPr>
        <w:t>Se aprobă, în numele Uniunii, Acordul euro-mediteraneean privind serviciile aeriene între Uniunea Europeană și statele sale membre, pe de o parte, și Regatul Hașemit al Iordaniei, pe de altă parte</w:t>
      </w:r>
      <w:r>
        <w:rPr>
          <w:rStyle w:val="FootnoteReference"/>
          <w:noProof/>
        </w:rPr>
        <w:footnoteReference w:id="7"/>
      </w:r>
      <w:r>
        <w:rPr>
          <w:noProof/>
        </w:rPr>
        <w:t xml:space="preserve">. </w:t>
      </w:r>
    </w:p>
    <w:p>
      <w:pPr>
        <w:pStyle w:val="Titrearticle"/>
        <w:rPr>
          <w:noProof/>
        </w:rPr>
      </w:pPr>
      <w:r>
        <w:rPr>
          <w:noProof/>
        </w:rPr>
        <w:t>Articolul 2</w:t>
      </w:r>
    </w:p>
    <w:p>
      <w:pPr>
        <w:rPr>
          <w:iCs/>
          <w:noProof/>
        </w:rPr>
      </w:pPr>
      <w:r>
        <w:rPr>
          <w:noProof/>
        </w:rPr>
        <w:t>Poziția care urmează să fie luată de Uniune în ceea ce privește deciziile adoptate de comitetul mixt în temeiul articolului 21 din acord, referitoare exclusiv la includerea actelor legislative ale Uniunii în anexa III (Lista normelor de aviație civilă) la acord, sub rezerva oricăror modificări tehnice necesare, este adoptată de Comisie, după consultarea unui comitet special desemnat de Consiliu.</w:t>
      </w:r>
    </w:p>
    <w:p>
      <w:pPr>
        <w:pStyle w:val="Titrearticle"/>
        <w:rPr>
          <w:noProof/>
        </w:rPr>
      </w:pPr>
      <w:r>
        <w:rPr>
          <w:noProof/>
        </w:rPr>
        <w:t>Articolul 3</w:t>
      </w:r>
    </w:p>
    <w:p>
      <w:pPr>
        <w:rPr>
          <w:noProof/>
        </w:rPr>
      </w:pPr>
      <w:r>
        <w:rPr>
          <w:noProof/>
        </w:rPr>
        <w:t>Articolele 3, 4 și 5 din Decizia 2012/750/UE încetează să se aplice la data intrării în vigoare a prezentei decizii.</w:t>
      </w:r>
    </w:p>
    <w:p>
      <w:pPr>
        <w:pStyle w:val="Titrearticle"/>
        <w:rPr>
          <w:noProof/>
        </w:rPr>
      </w:pPr>
      <w:r>
        <w:rPr>
          <w:noProof/>
        </w:rPr>
        <w:t>Articolul 4</w:t>
      </w:r>
    </w:p>
    <w:p>
      <w:pPr>
        <w:rPr>
          <w:noProof/>
        </w:rPr>
      </w:pPr>
      <w:r>
        <w:rPr>
          <w:noProof/>
        </w:rPr>
        <w:t>Prezenta decizie intră în vigoare la data adoptării.</w:t>
      </w:r>
    </w:p>
    <w:p>
      <w:pPr>
        <w:pStyle w:val="Fait"/>
        <w:rPr>
          <w:noProof/>
        </w:rPr>
      </w:pPr>
      <w:r>
        <w:t>Adoptată la Bruxelles,</w:t>
      </w:r>
    </w:p>
    <w:p>
      <w:pPr>
        <w:pStyle w:val="Institutionquisigne"/>
        <w:rPr>
          <w:noProof/>
        </w:rPr>
      </w:pPr>
      <w:r>
        <w:rPr>
          <w:noProof/>
        </w:rPr>
        <w:t>Pentru Consiliu</w:t>
      </w:r>
    </w:p>
    <w:p>
      <w:pPr>
        <w:pStyle w:val="Personnequisigne"/>
        <w:keepNext/>
        <w:rPr>
          <w:noProof/>
        </w:rPr>
      </w:pPr>
      <w:r>
        <w:rPr>
          <w:noProof/>
        </w:rPr>
        <w:tab/>
        <w:t>Președintele</w:t>
      </w:r>
    </w:p>
    <w:p>
      <w:pPr>
        <w:pStyle w:val="Personnequisigne"/>
        <w:spacing w:after="120"/>
        <w:rPr>
          <w:noProof/>
        </w:rPr>
      </w:pPr>
      <w:r>
        <w:rPr>
          <w:noProof/>
        </w:rPr>
        <w:tab/>
        <w:t>[…]</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Decizia 2012/750/UE a Consiliului și a reprezentanților guvernelor statelor membre, reuniți în cadrul Consiliului din 15 octombrie 2010 privind semnarea și aplicarea cu titlu provizoriu a Acordului euro-mediteraneean privind serviciile aeriene între Uniunea Europeană și statele membre ale acesteia, pe de o parte, și Regatul Hașemit al Iordaniei, pe de altă parte (JO L 334, 6.12.2012, p. 1)</w:t>
      </w:r>
    </w:p>
  </w:footnote>
  <w:footnote w:id="2">
    <w:p>
      <w:pPr>
        <w:pStyle w:val="FootnoteText"/>
        <w:ind w:left="0" w:firstLine="0"/>
      </w:pPr>
      <w:r>
        <w:rPr>
          <w:rStyle w:val="FootnoteReference"/>
        </w:rPr>
        <w:footnoteRef/>
      </w:r>
      <w:r>
        <w:tab/>
        <w:t>Decizia (UE) 2016/803 a Consiliului din 7 mai 2015 privind semnarea, în numele Uniunii și al statelor sale membre, și aplicarea provizorie a unui Protocol de modificare a Acordului euro-mediteraneean privind serviciile aeriene între Uniunea Europeană și statele membre ale acesteia, pe de o parte, și Regatul Hașemit al Iordaniei, pe de altă parte, pentru a se ține seama de aderarea Republicii Croația la Uniunea Europeană (JO L 132, 25.5.2016, p. 79)</w:t>
      </w:r>
    </w:p>
  </w:footnote>
  <w:footnote w:id="3">
    <w:p>
      <w:pPr>
        <w:pStyle w:val="FootnoteText"/>
      </w:pPr>
      <w:r>
        <w:rPr>
          <w:rStyle w:val="FootnoteReference"/>
        </w:rPr>
        <w:footnoteRef/>
      </w:r>
      <w:r>
        <w:tab/>
      </w:r>
      <w:hyperlink r:id="rId1" w:history="1">
        <w:r>
          <w:rPr>
            <w:rStyle w:val="Hyperlink"/>
          </w:rPr>
          <w:t>https://eur-lex.europa.eu/legal-content/RO/TXT/PDF/?uri=CELEX:52010PC0332&amp;from=EN</w:t>
        </w:r>
      </w:hyperlink>
      <w:r>
        <w:t xml:space="preserve"> </w:t>
      </w:r>
    </w:p>
  </w:footnote>
  <w:footnote w:id="4">
    <w:p>
      <w:pPr>
        <w:pStyle w:val="FootnoteText"/>
      </w:pPr>
      <w:r>
        <w:rPr>
          <w:rStyle w:val="FootnoteReference"/>
        </w:rPr>
        <w:footnoteRef/>
      </w:r>
      <w:r>
        <w:tab/>
        <w:t>Aprobarea din [data] (nepublicată încă în Jurnalul Oficial).</w:t>
      </w:r>
    </w:p>
  </w:footnote>
  <w:footnote w:id="5">
    <w:p>
      <w:pPr>
        <w:pStyle w:val="FootnoteText"/>
        <w:ind w:left="0" w:firstLine="0"/>
      </w:pPr>
      <w:r>
        <w:rPr>
          <w:rStyle w:val="FootnoteReference"/>
        </w:rPr>
        <w:footnoteRef/>
      </w:r>
      <w:r>
        <w:tab/>
        <w:t>Decizia 2012/750/UE a Consiliului și a reprezentanților guvernelor statelor membre, reuniți în cadrul Consiliului din 15 octombrie 2010 privind semnarea și aplicarea cu titlu provizoriu a Acordului euro-mediteraneean privind serviciile aeriene între Uniunea Europeană și statele membre ale acesteia, pe de o parte, și Regatul Hașemit al Iordaniei, pe de altă parte (JO L 334, 6.12.2012, p. 1)</w:t>
      </w:r>
    </w:p>
  </w:footnote>
  <w:footnote w:id="6">
    <w:p>
      <w:pPr>
        <w:pStyle w:val="FootnoteText"/>
        <w:ind w:left="0" w:firstLine="0"/>
      </w:pPr>
      <w:r>
        <w:rPr>
          <w:rStyle w:val="FootnoteReference"/>
        </w:rPr>
        <w:footnoteRef/>
      </w:r>
      <w:r>
        <w:tab/>
        <w:t>Decizia (UE) 2016/803 a Consiliului din 7 mai 2015 privind semnarea, în numele Uniunii și al statelor sale membre, și aplicarea provizorie a unui Protocol de modificare a Acordului euro-mediteraneean privind serviciile aeriene între Uniunea Europeană și statele membre ale acesteia, pe de o parte, și Regatul Hașemit al Iordaniei, pe de altă parte, pentru a se ține seama de aderarea Republicii Croația la Uniunea Europeană (JO L 132, 25.05.2016, p. 79)</w:t>
      </w:r>
    </w:p>
  </w:footnote>
  <w:footnote w:id="7">
    <w:p>
      <w:pPr>
        <w:pStyle w:val="FootnoteText"/>
      </w:pPr>
      <w:r>
        <w:rPr>
          <w:rStyle w:val="FootnoteReference"/>
        </w:rPr>
        <w:footnoteRef/>
      </w:r>
      <w:r>
        <w:tab/>
        <w:t>Acordul a fost publicat în JO L 334, 6.12.2012, p. 3, împreună cu decizia privind semnarea acestuia.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E43525"/>
    <w:multiLevelType w:val="multilevel"/>
    <w:tmpl w:val="76202BFE"/>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E930D7"/>
    <w:multiLevelType w:val="multilevel"/>
    <w:tmpl w:val="EFD2E05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9">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F8C3B69"/>
    <w:multiLevelType w:val="multilevel"/>
    <w:tmpl w:val="9B14DAA8"/>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6A6901C1"/>
    <w:multiLevelType w:val="singleLevel"/>
    <w:tmpl w:val="208841AE"/>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3">
    <w:nsid w:val="6D2B5511"/>
    <w:multiLevelType w:val="singleLevel"/>
    <w:tmpl w:val="74A09970"/>
    <w:name w:val="9.835482E-0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25">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7">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28">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18"/>
  </w:num>
  <w:num w:numId="2">
    <w:abstractNumId w:val="25"/>
  </w:num>
  <w:num w:numId="3">
    <w:abstractNumId w:val="5"/>
  </w:num>
  <w:num w:numId="4">
    <w:abstractNumId w:val="1"/>
  </w:num>
  <w:num w:numId="5">
    <w:abstractNumId w:val="0"/>
  </w:num>
  <w:num w:numId="6">
    <w:abstractNumId w:val="23"/>
  </w:num>
  <w:num w:numId="7">
    <w:abstractNumId w:val="22"/>
  </w:num>
  <w:num w:numId="8">
    <w:abstractNumId w:val="2"/>
  </w:num>
  <w:num w:numId="9">
    <w:abstractNumId w:val="8"/>
  </w:num>
  <w:num w:numId="10">
    <w:abstractNumId w:val="28"/>
  </w:num>
  <w:num w:numId="11">
    <w:abstractNumId w:val="9"/>
  </w:num>
  <w:num w:numId="12">
    <w:abstractNumId w:val="19"/>
  </w:num>
  <w:num w:numId="13">
    <w:abstractNumId w:val="14"/>
  </w:num>
  <w:num w:numId="14">
    <w:abstractNumId w:val="24"/>
  </w:num>
  <w:num w:numId="15">
    <w:abstractNumId w:val="27"/>
  </w:num>
  <w:num w:numId="16">
    <w:abstractNumId w:val="17"/>
  </w:num>
  <w:num w:numId="17">
    <w:abstractNumId w:val="10"/>
  </w:num>
  <w:num w:numId="18">
    <w:abstractNumId w:val="21"/>
  </w:num>
  <w:num w:numId="19">
    <w:abstractNumId w:val="7"/>
  </w:num>
  <w:num w:numId="20">
    <w:abstractNumId w:val="11"/>
  </w:num>
  <w:num w:numId="21">
    <w:abstractNumId w:val="4"/>
  </w:num>
  <w:num w:numId="22">
    <w:abstractNumId w:val="20"/>
  </w:num>
  <w:num w:numId="23">
    <w:abstractNumId w:val="3"/>
  </w:num>
  <w:num w:numId="24">
    <w:abstractNumId w:val="12"/>
  </w:num>
  <w:num w:numId="25">
    <w:abstractNumId w:val="15"/>
  </w:num>
  <w:num w:numId="26">
    <w:abstractNumId w:val="16"/>
  </w:num>
  <w:num w:numId="27">
    <w:abstractNumId w:val="6"/>
  </w:num>
  <w:num w:numId="28">
    <w:abstractNumId w:val="13"/>
  </w:num>
  <w:num w:numId="29">
    <w:abstractNumId w:val="26"/>
  </w:num>
  <w:num w:numId="30">
    <w:abstractNumId w:val="17"/>
  </w:num>
  <w:num w:numId="31">
    <w:abstractNumId w:val="10"/>
  </w:num>
  <w:num w:numId="32">
    <w:abstractNumId w:val="21"/>
  </w:num>
  <w:num w:numId="33">
    <w:abstractNumId w:val="7"/>
  </w:num>
  <w:num w:numId="34">
    <w:abstractNumId w:val="11"/>
  </w:num>
  <w:num w:numId="35">
    <w:abstractNumId w:val="4"/>
  </w:num>
  <w:num w:numId="36">
    <w:abstractNumId w:val="20"/>
  </w:num>
  <w:num w:numId="37">
    <w:abstractNumId w:val="3"/>
  </w:num>
  <w:num w:numId="38">
    <w:abstractNumId w:val="12"/>
  </w:num>
  <w:num w:numId="39">
    <w:abstractNumId w:val="15"/>
  </w:num>
  <w:num w:numId="40">
    <w:abstractNumId w:val="16"/>
  </w:num>
  <w:num w:numId="41">
    <w:abstractNumId w:val="6"/>
  </w:num>
  <w:num w:numId="42">
    <w:abstractNumId w:val="13"/>
  </w:num>
  <w:num w:numId="43">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8 16:04: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82699EC-5C47-4659-8D68-6D261E5A99A3"/>
    <w:docVar w:name="LW_COVERPAGE_TYPE" w:val="1"/>
    <w:docVar w:name="LW_CROSSREFERENCE" w:val="&lt;UNUSED&gt;"/>
    <w:docVar w:name="LW_DocType" w:val="COM"/>
    <w:docVar w:name="LW_EMISSION" w:val="5.11.2019"/>
    <w:docVar w:name="LW_EMISSION_ISODATE" w:val="2019-11-05"/>
    <w:docVar w:name="LW_EMISSION_LOCATION" w:val="BRX"/>
    <w:docVar w:name="LW_EMISSION_PREFIX" w:val="Bruxelles, "/>
    <w:docVar w:name="LW_EMISSION_SUFFIX" w:val=" "/>
    <w:docVar w:name="LW_FAITA" w:val="Done at Brussels, [\u8230?]"/>
    <w:docVar w:name="LW_ID_DOCMODEL" w:val="SJ-019"/>
    <w:docVar w:name="LW_ID_DOCSIGNATURE" w:val="SJ-019"/>
    <w:docVar w:name="LW_ID_DOCSTRUCTURE" w:val="COM/PL/MOD"/>
    <w:docVar w:name="LW_ID_DOCTYPE" w:val="SG-010"/>
    <w:docVar w:name="LW_ID_STATUT" w:val="SG-010"/>
    <w:docVar w:name="LW_INST.SIGNE" w:val="_x0009_For the Council"/>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PERS.SIGNE" w:val="_x0009_The President"/>
    <w:docVar w:name="LW_REF.II.NEW.CP" w:val="NLE"/>
    <w:docVar w:name="LW_REF.II.NEW.CP_NUMBER" w:val="0180"/>
    <w:docVar w:name="LW_REF.II.NEW.CP_YEAR" w:val="2010"/>
    <w:docVar w:name="LW_REF.INST.NEW" w:val="COM"/>
    <w:docVar w:name="LW_REF.INST.NEW_ADOPTED" w:val="final"/>
    <w:docVar w:name="LW_REF.INST.NEW_TEXT" w:val="(2019) 5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modificat\u259? de"/>
    <w:docVar w:name="LW_SUPERTITRE" w:val="&lt;UNUSED&gt;"/>
    <w:docVar w:name="LW_TITRE.OBJ.CP" w:val="privind încheierea Acordului euro-mediteraneean privind serviciile aeriene între Uniunea European\u259? \u537?i statele membre ale acesteia, pe de o parte, \u537?i Regatul Ha\u537?emit al Iordaniei, pe de alt\u259? parte"/>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Bullet">
    <w:name w:val="List Bullet"/>
    <w:basedOn w:val="Normal"/>
    <w:pPr>
      <w:numPr>
        <w:numId w:val="6"/>
      </w:numPr>
    </w:pPr>
    <w:rPr>
      <w:rFonts w:eastAsia="Times New Roman"/>
      <w:szCs w:val="24"/>
      <w:lang w:eastAsia="de-DE"/>
    </w:rPr>
  </w:style>
  <w:style w:type="table" w:styleId="TableGrid">
    <w:name w:val="Table Grid"/>
    <w:basedOn w:val="TableNormal"/>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ListNumber">
    <w:name w:val="List Number"/>
    <w:basedOn w:val="Normal"/>
    <w:pPr>
      <w:numPr>
        <w:numId w:val="1"/>
      </w:numPr>
    </w:pPr>
    <w:rPr>
      <w:rFonts w:eastAsia="Times New Roman"/>
      <w:szCs w:val="24"/>
      <w:lang w:eastAsia="de-DE"/>
    </w:rPr>
  </w:style>
  <w:style w:type="paragraph" w:styleId="ListNumber2">
    <w:name w:val="List Number 2"/>
    <w:basedOn w:val="Normal"/>
    <w:pPr>
      <w:numPr>
        <w:numId w:val="3"/>
      </w:numPr>
    </w:pPr>
    <w:rPr>
      <w:rFonts w:eastAsia="Times New Roman"/>
      <w:szCs w:val="24"/>
      <w:lang w:eastAsia="de-DE"/>
    </w:rPr>
  </w:style>
  <w:style w:type="paragraph" w:styleId="ListNumber3">
    <w:name w:val="List Number 3"/>
    <w:basedOn w:val="Normal"/>
    <w:pPr>
      <w:numPr>
        <w:numId w:val="4"/>
      </w:numPr>
    </w:pPr>
    <w:rPr>
      <w:rFonts w:eastAsia="Times New Roman"/>
      <w:szCs w:val="24"/>
      <w:lang w:eastAsia="de-DE"/>
    </w:rPr>
  </w:style>
  <w:style w:type="paragraph" w:styleId="ListNumber4">
    <w:name w:val="List Number 4"/>
    <w:basedOn w:val="Normal"/>
    <w:pPr>
      <w:numPr>
        <w:numId w:val="5"/>
      </w:numPr>
    </w:pPr>
    <w:rPr>
      <w:rFonts w:eastAsia="Times New Roman"/>
      <w:szCs w:val="24"/>
      <w:lang w:eastAsia="de-DE"/>
    </w:rPr>
  </w:style>
  <w:style w:type="paragraph" w:customStyle="1" w:styleId="ListNumber1">
    <w:name w:val="List Number 1"/>
    <w:basedOn w:val="Text1"/>
    <w:pPr>
      <w:numPr>
        <w:numId w:val="2"/>
      </w:numPr>
    </w:pPr>
    <w:rPr>
      <w:rFonts w:eastAsia="Times New Roman"/>
      <w:szCs w:val="24"/>
      <w:lang w:eastAsia="de-DE"/>
    </w:rPr>
  </w:style>
  <w:style w:type="paragraph" w:customStyle="1" w:styleId="ListNumberLevel2">
    <w:name w:val="List Number (Level 2)"/>
    <w:basedOn w:val="Normal"/>
    <w:pPr>
      <w:numPr>
        <w:ilvl w:val="1"/>
        <w:numId w:val="1"/>
      </w:numPr>
    </w:pPr>
    <w:rPr>
      <w:rFonts w:eastAsia="Times New Roman"/>
      <w:szCs w:val="24"/>
      <w:lang w:eastAsia="de-DE"/>
    </w:rPr>
  </w:style>
  <w:style w:type="paragraph" w:customStyle="1" w:styleId="ListNumber1Level2">
    <w:name w:val="List Number 1 (Level 2)"/>
    <w:basedOn w:val="Text1"/>
    <w:pPr>
      <w:numPr>
        <w:ilvl w:val="1"/>
        <w:numId w:val="2"/>
      </w:numPr>
    </w:pPr>
    <w:rPr>
      <w:rFonts w:eastAsia="Times New Roman"/>
      <w:szCs w:val="24"/>
      <w:lang w:eastAsia="de-DE"/>
    </w:rPr>
  </w:style>
  <w:style w:type="paragraph" w:customStyle="1" w:styleId="ListNumber2Level2">
    <w:name w:val="List Number 2 (Level 2)"/>
    <w:basedOn w:val="Text2"/>
    <w:pPr>
      <w:numPr>
        <w:ilvl w:val="1"/>
        <w:numId w:val="3"/>
      </w:numPr>
    </w:pPr>
    <w:rPr>
      <w:rFonts w:eastAsia="Times New Roman"/>
      <w:szCs w:val="24"/>
      <w:lang w:eastAsia="de-DE"/>
    </w:rPr>
  </w:style>
  <w:style w:type="paragraph" w:customStyle="1" w:styleId="ListNumber3Level2">
    <w:name w:val="List Number 3 (Level 2)"/>
    <w:basedOn w:val="Text3"/>
    <w:pPr>
      <w:numPr>
        <w:ilvl w:val="1"/>
        <w:numId w:val="4"/>
      </w:numPr>
    </w:pPr>
    <w:rPr>
      <w:rFonts w:eastAsia="Times New Roman"/>
      <w:szCs w:val="24"/>
      <w:lang w:eastAsia="de-DE"/>
    </w:rPr>
  </w:style>
  <w:style w:type="paragraph" w:customStyle="1" w:styleId="ListNumber4Level2">
    <w:name w:val="List Number 4 (Level 2)"/>
    <w:basedOn w:val="Text4"/>
    <w:pPr>
      <w:numPr>
        <w:ilvl w:val="1"/>
        <w:numId w:val="5"/>
      </w:numPr>
    </w:pPr>
    <w:rPr>
      <w:rFonts w:eastAsia="Times New Roman"/>
      <w:szCs w:val="24"/>
      <w:lang w:eastAsia="de-DE"/>
    </w:rPr>
  </w:style>
  <w:style w:type="paragraph" w:customStyle="1" w:styleId="ListNumberLevel3">
    <w:name w:val="List Number (Level 3)"/>
    <w:basedOn w:val="Normal"/>
    <w:pPr>
      <w:numPr>
        <w:ilvl w:val="2"/>
        <w:numId w:val="1"/>
      </w:numPr>
    </w:pPr>
    <w:rPr>
      <w:rFonts w:eastAsia="Times New Roman"/>
      <w:szCs w:val="24"/>
      <w:lang w:eastAsia="de-DE"/>
    </w:rPr>
  </w:style>
  <w:style w:type="paragraph" w:customStyle="1" w:styleId="ListNumber1Level3">
    <w:name w:val="List Number 1 (Level 3)"/>
    <w:basedOn w:val="Text1"/>
    <w:pPr>
      <w:numPr>
        <w:ilvl w:val="2"/>
        <w:numId w:val="2"/>
      </w:numPr>
    </w:pPr>
    <w:rPr>
      <w:rFonts w:eastAsia="Times New Roman"/>
      <w:szCs w:val="24"/>
      <w:lang w:eastAsia="de-DE"/>
    </w:rPr>
  </w:style>
  <w:style w:type="paragraph" w:customStyle="1" w:styleId="ListNumber2Level3">
    <w:name w:val="List Number 2 (Level 3)"/>
    <w:basedOn w:val="Text2"/>
    <w:pPr>
      <w:numPr>
        <w:ilvl w:val="2"/>
        <w:numId w:val="3"/>
      </w:numPr>
    </w:pPr>
    <w:rPr>
      <w:rFonts w:eastAsia="Times New Roman"/>
      <w:szCs w:val="24"/>
      <w:lang w:eastAsia="de-DE"/>
    </w:rPr>
  </w:style>
  <w:style w:type="paragraph" w:customStyle="1" w:styleId="ListNumber3Level3">
    <w:name w:val="List Number 3 (Level 3)"/>
    <w:basedOn w:val="Text3"/>
    <w:pPr>
      <w:numPr>
        <w:ilvl w:val="2"/>
        <w:numId w:val="4"/>
      </w:numPr>
    </w:pPr>
    <w:rPr>
      <w:rFonts w:eastAsia="Times New Roman"/>
      <w:szCs w:val="24"/>
      <w:lang w:eastAsia="de-DE"/>
    </w:rPr>
  </w:style>
  <w:style w:type="paragraph" w:customStyle="1" w:styleId="ListNumber4Level3">
    <w:name w:val="List Number 4 (Level 3)"/>
    <w:basedOn w:val="Text4"/>
    <w:pPr>
      <w:numPr>
        <w:ilvl w:val="2"/>
        <w:numId w:val="5"/>
      </w:numPr>
    </w:pPr>
    <w:rPr>
      <w:rFonts w:eastAsia="Times New Roman"/>
      <w:szCs w:val="24"/>
      <w:lang w:eastAsia="de-DE"/>
    </w:rPr>
  </w:style>
  <w:style w:type="paragraph" w:customStyle="1" w:styleId="ListNumberLevel4">
    <w:name w:val="List Number (Level 4)"/>
    <w:basedOn w:val="Normal"/>
    <w:pPr>
      <w:numPr>
        <w:ilvl w:val="3"/>
        <w:numId w:val="1"/>
      </w:numPr>
    </w:pPr>
    <w:rPr>
      <w:rFonts w:eastAsia="Times New Roman"/>
      <w:szCs w:val="24"/>
      <w:lang w:eastAsia="de-DE"/>
    </w:rPr>
  </w:style>
  <w:style w:type="paragraph" w:customStyle="1" w:styleId="ListNumber1Level4">
    <w:name w:val="List Number 1 (Level 4)"/>
    <w:basedOn w:val="Text1"/>
    <w:pPr>
      <w:numPr>
        <w:ilvl w:val="3"/>
        <w:numId w:val="2"/>
      </w:numPr>
    </w:pPr>
    <w:rPr>
      <w:rFonts w:eastAsia="Times New Roman"/>
      <w:szCs w:val="24"/>
      <w:lang w:eastAsia="de-DE"/>
    </w:rPr>
  </w:style>
  <w:style w:type="paragraph" w:customStyle="1" w:styleId="ListNumber2Level4">
    <w:name w:val="List Number 2 (Level 4)"/>
    <w:basedOn w:val="Text2"/>
    <w:pPr>
      <w:numPr>
        <w:ilvl w:val="3"/>
        <w:numId w:val="3"/>
      </w:numPr>
    </w:pPr>
    <w:rPr>
      <w:rFonts w:eastAsia="Times New Roman"/>
      <w:szCs w:val="24"/>
      <w:lang w:eastAsia="de-DE"/>
    </w:rPr>
  </w:style>
  <w:style w:type="paragraph" w:customStyle="1" w:styleId="ListNumber3Level4">
    <w:name w:val="List Number 3 (Level 4)"/>
    <w:basedOn w:val="Text3"/>
    <w:pPr>
      <w:numPr>
        <w:ilvl w:val="3"/>
        <w:numId w:val="4"/>
      </w:numPr>
    </w:pPr>
    <w:rPr>
      <w:rFonts w:eastAsia="Times New Roman"/>
      <w:szCs w:val="24"/>
      <w:lang w:eastAsia="de-DE"/>
    </w:rPr>
  </w:style>
  <w:style w:type="paragraph" w:customStyle="1" w:styleId="ListNumber4Level4">
    <w:name w:val="List Number 4 (Level 4)"/>
    <w:basedOn w:val="Text4"/>
    <w:pPr>
      <w:numPr>
        <w:ilvl w:val="3"/>
        <w:numId w:val="5"/>
      </w:numPr>
    </w:pPr>
    <w:rPr>
      <w:rFonts w:eastAsia="Times New Roman"/>
      <w:szCs w:val="24"/>
      <w:lang w:eastAsia="de-DE"/>
    </w:rPr>
  </w:style>
  <w:style w:type="paragraph" w:customStyle="1" w:styleId="ListBullet1">
    <w:name w:val="List Bullet 1"/>
    <w:basedOn w:val="Normal"/>
    <w:pPr>
      <w:numPr>
        <w:numId w:val="7"/>
      </w:numPr>
    </w:pPr>
    <w:rPr>
      <w:rFonts w:eastAsia="Times New Roman"/>
      <w:szCs w:val="24"/>
      <w:lang w:eastAsia="de-DE"/>
    </w:rPr>
  </w:style>
  <w:style w:type="paragraph" w:styleId="ListBullet2">
    <w:name w:val="List Bullet 2"/>
    <w:basedOn w:val="Normal"/>
    <w:pPr>
      <w:numPr>
        <w:numId w:val="8"/>
      </w:numPr>
    </w:pPr>
    <w:rPr>
      <w:rFonts w:eastAsia="Times New Roman"/>
      <w:szCs w:val="24"/>
      <w:lang w:eastAsia="de-DE"/>
    </w:rPr>
  </w:style>
  <w:style w:type="paragraph" w:styleId="ListBullet3">
    <w:name w:val="List Bullet 3"/>
    <w:basedOn w:val="Normal"/>
    <w:pPr>
      <w:numPr>
        <w:numId w:val="9"/>
      </w:numPr>
    </w:pPr>
    <w:rPr>
      <w:rFonts w:eastAsia="Times New Roman"/>
      <w:szCs w:val="24"/>
      <w:lang w:eastAsia="de-DE"/>
    </w:rPr>
  </w:style>
  <w:style w:type="paragraph" w:styleId="ListBullet4">
    <w:name w:val="List Bullet 4"/>
    <w:basedOn w:val="Normal"/>
    <w:pPr>
      <w:numPr>
        <w:numId w:val="10"/>
      </w:numPr>
    </w:pPr>
    <w:rPr>
      <w:rFonts w:eastAsia="Times New Roman"/>
      <w:szCs w:val="24"/>
      <w:lang w:eastAsia="de-DE"/>
    </w:rPr>
  </w:style>
  <w:style w:type="paragraph" w:customStyle="1" w:styleId="ListDash">
    <w:name w:val="List Dash"/>
    <w:basedOn w:val="Normal"/>
    <w:pPr>
      <w:numPr>
        <w:numId w:val="11"/>
      </w:numPr>
    </w:pPr>
    <w:rPr>
      <w:rFonts w:eastAsia="Times New Roman"/>
      <w:szCs w:val="24"/>
      <w:lang w:eastAsia="de-DE"/>
    </w:rPr>
  </w:style>
  <w:style w:type="paragraph" w:customStyle="1" w:styleId="ListDash1">
    <w:name w:val="List Dash 1"/>
    <w:basedOn w:val="Normal"/>
    <w:pPr>
      <w:numPr>
        <w:numId w:val="12"/>
      </w:numPr>
    </w:pPr>
    <w:rPr>
      <w:rFonts w:eastAsia="Times New Roman"/>
      <w:szCs w:val="24"/>
      <w:lang w:eastAsia="de-DE"/>
    </w:rPr>
  </w:style>
  <w:style w:type="paragraph" w:customStyle="1" w:styleId="ListDash2">
    <w:name w:val="List Dash 2"/>
    <w:basedOn w:val="Normal"/>
    <w:pPr>
      <w:numPr>
        <w:numId w:val="13"/>
      </w:numPr>
    </w:pPr>
    <w:rPr>
      <w:rFonts w:eastAsia="Times New Roman"/>
      <w:szCs w:val="24"/>
      <w:lang w:eastAsia="de-DE"/>
    </w:rPr>
  </w:style>
  <w:style w:type="paragraph" w:customStyle="1" w:styleId="ListDash3">
    <w:name w:val="List Dash 3"/>
    <w:basedOn w:val="Normal"/>
    <w:pPr>
      <w:numPr>
        <w:numId w:val="14"/>
      </w:numPr>
    </w:pPr>
    <w:rPr>
      <w:rFonts w:eastAsia="Times New Roman"/>
      <w:szCs w:val="24"/>
      <w:lang w:eastAsia="de-DE"/>
    </w:rPr>
  </w:style>
  <w:style w:type="paragraph" w:customStyle="1" w:styleId="ListDash4">
    <w:name w:val="List Dash 4"/>
    <w:basedOn w:val="Normal"/>
    <w:pPr>
      <w:numPr>
        <w:numId w:val="15"/>
      </w:numPr>
    </w:pPr>
    <w:rPr>
      <w:rFonts w:eastAsia="Times New Roman"/>
      <w:szCs w:val="24"/>
      <w:lang w:eastAsia="de-DE"/>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Bullet">
    <w:name w:val="List Bullet"/>
    <w:basedOn w:val="Normal"/>
    <w:pPr>
      <w:numPr>
        <w:numId w:val="6"/>
      </w:numPr>
    </w:pPr>
    <w:rPr>
      <w:rFonts w:eastAsia="Times New Roman"/>
      <w:szCs w:val="24"/>
      <w:lang w:eastAsia="de-DE"/>
    </w:rPr>
  </w:style>
  <w:style w:type="table" w:styleId="TableGrid">
    <w:name w:val="Table Grid"/>
    <w:basedOn w:val="TableNormal"/>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ListNumber">
    <w:name w:val="List Number"/>
    <w:basedOn w:val="Normal"/>
    <w:pPr>
      <w:numPr>
        <w:numId w:val="1"/>
      </w:numPr>
    </w:pPr>
    <w:rPr>
      <w:rFonts w:eastAsia="Times New Roman"/>
      <w:szCs w:val="24"/>
      <w:lang w:eastAsia="de-DE"/>
    </w:rPr>
  </w:style>
  <w:style w:type="paragraph" w:styleId="ListNumber2">
    <w:name w:val="List Number 2"/>
    <w:basedOn w:val="Normal"/>
    <w:pPr>
      <w:numPr>
        <w:numId w:val="3"/>
      </w:numPr>
    </w:pPr>
    <w:rPr>
      <w:rFonts w:eastAsia="Times New Roman"/>
      <w:szCs w:val="24"/>
      <w:lang w:eastAsia="de-DE"/>
    </w:rPr>
  </w:style>
  <w:style w:type="paragraph" w:styleId="ListNumber3">
    <w:name w:val="List Number 3"/>
    <w:basedOn w:val="Normal"/>
    <w:pPr>
      <w:numPr>
        <w:numId w:val="4"/>
      </w:numPr>
    </w:pPr>
    <w:rPr>
      <w:rFonts w:eastAsia="Times New Roman"/>
      <w:szCs w:val="24"/>
      <w:lang w:eastAsia="de-DE"/>
    </w:rPr>
  </w:style>
  <w:style w:type="paragraph" w:styleId="ListNumber4">
    <w:name w:val="List Number 4"/>
    <w:basedOn w:val="Normal"/>
    <w:pPr>
      <w:numPr>
        <w:numId w:val="5"/>
      </w:numPr>
    </w:pPr>
    <w:rPr>
      <w:rFonts w:eastAsia="Times New Roman"/>
      <w:szCs w:val="24"/>
      <w:lang w:eastAsia="de-DE"/>
    </w:rPr>
  </w:style>
  <w:style w:type="paragraph" w:customStyle="1" w:styleId="ListNumber1">
    <w:name w:val="List Number 1"/>
    <w:basedOn w:val="Text1"/>
    <w:pPr>
      <w:numPr>
        <w:numId w:val="2"/>
      </w:numPr>
    </w:pPr>
    <w:rPr>
      <w:rFonts w:eastAsia="Times New Roman"/>
      <w:szCs w:val="24"/>
      <w:lang w:eastAsia="de-DE"/>
    </w:rPr>
  </w:style>
  <w:style w:type="paragraph" w:customStyle="1" w:styleId="ListNumberLevel2">
    <w:name w:val="List Number (Level 2)"/>
    <w:basedOn w:val="Normal"/>
    <w:pPr>
      <w:numPr>
        <w:ilvl w:val="1"/>
        <w:numId w:val="1"/>
      </w:numPr>
    </w:pPr>
    <w:rPr>
      <w:rFonts w:eastAsia="Times New Roman"/>
      <w:szCs w:val="24"/>
      <w:lang w:eastAsia="de-DE"/>
    </w:rPr>
  </w:style>
  <w:style w:type="paragraph" w:customStyle="1" w:styleId="ListNumber1Level2">
    <w:name w:val="List Number 1 (Level 2)"/>
    <w:basedOn w:val="Text1"/>
    <w:pPr>
      <w:numPr>
        <w:ilvl w:val="1"/>
        <w:numId w:val="2"/>
      </w:numPr>
    </w:pPr>
    <w:rPr>
      <w:rFonts w:eastAsia="Times New Roman"/>
      <w:szCs w:val="24"/>
      <w:lang w:eastAsia="de-DE"/>
    </w:rPr>
  </w:style>
  <w:style w:type="paragraph" w:customStyle="1" w:styleId="ListNumber2Level2">
    <w:name w:val="List Number 2 (Level 2)"/>
    <w:basedOn w:val="Text2"/>
    <w:pPr>
      <w:numPr>
        <w:ilvl w:val="1"/>
        <w:numId w:val="3"/>
      </w:numPr>
    </w:pPr>
    <w:rPr>
      <w:rFonts w:eastAsia="Times New Roman"/>
      <w:szCs w:val="24"/>
      <w:lang w:eastAsia="de-DE"/>
    </w:rPr>
  </w:style>
  <w:style w:type="paragraph" w:customStyle="1" w:styleId="ListNumber3Level2">
    <w:name w:val="List Number 3 (Level 2)"/>
    <w:basedOn w:val="Text3"/>
    <w:pPr>
      <w:numPr>
        <w:ilvl w:val="1"/>
        <w:numId w:val="4"/>
      </w:numPr>
    </w:pPr>
    <w:rPr>
      <w:rFonts w:eastAsia="Times New Roman"/>
      <w:szCs w:val="24"/>
      <w:lang w:eastAsia="de-DE"/>
    </w:rPr>
  </w:style>
  <w:style w:type="paragraph" w:customStyle="1" w:styleId="ListNumber4Level2">
    <w:name w:val="List Number 4 (Level 2)"/>
    <w:basedOn w:val="Text4"/>
    <w:pPr>
      <w:numPr>
        <w:ilvl w:val="1"/>
        <w:numId w:val="5"/>
      </w:numPr>
    </w:pPr>
    <w:rPr>
      <w:rFonts w:eastAsia="Times New Roman"/>
      <w:szCs w:val="24"/>
      <w:lang w:eastAsia="de-DE"/>
    </w:rPr>
  </w:style>
  <w:style w:type="paragraph" w:customStyle="1" w:styleId="ListNumberLevel3">
    <w:name w:val="List Number (Level 3)"/>
    <w:basedOn w:val="Normal"/>
    <w:pPr>
      <w:numPr>
        <w:ilvl w:val="2"/>
        <w:numId w:val="1"/>
      </w:numPr>
    </w:pPr>
    <w:rPr>
      <w:rFonts w:eastAsia="Times New Roman"/>
      <w:szCs w:val="24"/>
      <w:lang w:eastAsia="de-DE"/>
    </w:rPr>
  </w:style>
  <w:style w:type="paragraph" w:customStyle="1" w:styleId="ListNumber1Level3">
    <w:name w:val="List Number 1 (Level 3)"/>
    <w:basedOn w:val="Text1"/>
    <w:pPr>
      <w:numPr>
        <w:ilvl w:val="2"/>
        <w:numId w:val="2"/>
      </w:numPr>
    </w:pPr>
    <w:rPr>
      <w:rFonts w:eastAsia="Times New Roman"/>
      <w:szCs w:val="24"/>
      <w:lang w:eastAsia="de-DE"/>
    </w:rPr>
  </w:style>
  <w:style w:type="paragraph" w:customStyle="1" w:styleId="ListNumber2Level3">
    <w:name w:val="List Number 2 (Level 3)"/>
    <w:basedOn w:val="Text2"/>
    <w:pPr>
      <w:numPr>
        <w:ilvl w:val="2"/>
        <w:numId w:val="3"/>
      </w:numPr>
    </w:pPr>
    <w:rPr>
      <w:rFonts w:eastAsia="Times New Roman"/>
      <w:szCs w:val="24"/>
      <w:lang w:eastAsia="de-DE"/>
    </w:rPr>
  </w:style>
  <w:style w:type="paragraph" w:customStyle="1" w:styleId="ListNumber3Level3">
    <w:name w:val="List Number 3 (Level 3)"/>
    <w:basedOn w:val="Text3"/>
    <w:pPr>
      <w:numPr>
        <w:ilvl w:val="2"/>
        <w:numId w:val="4"/>
      </w:numPr>
    </w:pPr>
    <w:rPr>
      <w:rFonts w:eastAsia="Times New Roman"/>
      <w:szCs w:val="24"/>
      <w:lang w:eastAsia="de-DE"/>
    </w:rPr>
  </w:style>
  <w:style w:type="paragraph" w:customStyle="1" w:styleId="ListNumber4Level3">
    <w:name w:val="List Number 4 (Level 3)"/>
    <w:basedOn w:val="Text4"/>
    <w:pPr>
      <w:numPr>
        <w:ilvl w:val="2"/>
        <w:numId w:val="5"/>
      </w:numPr>
    </w:pPr>
    <w:rPr>
      <w:rFonts w:eastAsia="Times New Roman"/>
      <w:szCs w:val="24"/>
      <w:lang w:eastAsia="de-DE"/>
    </w:rPr>
  </w:style>
  <w:style w:type="paragraph" w:customStyle="1" w:styleId="ListNumberLevel4">
    <w:name w:val="List Number (Level 4)"/>
    <w:basedOn w:val="Normal"/>
    <w:pPr>
      <w:numPr>
        <w:ilvl w:val="3"/>
        <w:numId w:val="1"/>
      </w:numPr>
    </w:pPr>
    <w:rPr>
      <w:rFonts w:eastAsia="Times New Roman"/>
      <w:szCs w:val="24"/>
      <w:lang w:eastAsia="de-DE"/>
    </w:rPr>
  </w:style>
  <w:style w:type="paragraph" w:customStyle="1" w:styleId="ListNumber1Level4">
    <w:name w:val="List Number 1 (Level 4)"/>
    <w:basedOn w:val="Text1"/>
    <w:pPr>
      <w:numPr>
        <w:ilvl w:val="3"/>
        <w:numId w:val="2"/>
      </w:numPr>
    </w:pPr>
    <w:rPr>
      <w:rFonts w:eastAsia="Times New Roman"/>
      <w:szCs w:val="24"/>
      <w:lang w:eastAsia="de-DE"/>
    </w:rPr>
  </w:style>
  <w:style w:type="paragraph" w:customStyle="1" w:styleId="ListNumber2Level4">
    <w:name w:val="List Number 2 (Level 4)"/>
    <w:basedOn w:val="Text2"/>
    <w:pPr>
      <w:numPr>
        <w:ilvl w:val="3"/>
        <w:numId w:val="3"/>
      </w:numPr>
    </w:pPr>
    <w:rPr>
      <w:rFonts w:eastAsia="Times New Roman"/>
      <w:szCs w:val="24"/>
      <w:lang w:eastAsia="de-DE"/>
    </w:rPr>
  </w:style>
  <w:style w:type="paragraph" w:customStyle="1" w:styleId="ListNumber3Level4">
    <w:name w:val="List Number 3 (Level 4)"/>
    <w:basedOn w:val="Text3"/>
    <w:pPr>
      <w:numPr>
        <w:ilvl w:val="3"/>
        <w:numId w:val="4"/>
      </w:numPr>
    </w:pPr>
    <w:rPr>
      <w:rFonts w:eastAsia="Times New Roman"/>
      <w:szCs w:val="24"/>
      <w:lang w:eastAsia="de-DE"/>
    </w:rPr>
  </w:style>
  <w:style w:type="paragraph" w:customStyle="1" w:styleId="ListNumber4Level4">
    <w:name w:val="List Number 4 (Level 4)"/>
    <w:basedOn w:val="Text4"/>
    <w:pPr>
      <w:numPr>
        <w:ilvl w:val="3"/>
        <w:numId w:val="5"/>
      </w:numPr>
    </w:pPr>
    <w:rPr>
      <w:rFonts w:eastAsia="Times New Roman"/>
      <w:szCs w:val="24"/>
      <w:lang w:eastAsia="de-DE"/>
    </w:rPr>
  </w:style>
  <w:style w:type="paragraph" w:customStyle="1" w:styleId="ListBullet1">
    <w:name w:val="List Bullet 1"/>
    <w:basedOn w:val="Normal"/>
    <w:pPr>
      <w:numPr>
        <w:numId w:val="7"/>
      </w:numPr>
    </w:pPr>
    <w:rPr>
      <w:rFonts w:eastAsia="Times New Roman"/>
      <w:szCs w:val="24"/>
      <w:lang w:eastAsia="de-DE"/>
    </w:rPr>
  </w:style>
  <w:style w:type="paragraph" w:styleId="ListBullet2">
    <w:name w:val="List Bullet 2"/>
    <w:basedOn w:val="Normal"/>
    <w:pPr>
      <w:numPr>
        <w:numId w:val="8"/>
      </w:numPr>
    </w:pPr>
    <w:rPr>
      <w:rFonts w:eastAsia="Times New Roman"/>
      <w:szCs w:val="24"/>
      <w:lang w:eastAsia="de-DE"/>
    </w:rPr>
  </w:style>
  <w:style w:type="paragraph" w:styleId="ListBullet3">
    <w:name w:val="List Bullet 3"/>
    <w:basedOn w:val="Normal"/>
    <w:pPr>
      <w:numPr>
        <w:numId w:val="9"/>
      </w:numPr>
    </w:pPr>
    <w:rPr>
      <w:rFonts w:eastAsia="Times New Roman"/>
      <w:szCs w:val="24"/>
      <w:lang w:eastAsia="de-DE"/>
    </w:rPr>
  </w:style>
  <w:style w:type="paragraph" w:styleId="ListBullet4">
    <w:name w:val="List Bullet 4"/>
    <w:basedOn w:val="Normal"/>
    <w:pPr>
      <w:numPr>
        <w:numId w:val="10"/>
      </w:numPr>
    </w:pPr>
    <w:rPr>
      <w:rFonts w:eastAsia="Times New Roman"/>
      <w:szCs w:val="24"/>
      <w:lang w:eastAsia="de-DE"/>
    </w:rPr>
  </w:style>
  <w:style w:type="paragraph" w:customStyle="1" w:styleId="ListDash">
    <w:name w:val="List Dash"/>
    <w:basedOn w:val="Normal"/>
    <w:pPr>
      <w:numPr>
        <w:numId w:val="11"/>
      </w:numPr>
    </w:pPr>
    <w:rPr>
      <w:rFonts w:eastAsia="Times New Roman"/>
      <w:szCs w:val="24"/>
      <w:lang w:eastAsia="de-DE"/>
    </w:rPr>
  </w:style>
  <w:style w:type="paragraph" w:customStyle="1" w:styleId="ListDash1">
    <w:name w:val="List Dash 1"/>
    <w:basedOn w:val="Normal"/>
    <w:pPr>
      <w:numPr>
        <w:numId w:val="12"/>
      </w:numPr>
    </w:pPr>
    <w:rPr>
      <w:rFonts w:eastAsia="Times New Roman"/>
      <w:szCs w:val="24"/>
      <w:lang w:eastAsia="de-DE"/>
    </w:rPr>
  </w:style>
  <w:style w:type="paragraph" w:customStyle="1" w:styleId="ListDash2">
    <w:name w:val="List Dash 2"/>
    <w:basedOn w:val="Normal"/>
    <w:pPr>
      <w:numPr>
        <w:numId w:val="13"/>
      </w:numPr>
    </w:pPr>
    <w:rPr>
      <w:rFonts w:eastAsia="Times New Roman"/>
      <w:szCs w:val="24"/>
      <w:lang w:eastAsia="de-DE"/>
    </w:rPr>
  </w:style>
  <w:style w:type="paragraph" w:customStyle="1" w:styleId="ListDash3">
    <w:name w:val="List Dash 3"/>
    <w:basedOn w:val="Normal"/>
    <w:pPr>
      <w:numPr>
        <w:numId w:val="14"/>
      </w:numPr>
    </w:pPr>
    <w:rPr>
      <w:rFonts w:eastAsia="Times New Roman"/>
      <w:szCs w:val="24"/>
      <w:lang w:eastAsia="de-DE"/>
    </w:rPr>
  </w:style>
  <w:style w:type="paragraph" w:customStyle="1" w:styleId="ListDash4">
    <w:name w:val="List Dash 4"/>
    <w:basedOn w:val="Normal"/>
    <w:pPr>
      <w:numPr>
        <w:numId w:val="15"/>
      </w:numPr>
    </w:pPr>
    <w:rPr>
      <w:rFonts w:eastAsia="Times New Roman"/>
      <w:szCs w:val="24"/>
      <w:lang w:eastAsia="de-DE"/>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RO/TXT/PDF/?uri=CELEX:52010PC0332&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EE42CFA-84D2-4761-8AAA-C15154EE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Pages>
  <Words>793</Words>
  <Characters>4446</Characters>
  <Application>Microsoft Office Word</Application>
  <DocSecurity>0</DocSecurity>
  <Lines>88</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2019-08-13T14:17:00Z</cp:lastPrinted>
  <dcterms:created xsi:type="dcterms:W3CDTF">2019-10-03T10:03:00Z</dcterms:created>
  <dcterms:modified xsi:type="dcterms:W3CDTF">2019-10-28T15:04:00Z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SG-010</vt:lpwstr>
  </property>
  <property fmtid="{D5CDD505-2E9C-101B-9397-08002B2CF9AE}" pid="10" name="DQCStatus">
    <vt:lpwstr>Green (DQC version 03)</vt:lpwstr>
  </property>
</Properties>
</file>