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021A189-C844-481F-B2B9-9E8B1945A7E8" style="width:451pt;height:352.9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rPr>
          <w:noProof/>
        </w:rPr>
      </w:pPr>
      <w:r>
        <w:rPr>
          <w:noProof/>
        </w:rPr>
        <w:t>O Acordo de Aviação Euro-Mediterrânico entre a União Europeia e os seus Estados</w:t>
      </w:r>
      <w:r>
        <w:rPr>
          <w:noProof/>
        </w:rPr>
        <w:noBreakHyphen/>
        <w:t xml:space="preserve">Membros, por um lado, e o Reino Hachemita da Jordânia, por outro, foi negociado pela Comissão após autorização do Conselho em junho de 2007. </w:t>
      </w:r>
    </w:p>
    <w:p>
      <w:pPr>
        <w:rPr>
          <w:noProof/>
        </w:rPr>
      </w:pPr>
      <w:r>
        <w:rPr>
          <w:noProof/>
        </w:rPr>
        <w:t>O Acordo foi assinado a 15 de dezembro de 2010, sob reserva da sua celebração em data ulterior, em conformidade com a Decisão 2012/750/UE do Conselho e dos Representantes dos Governos dos Estados-Membros, reunidos no Conselho</w:t>
      </w:r>
      <w:r>
        <w:rPr>
          <w:rStyle w:val="FootnoteReference"/>
          <w:noProof/>
        </w:rPr>
        <w:footnoteReference w:id="1"/>
      </w:r>
      <w:r>
        <w:rPr>
          <w:noProof/>
        </w:rPr>
        <w:t>. Do lado da UE, são Partes no Acordo a União e os seus Estados-Membros.</w:t>
      </w:r>
    </w:p>
    <w:p>
      <w:pPr>
        <w:rPr>
          <w:noProof/>
        </w:rPr>
      </w:pPr>
      <w:r>
        <w:rPr>
          <w:noProof/>
        </w:rPr>
        <w:t>O processo de ratificação foi concluído por todos os Estados-Membros, com exceção da República da Croácia. A República da Croácia adere ao Acordo em conformidade com o procedimento previsto no Ato de Adesão anexo ao Tratado de Adesão de 5 de dezembro de 2011 e o respetivo Protocolo de Adesão da República da Croácia a este Acordo foi assinado em 3 de maio de 2016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A fim de ter em conta a entrada em vigor do Tratado de Lisboa, e na sequência do acórdão do Tribunal de Justiça Europeu, de 28 de abril de 2015, no processo C-28/12, a presente proposta altera a proposta inicial da Comissão [COM(2010)332 final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], que foi adotada a 24 de junho de 2010 e subsequentemente apresentada ao Conselho. Para facilitar a análise pelo Conselho, o texto em causa é submetido como proposta alterada.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base jurídica da proposta é constituída pelo artigo 100.º, n.º 2, do Tratado sobre o Funcionamento da União Europeia, em conjugação com o artigo </w:t>
      </w:r>
      <w:r>
        <w:rPr>
          <w:noProof/>
          <w:szCs w:val="27"/>
          <w:shd w:val="clear" w:color="auto" w:fill="FFFFFF"/>
        </w:rPr>
        <w:t>218.º, n.º 6, alínea a), subalínea v)</w:t>
      </w:r>
      <w:r>
        <w:rPr>
          <w:noProof/>
        </w:rPr>
        <w:t xml:space="preserve">, e n.º 7.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RESULTADOS DAS AVALIAÇÕES EX POST, DAS CONSULTAS DAS PARTES INTERESSADAS E DAS AVALIAÇÕES DE IMPACTO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rPr>
          <w:noProof/>
        </w:rPr>
      </w:pPr>
      <w:r>
        <w:rPr>
          <w:noProof/>
        </w:rPr>
        <w:t>A proposta não tem incidência no orçamento da União.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ListBullet1"/>
        <w:rPr>
          <w:noProof/>
        </w:rPr>
      </w:pPr>
      <w:r>
        <w:rPr>
          <w:noProof/>
        </w:rPr>
        <w:t>Síntese do acordo proposto</w:t>
      </w:r>
    </w:p>
    <w:p>
      <w:pPr>
        <w:ind w:left="720"/>
        <w:rPr>
          <w:noProof/>
        </w:rPr>
      </w:pPr>
      <w:r>
        <w:rPr>
          <w:noProof/>
        </w:rPr>
        <w:t xml:space="preserve">O Acordo contém uma parte principal, que inclui os princípios de base, e quatro anexos: anexo I, sobre serviços acordados e rotas especificadas; anexo II, sobre </w:t>
      </w:r>
      <w:r>
        <w:rPr>
          <w:noProof/>
        </w:rPr>
        <w:lastRenderedPageBreak/>
        <w:t>disposições transitórias; anexo III, que inclui a lista das regras aplicáveis à aviação civil; e anexo IV, com uma lista dos outros Estados a que se referem os artigos 3.º e 4.º, e o anexo I.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rPr>
          <w:noProof/>
        </w:rPr>
      </w:pPr>
    </w:p>
    <w:p>
      <w:pPr>
        <w:pStyle w:val="Rfrenceinterinstitutionnelle"/>
        <w:rPr>
          <w:noProof/>
        </w:rPr>
      </w:pPr>
      <w:r>
        <w:rPr>
          <w:noProof/>
        </w:rPr>
        <w:t>2010/0180 (NLE)</w:t>
      </w:r>
    </w:p>
    <w:p>
      <w:pPr>
        <w:pStyle w:val="Statut"/>
        <w:rPr>
          <w:noProof/>
        </w:rPr>
      </w:pPr>
      <w:r>
        <w:rPr>
          <w:noProof/>
        </w:rPr>
        <w:t>Proposta alterada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celebração do Acordo de Aviação Euro-Mediterrânico entre a União Europeia e os seus Estados-Membros, por um lado, e o Reino Hachemita da Jordânia, por outro</w:t>
      </w:r>
    </w:p>
    <w:p>
      <w:pPr>
        <w:pStyle w:val="Institutionquiagit"/>
        <w:rPr>
          <w:noProof/>
        </w:rPr>
      </w:pPr>
      <w:r>
        <w:rPr>
          <w:noProof/>
        </w:rPr>
        <w:t xml:space="preserve">O CONSELHO DA UNIÃO EUROPEIA, 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43.º, n.º 2, em conjugação com o artigo 218.º, n.º 6, alínea a), subalínea v), e n.º 7,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a aprovação do Parlamento Europeu</w:t>
      </w:r>
      <w:r>
        <w:rPr>
          <w:rStyle w:val="FootnoteReference"/>
          <w:noProof/>
        </w:rPr>
        <w:footnoteReference w:id="4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rPr>
          <w:noProof/>
        </w:rPr>
        <w:t>1)</w:t>
      </w:r>
      <w:r>
        <w:rPr>
          <w:noProof/>
        </w:rPr>
        <w:tab/>
        <w:t>O Acordo de Aviação Euro-Mediterrânico entre a União Europeia e os seus Estados</w:t>
      </w:r>
      <w:r>
        <w:rPr>
          <w:noProof/>
        </w:rPr>
        <w:noBreakHyphen/>
        <w:t>Membros, por um lado, e o Reino Hachemita da Jordânia, por outro, foi assinado em 15 de dezembro de 2010, sob reserva da sua celebração em data ulterior, em conformidade com a Decisão 2012/750/UE do Conselho e dos Representantes dos Governos dos Estados-Membros, reunidos no Conselho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2)</w:t>
      </w:r>
      <w:r>
        <w:rPr>
          <w:noProof/>
        </w:rPr>
        <w:tab/>
        <w:t>O Acordo foi ratificado por todos os Estados-Membros, com exceção da República da Croácia. A República da Croácia adere ao Acordo em conformidade com o procedimento previsto no Ato de Adesão anexo ao Tratado de Adesão de 5 de dezembro de 2011 e o respetivo Protocolo de Adesão da República da Croácia a este Acordo foi assinado em 3 de maio de 2016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3)</w:t>
      </w:r>
      <w:r>
        <w:rPr>
          <w:noProof/>
        </w:rPr>
        <w:tab/>
        <w:t>O Acordo deve ser aprovado em nome da União,</w:t>
      </w:r>
    </w:p>
    <w:p>
      <w:pPr>
        <w:pStyle w:val="ManualConsidrant"/>
        <w:rPr>
          <w:noProof/>
        </w:rPr>
      </w:pPr>
      <w:r>
        <w:rPr>
          <w:noProof/>
        </w:rPr>
        <w:t>4)</w:t>
      </w:r>
      <w:r>
        <w:rPr>
          <w:noProof/>
        </w:rPr>
        <w:tab/>
        <w:t>Os artigos 3.º e 4.º da Decisão 2012/750/UE contêm disposições em matéria de tomada de decisões e de representação em várias matérias enunciadas no Acordo. Tendo em conta o acórdão do Tribunal de Justiça Europeu, de 28 de abril de 2015, no processo C-28/12, a aplicação dessas disposições deve cessar. Tendo em conta os Tratados, não são necessárias novas disposições sobre essas matérias nem sobre as obrigações de informação que impendem sobre os Estados-Membros, nomeadamente as enunciadas no artigo 5.º da Decisão 2010/417/CE. Consequentemente, os artigos 3.º, 4.º e 5.º da Decisão 2012/750/UE devem deixar de ser aplicáveis a partir da data de entrada em vigor da presente decisão. .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 1.º</w:t>
      </w:r>
    </w:p>
    <w:p>
      <w:pPr>
        <w:rPr>
          <w:noProof/>
        </w:rPr>
      </w:pPr>
      <w:r>
        <w:rPr>
          <w:noProof/>
        </w:rPr>
        <w:t>É aprovado, em nome da União, o Acordo Euro-Mediterrânico relativo aos serviços aéreos entre a Comunidade Europeia e os seus Estados-Membros, por um lado, e o Reino Hachemita da Jordânia, por outro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pStyle w:val="Titrearticle"/>
        <w:rPr>
          <w:noProof/>
        </w:rPr>
      </w:pPr>
      <w:r>
        <w:rPr>
          <w:noProof/>
        </w:rPr>
        <w:t>Artigo 2.º</w:t>
      </w:r>
    </w:p>
    <w:p>
      <w:pPr>
        <w:rPr>
          <w:iCs/>
          <w:noProof/>
        </w:rPr>
      </w:pPr>
      <w:r>
        <w:rPr>
          <w:noProof/>
        </w:rPr>
        <w:t>A posição a tomar pela União no que respeita às decisões do Comité Misto nos termos do artigo 22.º do Acordo relativas à simples inclusão de legislação da União no anexo III (Lista das regras aplicáveis à aviação civil) do Acordo, sob reserva das adaptações técnicas necessárias, é adotada pela Comissão, após consulta a um Comité Especial designado pelo Conselho.</w:t>
      </w:r>
    </w:p>
    <w:p>
      <w:pPr>
        <w:pStyle w:val="Titrearticle"/>
        <w:rPr>
          <w:noProof/>
        </w:rPr>
      </w:pPr>
      <w:r>
        <w:rPr>
          <w:noProof/>
        </w:rPr>
        <w:t>Artigo 1.º</w:t>
      </w:r>
    </w:p>
    <w:p>
      <w:pPr>
        <w:rPr>
          <w:noProof/>
        </w:rPr>
      </w:pPr>
      <w:r>
        <w:rPr>
          <w:noProof/>
        </w:rPr>
        <w:t>Os artigos 3.º, 4.º e 5.º da Decisão 2012/750/UE deixam de ser aplicáveis a partir da data de entrada em vigor da presente decisão.</w:t>
      </w:r>
    </w:p>
    <w:p>
      <w:pPr>
        <w:pStyle w:val="Titrearticle"/>
        <w:rPr>
          <w:noProof/>
        </w:rPr>
      </w:pPr>
      <w:r>
        <w:rPr>
          <w:noProof/>
        </w:rPr>
        <w:t>Artigo 4.º</w:t>
      </w:r>
    </w:p>
    <w:p>
      <w:pPr>
        <w:rPr>
          <w:noProof/>
        </w:rPr>
      </w:pPr>
      <w:r>
        <w:rPr>
          <w:noProof/>
        </w:rPr>
        <w:t>A presente decisão entra em vigor no dia da sua adoção.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>Pelo Conselho</w:t>
      </w:r>
    </w:p>
    <w:p>
      <w:pPr>
        <w:pStyle w:val="Personnequisigne"/>
        <w:keepNext/>
        <w:rPr>
          <w:noProof/>
        </w:rPr>
      </w:pPr>
      <w:r>
        <w:rPr>
          <w:noProof/>
        </w:rPr>
        <w:tab/>
        <w:t>O Presidente</w:t>
      </w:r>
    </w:p>
    <w:p>
      <w:pPr>
        <w:pStyle w:val="Personnequisigne"/>
        <w:spacing w:after="120"/>
        <w:rPr>
          <w:noProof/>
        </w:rPr>
      </w:pPr>
      <w:r>
        <w:rPr>
          <w:noProof/>
        </w:rPr>
        <w:tab/>
        <w:t>[...]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Decisão 2012/750/CE do Conselho e dos Representantes dos Governos dos Estados-Membros da União Europeia, reunidos no Conselho, de 15 de outubro de 2010, relativa à assinatura e aplicação provisória do Acordo Euro-Mediterrânico relativo aos serviços aéreos entre a Comunidade Europeia e os seus Estados-Membros, por um lado, e o Reino Hachemita da Jordânia, por outro (JO L 334 de 6.12.2012, p. 1).</w:t>
      </w:r>
    </w:p>
  </w:footnote>
  <w:footnote w:id="2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Decisão (UE) 2016/803 do Conselho, de 7 de maio de 2015, relativa à assinatura, em nome da União e dos seus Estados-Membros, e à aplicação provisória de um Protocolo que altera o Acordo de Aviação Euro-Mediterrânico entre a União Europeia e os seus Estados-Membros, por um lado, e o Reino Hachemita da Jordânia, por outro, a fim de ter em conta a adesão da República da Croácia à União Europeia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https://eur-lex.europa.eu/legal-content/EN/TXT/?qid=1561651763204&amp;uri=CELEX:52010PC0332</w:t>
        </w:r>
      </w:hyperlink>
      <w:r>
        <w:t xml:space="preserve"> 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Aprovação de [data] (ainda não publicada no Jornal Oficial).</w:t>
      </w:r>
    </w:p>
  </w:footnote>
  <w:footnote w:id="5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Decisão 2012/750/CE do Conselho e dos Representantes dos Governos dos Estados-Membros da União Europeia, reunidos no Conselho, de 15 de outubro de 2010, relativa à assinatura e aplicação provisória do Acordo Euro-Mediterrânico relativo aos serviços aéreos entre a Comunidade Europeia e os seus Estados</w:t>
      </w:r>
      <w:r>
        <w:noBreakHyphen/>
        <w:t>Membros, por um lado, e o Reino Hachemita da Jordânia, por outro (JO L 334 de 6.12.2012, p. 1).</w:t>
      </w:r>
    </w:p>
  </w:footnote>
  <w:footnote w:id="6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Decisão (UE) 2016/803 do Conselho, de 7 de maio de 2015, relativa à assinatura, em nome da União e dos seus Estados-Membros, e à aplicação provisória de um Protocolo que altera o Acordo de Aviação Euro-Mediterrânico entre a União Europeia e os seus Estados-Membros, por um lado, e o Reino Hachemita da Jordânia, por outro, a fim de ter em conta a adesão da República da Croácia à União Europeia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O Acordo foi publicado no JO L 334 de 6.12.2012, p. 3, juntamente com a decisão relativa à assinatura.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1"/>
    <w:multiLevelType w:val="multilevel"/>
    <w:tmpl w:val="30847FD6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E43525"/>
    <w:multiLevelType w:val="multilevel"/>
    <w:tmpl w:val="76202BFE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DD5905"/>
    <w:multiLevelType w:val="singleLevel"/>
    <w:tmpl w:val="6CB4B73E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E930D7"/>
    <w:multiLevelType w:val="multilevel"/>
    <w:tmpl w:val="EFD2E05E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7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">
    <w:nsid w:val="3E191884"/>
    <w:multiLevelType w:val="singleLevel"/>
    <w:tmpl w:val="3020C764"/>
    <w:name w:val="List Bullet 3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40315490"/>
    <w:multiLevelType w:val="singleLevel"/>
    <w:tmpl w:val="1F86C700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3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4">
    <w:nsid w:val="596D67A1"/>
    <w:multiLevelType w:val="singleLevel"/>
    <w:tmpl w:val="9AC8831A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F8C3B69"/>
    <w:multiLevelType w:val="multilevel"/>
    <w:tmpl w:val="9B14DAA8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A8042C"/>
    <w:multiLevelType w:val="singleLevel"/>
    <w:tmpl w:val="CCF20C06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6A6901C1"/>
    <w:multiLevelType w:val="singleLevel"/>
    <w:tmpl w:val="208841AE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3">
    <w:nsid w:val="6D2B5511"/>
    <w:multiLevelType w:val="singleLevel"/>
    <w:tmpl w:val="74A09970"/>
    <w:name w:val="9.835482E-0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4">
    <w:nsid w:val="78A241BD"/>
    <w:multiLevelType w:val="singleLevel"/>
    <w:tmpl w:val="53C4DF3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>
    <w:nsid w:val="7D8820A0"/>
    <w:multiLevelType w:val="singleLevel"/>
    <w:tmpl w:val="54F6C7B4"/>
    <w:name w:val="List Dash 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8">
    <w:nsid w:val="7F7154E1"/>
    <w:multiLevelType w:val="singleLevel"/>
    <w:tmpl w:val="E3F6D2C6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1"/>
  </w:num>
  <w:num w:numId="5">
    <w:abstractNumId w:val="0"/>
  </w:num>
  <w:num w:numId="6">
    <w:abstractNumId w:val="23"/>
  </w:num>
  <w:num w:numId="7">
    <w:abstractNumId w:val="22"/>
  </w:num>
  <w:num w:numId="8">
    <w:abstractNumId w:val="2"/>
  </w:num>
  <w:num w:numId="9">
    <w:abstractNumId w:val="8"/>
  </w:num>
  <w:num w:numId="10">
    <w:abstractNumId w:val="28"/>
  </w:num>
  <w:num w:numId="11">
    <w:abstractNumId w:val="9"/>
  </w:num>
  <w:num w:numId="12">
    <w:abstractNumId w:val="19"/>
  </w:num>
  <w:num w:numId="13">
    <w:abstractNumId w:val="14"/>
  </w:num>
  <w:num w:numId="14">
    <w:abstractNumId w:val="24"/>
  </w:num>
  <w:num w:numId="15">
    <w:abstractNumId w:val="27"/>
  </w:num>
  <w:num w:numId="16">
    <w:abstractNumId w:val="17"/>
  </w:num>
  <w:num w:numId="17">
    <w:abstractNumId w:val="10"/>
  </w:num>
  <w:num w:numId="18">
    <w:abstractNumId w:val="21"/>
  </w:num>
  <w:num w:numId="19">
    <w:abstractNumId w:val="7"/>
  </w:num>
  <w:num w:numId="20">
    <w:abstractNumId w:val="11"/>
  </w:num>
  <w:num w:numId="21">
    <w:abstractNumId w:val="4"/>
  </w:num>
  <w:num w:numId="22">
    <w:abstractNumId w:val="20"/>
  </w:num>
  <w:num w:numId="23">
    <w:abstractNumId w:val="3"/>
  </w:num>
  <w:num w:numId="24">
    <w:abstractNumId w:val="12"/>
  </w:num>
  <w:num w:numId="25">
    <w:abstractNumId w:val="15"/>
  </w:num>
  <w:num w:numId="26">
    <w:abstractNumId w:val="16"/>
  </w:num>
  <w:num w:numId="27">
    <w:abstractNumId w:val="6"/>
  </w:num>
  <w:num w:numId="28">
    <w:abstractNumId w:val="13"/>
  </w:num>
  <w:num w:numId="29">
    <w:abstractNumId w:val="26"/>
  </w:num>
  <w:num w:numId="30">
    <w:abstractNumId w:val="17"/>
  </w:num>
  <w:num w:numId="31">
    <w:abstractNumId w:val="10"/>
  </w:num>
  <w:num w:numId="32">
    <w:abstractNumId w:val="21"/>
  </w:num>
  <w:num w:numId="33">
    <w:abstractNumId w:val="7"/>
  </w:num>
  <w:num w:numId="34">
    <w:abstractNumId w:val="11"/>
  </w:num>
  <w:num w:numId="35">
    <w:abstractNumId w:val="4"/>
  </w:num>
  <w:num w:numId="36">
    <w:abstractNumId w:val="20"/>
  </w:num>
  <w:num w:numId="37">
    <w:abstractNumId w:val="3"/>
  </w:num>
  <w:num w:numId="38">
    <w:abstractNumId w:val="12"/>
  </w:num>
  <w:num w:numId="39">
    <w:abstractNumId w:val="15"/>
  </w:num>
  <w:num w:numId="40">
    <w:abstractNumId w:val="16"/>
  </w:num>
  <w:num w:numId="41">
    <w:abstractNumId w:val="6"/>
  </w:num>
  <w:num w:numId="42">
    <w:abstractNumId w:val="13"/>
  </w:num>
  <w:num w:numId="43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28 16:01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021A189-C844-481F-B2B9-9E8B1945A7E8"/>
    <w:docVar w:name="LW_COVERPAGE_TYPE" w:val="1"/>
    <w:docVar w:name="LW_CROSSREFERENCE" w:val="&lt;UNUSED&gt;"/>
    <w:docVar w:name="LW_DocType" w:val="COM"/>
    <w:docVar w:name="LW_EMISSION" w:val="5.11.2019"/>
    <w:docVar w:name="LW_EMISSION_ISODATE" w:val="2019-11-05"/>
    <w:docVar w:name="LW_EMISSION_LOCATION" w:val="BRX"/>
    <w:docVar w:name="LW_EMISSION_PREFIX" w:val="Bruxelas, "/>
    <w:docVar w:name="LW_EMISSION_SUFFIX" w:val=" "/>
    <w:docVar w:name="LW_FAITA" w:val="Done at Brussels, [\u8230?]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ST.SIGNE" w:val="_x0009_For the Council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PERS.SIGNE" w:val="_x0009_The President"/>
    <w:docVar w:name="LW_REF.II.NEW.CP" w:val="NLE"/>
    <w:docVar w:name="LW_REF.II.NEW.CP_NUMBER" w:val="0180"/>
    <w:docVar w:name="LW_REF.II.NEW.CP_YEAR" w:val="2010"/>
    <w:docVar w:name="LW_REF.INST.NEW" w:val="COM"/>
    <w:docVar w:name="LW_REF.INST.NEW_ADOPTED" w:val="final"/>
    <w:docVar w:name="LW_REF.INST.NEW_TEXT" w:val="(2019) 57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alterada de"/>
    <w:docVar w:name="LW_SUPERTITRE" w:val="&lt;UNUSED&gt;"/>
    <w:docVar w:name="LW_TITRE.OBJ.CP" w:val="relativa à celebração do Acordo de Aviação Euro-Mediterrânico entre a União Europeia e os seus Estados-Membros, por um lado, e o Reino Hachemita da Jordânia, por outro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ListBullet">
    <w:name w:val="List Bullet"/>
    <w:basedOn w:val="Normal"/>
    <w:pPr>
      <w:numPr>
        <w:numId w:val="6"/>
      </w:numPr>
    </w:pPr>
    <w:rPr>
      <w:rFonts w:eastAsia="Times New Roman"/>
      <w:szCs w:val="24"/>
      <w:lang w:eastAsia="de-DE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szCs w:val="24"/>
      <w:lang w:eastAsia="de-DE"/>
    </w:rPr>
  </w:style>
  <w:style w:type="paragraph" w:styleId="ListNumber2">
    <w:name w:val="List Number 2"/>
    <w:basedOn w:val="Normal"/>
    <w:pPr>
      <w:numPr>
        <w:numId w:val="3"/>
      </w:numPr>
    </w:pPr>
    <w:rPr>
      <w:rFonts w:eastAsia="Times New Roman"/>
      <w:szCs w:val="24"/>
      <w:lang w:eastAsia="de-DE"/>
    </w:rPr>
  </w:style>
  <w:style w:type="paragraph" w:styleId="ListNumber3">
    <w:name w:val="List Number 3"/>
    <w:basedOn w:val="Normal"/>
    <w:pPr>
      <w:numPr>
        <w:numId w:val="4"/>
      </w:numPr>
    </w:pPr>
    <w:rPr>
      <w:rFonts w:eastAsia="Times New Roman"/>
      <w:szCs w:val="24"/>
      <w:lang w:eastAsia="de-DE"/>
    </w:rPr>
  </w:style>
  <w:style w:type="paragraph" w:styleId="ListNumber4">
    <w:name w:val="List Number 4"/>
    <w:basedOn w:val="Normal"/>
    <w:pPr>
      <w:numPr>
        <w:numId w:val="5"/>
      </w:numPr>
    </w:pPr>
    <w:rPr>
      <w:rFonts w:eastAsia="Times New Roman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2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  <w:szCs w:val="24"/>
      <w:lang w:eastAsia="de-DE"/>
    </w:rPr>
  </w:style>
  <w:style w:type="paragraph" w:customStyle="1" w:styleId="ListNumber1Level2">
    <w:name w:val="List Number 1 (Level 2)"/>
    <w:basedOn w:val="Text1"/>
    <w:pPr>
      <w:numPr>
        <w:ilvl w:val="1"/>
        <w:numId w:val="2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pPr>
      <w:numPr>
        <w:ilvl w:val="1"/>
        <w:numId w:val="3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pPr>
      <w:numPr>
        <w:ilvl w:val="1"/>
        <w:numId w:val="4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pPr>
      <w:numPr>
        <w:ilvl w:val="1"/>
        <w:numId w:val="5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  <w:szCs w:val="24"/>
      <w:lang w:eastAsia="de-DE"/>
    </w:rPr>
  </w:style>
  <w:style w:type="paragraph" w:customStyle="1" w:styleId="ListNumber1Level3">
    <w:name w:val="List Number 1 (Level 3)"/>
    <w:basedOn w:val="Text1"/>
    <w:pPr>
      <w:numPr>
        <w:ilvl w:val="2"/>
        <w:numId w:val="2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pPr>
      <w:numPr>
        <w:ilvl w:val="2"/>
        <w:numId w:val="3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pPr>
      <w:numPr>
        <w:ilvl w:val="2"/>
        <w:numId w:val="4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pPr>
      <w:numPr>
        <w:ilvl w:val="2"/>
        <w:numId w:val="5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  <w:szCs w:val="24"/>
      <w:lang w:eastAsia="de-DE"/>
    </w:rPr>
  </w:style>
  <w:style w:type="paragraph" w:customStyle="1" w:styleId="ListNumber1Level4">
    <w:name w:val="List Number 1 (Level 4)"/>
    <w:basedOn w:val="Text1"/>
    <w:pPr>
      <w:numPr>
        <w:ilvl w:val="3"/>
        <w:numId w:val="2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pPr>
      <w:numPr>
        <w:ilvl w:val="3"/>
        <w:numId w:val="3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pPr>
      <w:numPr>
        <w:ilvl w:val="3"/>
        <w:numId w:val="4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pPr>
      <w:numPr>
        <w:ilvl w:val="3"/>
        <w:numId w:val="5"/>
      </w:numPr>
    </w:pPr>
    <w:rPr>
      <w:rFonts w:eastAsia="Times New Roman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7"/>
      </w:numPr>
    </w:pPr>
    <w:rPr>
      <w:rFonts w:eastAsia="Times New Roman"/>
      <w:szCs w:val="24"/>
      <w:lang w:eastAsia="de-DE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  <w:szCs w:val="24"/>
      <w:lang w:eastAsia="de-DE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  <w:szCs w:val="24"/>
      <w:lang w:eastAsia="de-DE"/>
    </w:rPr>
  </w:style>
  <w:style w:type="paragraph" w:styleId="ListBullet4">
    <w:name w:val="List Bullet 4"/>
    <w:basedOn w:val="Normal"/>
    <w:pPr>
      <w:numPr>
        <w:numId w:val="10"/>
      </w:numPr>
    </w:pPr>
    <w:rPr>
      <w:rFonts w:eastAsia="Times New Roman"/>
      <w:szCs w:val="24"/>
      <w:lang w:eastAsia="de-DE"/>
    </w:rPr>
  </w:style>
  <w:style w:type="paragraph" w:customStyle="1" w:styleId="ListDash">
    <w:name w:val="List Dash"/>
    <w:basedOn w:val="Normal"/>
    <w:pPr>
      <w:numPr>
        <w:numId w:val="11"/>
      </w:numPr>
    </w:pPr>
    <w:rPr>
      <w:rFonts w:eastAsia="Times New Roman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12"/>
      </w:numPr>
    </w:pPr>
    <w:rPr>
      <w:rFonts w:eastAsia="Times New Roman"/>
      <w:szCs w:val="24"/>
      <w:lang w:eastAsia="de-DE"/>
    </w:rPr>
  </w:style>
  <w:style w:type="paragraph" w:customStyle="1" w:styleId="ListDash2">
    <w:name w:val="List Dash 2"/>
    <w:basedOn w:val="Normal"/>
    <w:pPr>
      <w:numPr>
        <w:numId w:val="13"/>
      </w:numPr>
    </w:pPr>
    <w:rPr>
      <w:rFonts w:eastAsia="Times New Roman"/>
      <w:szCs w:val="24"/>
      <w:lang w:eastAsia="de-DE"/>
    </w:rPr>
  </w:style>
  <w:style w:type="paragraph" w:customStyle="1" w:styleId="ListDash3">
    <w:name w:val="List Dash 3"/>
    <w:basedOn w:val="Normal"/>
    <w:pPr>
      <w:numPr>
        <w:numId w:val="14"/>
      </w:numPr>
    </w:pPr>
    <w:rPr>
      <w:rFonts w:eastAsia="Times New Roman"/>
      <w:szCs w:val="24"/>
      <w:lang w:eastAsia="de-DE"/>
    </w:rPr>
  </w:style>
  <w:style w:type="paragraph" w:customStyle="1" w:styleId="ListDash4">
    <w:name w:val="List Dash 4"/>
    <w:basedOn w:val="Normal"/>
    <w:pPr>
      <w:numPr>
        <w:numId w:val="15"/>
      </w:numPr>
    </w:pPr>
    <w:rPr>
      <w:rFonts w:eastAsia="Times New Roman"/>
      <w:szCs w:val="24"/>
      <w:lang w:eastAsia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ListBullet">
    <w:name w:val="List Bullet"/>
    <w:basedOn w:val="Normal"/>
    <w:pPr>
      <w:numPr>
        <w:numId w:val="6"/>
      </w:numPr>
    </w:pPr>
    <w:rPr>
      <w:rFonts w:eastAsia="Times New Roman"/>
      <w:szCs w:val="24"/>
      <w:lang w:eastAsia="de-DE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szCs w:val="24"/>
      <w:lang w:eastAsia="de-DE"/>
    </w:rPr>
  </w:style>
  <w:style w:type="paragraph" w:styleId="ListNumber2">
    <w:name w:val="List Number 2"/>
    <w:basedOn w:val="Normal"/>
    <w:pPr>
      <w:numPr>
        <w:numId w:val="3"/>
      </w:numPr>
    </w:pPr>
    <w:rPr>
      <w:rFonts w:eastAsia="Times New Roman"/>
      <w:szCs w:val="24"/>
      <w:lang w:eastAsia="de-DE"/>
    </w:rPr>
  </w:style>
  <w:style w:type="paragraph" w:styleId="ListNumber3">
    <w:name w:val="List Number 3"/>
    <w:basedOn w:val="Normal"/>
    <w:pPr>
      <w:numPr>
        <w:numId w:val="4"/>
      </w:numPr>
    </w:pPr>
    <w:rPr>
      <w:rFonts w:eastAsia="Times New Roman"/>
      <w:szCs w:val="24"/>
      <w:lang w:eastAsia="de-DE"/>
    </w:rPr>
  </w:style>
  <w:style w:type="paragraph" w:styleId="ListNumber4">
    <w:name w:val="List Number 4"/>
    <w:basedOn w:val="Normal"/>
    <w:pPr>
      <w:numPr>
        <w:numId w:val="5"/>
      </w:numPr>
    </w:pPr>
    <w:rPr>
      <w:rFonts w:eastAsia="Times New Roman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2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  <w:szCs w:val="24"/>
      <w:lang w:eastAsia="de-DE"/>
    </w:rPr>
  </w:style>
  <w:style w:type="paragraph" w:customStyle="1" w:styleId="ListNumber1Level2">
    <w:name w:val="List Number 1 (Level 2)"/>
    <w:basedOn w:val="Text1"/>
    <w:pPr>
      <w:numPr>
        <w:ilvl w:val="1"/>
        <w:numId w:val="2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pPr>
      <w:numPr>
        <w:ilvl w:val="1"/>
        <w:numId w:val="3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pPr>
      <w:numPr>
        <w:ilvl w:val="1"/>
        <w:numId w:val="4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pPr>
      <w:numPr>
        <w:ilvl w:val="1"/>
        <w:numId w:val="5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  <w:szCs w:val="24"/>
      <w:lang w:eastAsia="de-DE"/>
    </w:rPr>
  </w:style>
  <w:style w:type="paragraph" w:customStyle="1" w:styleId="ListNumber1Level3">
    <w:name w:val="List Number 1 (Level 3)"/>
    <w:basedOn w:val="Text1"/>
    <w:pPr>
      <w:numPr>
        <w:ilvl w:val="2"/>
        <w:numId w:val="2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pPr>
      <w:numPr>
        <w:ilvl w:val="2"/>
        <w:numId w:val="3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pPr>
      <w:numPr>
        <w:ilvl w:val="2"/>
        <w:numId w:val="4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pPr>
      <w:numPr>
        <w:ilvl w:val="2"/>
        <w:numId w:val="5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  <w:szCs w:val="24"/>
      <w:lang w:eastAsia="de-DE"/>
    </w:rPr>
  </w:style>
  <w:style w:type="paragraph" w:customStyle="1" w:styleId="ListNumber1Level4">
    <w:name w:val="List Number 1 (Level 4)"/>
    <w:basedOn w:val="Text1"/>
    <w:pPr>
      <w:numPr>
        <w:ilvl w:val="3"/>
        <w:numId w:val="2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pPr>
      <w:numPr>
        <w:ilvl w:val="3"/>
        <w:numId w:val="3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pPr>
      <w:numPr>
        <w:ilvl w:val="3"/>
        <w:numId w:val="4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pPr>
      <w:numPr>
        <w:ilvl w:val="3"/>
        <w:numId w:val="5"/>
      </w:numPr>
    </w:pPr>
    <w:rPr>
      <w:rFonts w:eastAsia="Times New Roman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7"/>
      </w:numPr>
    </w:pPr>
    <w:rPr>
      <w:rFonts w:eastAsia="Times New Roman"/>
      <w:szCs w:val="24"/>
      <w:lang w:eastAsia="de-DE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  <w:szCs w:val="24"/>
      <w:lang w:eastAsia="de-DE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  <w:szCs w:val="24"/>
      <w:lang w:eastAsia="de-DE"/>
    </w:rPr>
  </w:style>
  <w:style w:type="paragraph" w:styleId="ListBullet4">
    <w:name w:val="List Bullet 4"/>
    <w:basedOn w:val="Normal"/>
    <w:pPr>
      <w:numPr>
        <w:numId w:val="10"/>
      </w:numPr>
    </w:pPr>
    <w:rPr>
      <w:rFonts w:eastAsia="Times New Roman"/>
      <w:szCs w:val="24"/>
      <w:lang w:eastAsia="de-DE"/>
    </w:rPr>
  </w:style>
  <w:style w:type="paragraph" w:customStyle="1" w:styleId="ListDash">
    <w:name w:val="List Dash"/>
    <w:basedOn w:val="Normal"/>
    <w:pPr>
      <w:numPr>
        <w:numId w:val="11"/>
      </w:numPr>
    </w:pPr>
    <w:rPr>
      <w:rFonts w:eastAsia="Times New Roman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12"/>
      </w:numPr>
    </w:pPr>
    <w:rPr>
      <w:rFonts w:eastAsia="Times New Roman"/>
      <w:szCs w:val="24"/>
      <w:lang w:eastAsia="de-DE"/>
    </w:rPr>
  </w:style>
  <w:style w:type="paragraph" w:customStyle="1" w:styleId="ListDash2">
    <w:name w:val="List Dash 2"/>
    <w:basedOn w:val="Normal"/>
    <w:pPr>
      <w:numPr>
        <w:numId w:val="13"/>
      </w:numPr>
    </w:pPr>
    <w:rPr>
      <w:rFonts w:eastAsia="Times New Roman"/>
      <w:szCs w:val="24"/>
      <w:lang w:eastAsia="de-DE"/>
    </w:rPr>
  </w:style>
  <w:style w:type="paragraph" w:customStyle="1" w:styleId="ListDash3">
    <w:name w:val="List Dash 3"/>
    <w:basedOn w:val="Normal"/>
    <w:pPr>
      <w:numPr>
        <w:numId w:val="14"/>
      </w:numPr>
    </w:pPr>
    <w:rPr>
      <w:rFonts w:eastAsia="Times New Roman"/>
      <w:szCs w:val="24"/>
      <w:lang w:eastAsia="de-DE"/>
    </w:rPr>
  </w:style>
  <w:style w:type="paragraph" w:customStyle="1" w:styleId="ListDash4">
    <w:name w:val="List Dash 4"/>
    <w:basedOn w:val="Normal"/>
    <w:pPr>
      <w:numPr>
        <w:numId w:val="15"/>
      </w:numPr>
    </w:pPr>
    <w:rPr>
      <w:rFonts w:eastAsia="Times New Roman"/>
      <w:szCs w:val="24"/>
      <w:lang w:eastAsia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qid=1561651763204&amp;uri=CELEX:52010PC03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080733-3382-4DF6-A420-FFA36C65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859</Words>
  <Characters>4214</Characters>
  <Application>Microsoft Office Word</Application>
  <DocSecurity>0</DocSecurity>
  <Lines>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cp:lastPrinted>2019-08-13T14:17:00Z</cp:lastPrinted>
  <dcterms:created xsi:type="dcterms:W3CDTF">2019-10-04T08:08:00Z</dcterms:created>
  <dcterms:modified xsi:type="dcterms:W3CDTF">2019-10-28T15:01:00Z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Level of sensitivity">
    <vt:lpwstr>Standard treatment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