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18CD411D-DCE0-457A-9281-2EEAE4309105" style="width:450.75pt;height:351.75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AIŠKINAMASIS MEMORANDUMAS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PASIŪLYMO APLINKYBĖS</w:t>
      </w:r>
    </w:p>
    <w:p>
      <w:pPr>
        <w:rPr>
          <w:noProof/>
        </w:rPr>
      </w:pPr>
      <w:r>
        <w:rPr>
          <w:noProof/>
        </w:rPr>
        <w:t>Dėl Europos Sąjungos bei jos valstybių narių ir Moldovos Respublikos bendrosios aviacijos erdvės susitarimo derėjosi 2011 m. birželio mėn. Tarybos įgaliota Komisija.</w:t>
      </w:r>
    </w:p>
    <w:p>
      <w:pPr>
        <w:spacing w:before="100" w:beforeAutospacing="1"/>
        <w:rPr>
          <w:noProof/>
        </w:rPr>
      </w:pPr>
      <w:r>
        <w:rPr>
          <w:noProof/>
        </w:rPr>
        <w:t>2012 m. birželio 26 d., remiantis Tarybos ir Taryboje posėdžiavusių valstybių narių vyriausybių atstovų Sprendimu 2012/639/ES, Susitarimas buvo pasirašytas su sąlyga, kad jis bus sudarytas vėliau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. Kalbant apie ES, Susitarimo šalys yra tiek Sąjunga, tiek jos valstybės narės. </w:t>
      </w:r>
    </w:p>
    <w:p>
      <w:pPr>
        <w:spacing w:before="100" w:beforeAutospacing="1"/>
        <w:rPr>
          <w:noProof/>
        </w:rPr>
      </w:pPr>
      <w:r>
        <w:rPr>
          <w:noProof/>
        </w:rPr>
        <w:t>Ratifikavimo procesas baigtas visose valstybėse narėse, išskyrus Kroatijos Respubliką. Kroatijos Respublika prie Susitarimo prisijungia Stojimo akte, pridėtame prie 2011 m. gruodžio 5 d. Stojimo sutarties, numatyta tvarka; 2015 m. liepos 22 d. pasirašytas atitinkamas Kroatijos Respublikos prisijungimo prie Susitarimo protokolas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Siekiant visų pirma atsižvelgti į tai, kad įsigaliojo Lisabonos sutartis, ir remiantis Europos Teisingumo Teismo 2015 m. balandžio 28 d. sprendimu byloje C-28/12, šiuo pasiūlymu iš dalies keičiamas 2012 m. sausio 27 d. priimtas ir vėliau Tarybai pateiktas pirminis Komisijos pasiūlymas (KOM(2012) 020 galutinis</w:t>
      </w:r>
      <w:r>
        <w:rPr>
          <w:rStyle w:val="FootnoteReference"/>
          <w:noProof/>
        </w:rPr>
        <w:footnoteReference w:id="3"/>
      </w:r>
      <w:r>
        <w:rPr>
          <w:noProof/>
        </w:rPr>
        <w:t>). Kad Tarybai būtų lengviau nagrinėti pasiūlymą, visas susijęs tekstas pateikiamas kaip iš dalies pakeistas pasiūlymas.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TEISINIS PAGRINDAS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/>
          <w:noProof/>
        </w:rPr>
      </w:pPr>
      <w:r>
        <w:rPr>
          <w:noProof/>
        </w:rPr>
        <w:t xml:space="preserve">Pasiūlymo teisinis pagrindas yra Sutarties dėl Europos Sąjungos veikimo 100 straipsnio 2 dalis kartu su </w:t>
      </w:r>
      <w:r>
        <w:rPr>
          <w:noProof/>
          <w:szCs w:val="27"/>
          <w:shd w:val="clear" w:color="auto" w:fill="FFFFFF"/>
        </w:rPr>
        <w:t>218 straipsnio 6 dalies a punkto v papunkčiu</w:t>
      </w:r>
      <w:r>
        <w:rPr>
          <w:noProof/>
        </w:rPr>
        <w:t xml:space="preserve"> ir 7 dalimi.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</w:r>
      <w:r>
        <w:rPr>
          <w:i/>
          <w:noProof/>
        </w:rPr>
        <w:t>EX POST</w:t>
      </w:r>
      <w:r>
        <w:rPr>
          <w:noProof/>
        </w:rPr>
        <w:t xml:space="preserve"> VERTINIMO, KONSULTACIJŲ SU SUINTERESUOTOSIOMIS ŠALIMIS IR POVEIKIO VERTINIMO REZULTATAI</w:t>
      </w:r>
    </w:p>
    <w:p>
      <w:pPr>
        <w:rPr>
          <w:noProof/>
        </w:rPr>
      </w:pPr>
      <w:r>
        <w:rPr>
          <w:noProof/>
        </w:rPr>
        <w:t>Netaikoma.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POVEIKIS BIUDŽETUI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Pasiūlymas poveikio Sąjungos biudžetui neturi.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KITI ELEMENTAI</w:t>
      </w:r>
    </w:p>
    <w:p>
      <w:pPr>
        <w:pStyle w:val="ListBullet1"/>
        <w:rPr>
          <w:noProof/>
          <w:u w:color="000000"/>
          <w:bdr w:val="nil"/>
        </w:rPr>
      </w:pPr>
      <w:r>
        <w:rPr>
          <w:noProof/>
          <w:u w:color="000000"/>
          <w:bdr w:val="nil"/>
        </w:rPr>
        <w:t>Siūlomo susitarimo santrauka</w:t>
      </w:r>
    </w:p>
    <w:p>
      <w:pPr>
        <w:ind w:left="720"/>
        <w:rPr>
          <w:b/>
          <w:noProof/>
        </w:rPr>
      </w:pPr>
      <w:r>
        <w:rPr>
          <w:noProof/>
        </w:rPr>
        <w:t xml:space="preserve">Susitarimą sudaro pagrindinė dalis, kurioje nustatyti svarbiausi principai, ir keturi priedai: I priedas „Reguliariojo oro susisiekimo paslaugos ir nustatyti maršrutai“, II priedas „Pereinamojo laikotarpio nuostatos“, III priedas „Civilinei aviacijai taikomos </w:t>
      </w:r>
      <w:r>
        <w:rPr>
          <w:noProof/>
        </w:rPr>
        <w:lastRenderedPageBreak/>
        <w:t>taisyklės“ ir IV priedas „3 ir 4 straipsniuose, taip pat I priede nurodytų kitų valstybių sąrašas“.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2012/0006 (NLE)</w:t>
      </w:r>
    </w:p>
    <w:p>
      <w:pPr>
        <w:pStyle w:val="Statut"/>
        <w:rPr>
          <w:noProof/>
        </w:rPr>
      </w:pPr>
      <w:r>
        <w:rPr>
          <w:noProof/>
        </w:rPr>
        <w:t>Pakeistas pasiūlymas</w:t>
      </w:r>
    </w:p>
    <w:p>
      <w:pPr>
        <w:pStyle w:val="Typedudocument"/>
        <w:rPr>
          <w:noProof/>
        </w:rPr>
      </w:pPr>
      <w:r>
        <w:rPr>
          <w:noProof/>
        </w:rPr>
        <w:t>TARYBOS SPRENDIMAS</w:t>
      </w:r>
    </w:p>
    <w:p>
      <w:pPr>
        <w:pStyle w:val="Titreobjet"/>
        <w:rPr>
          <w:noProof/>
        </w:rPr>
      </w:pPr>
      <w:r>
        <w:rPr>
          <w:noProof/>
        </w:rPr>
        <w:t>dėl Europos Sąjungos bei jos valstybių narių ir Moldovos Respublikos bendrosios aviacijos erdvės susitarimo sudarymo</w:t>
      </w:r>
    </w:p>
    <w:p>
      <w:pPr>
        <w:pStyle w:val="Institutionquiagit"/>
        <w:rPr>
          <w:noProof/>
        </w:rPr>
      </w:pPr>
      <w:r>
        <w:rPr>
          <w:noProof/>
        </w:rPr>
        <w:t>EUROPOS SĄJUNGOS TARYBA,</w:t>
      </w:r>
    </w:p>
    <w:p>
      <w:pPr>
        <w:rPr>
          <w:noProof/>
        </w:rPr>
      </w:pPr>
      <w:r>
        <w:rPr>
          <w:noProof/>
        </w:rPr>
        <w:t>atsižvelgdama į Sutartį dėl Europos Sąjungos veikimo, ypač į jos 100 straipsnio 2 dalį kartu su 218 straipsnio 6 dalies a punkto v papunkčiu ir 7 dalimi,</w:t>
      </w:r>
    </w:p>
    <w:p>
      <w:pPr>
        <w:rPr>
          <w:noProof/>
        </w:rPr>
      </w:pPr>
      <w:r>
        <w:rPr>
          <w:noProof/>
        </w:rPr>
        <w:t>atsižvelgdama į Europos Komisijos pasiūlymą,</w:t>
      </w:r>
    </w:p>
    <w:p>
      <w:pPr>
        <w:rPr>
          <w:noProof/>
        </w:rPr>
      </w:pPr>
      <w:r>
        <w:rPr>
          <w:noProof/>
        </w:rPr>
        <w:t>atsižvelgdama į Europos Parlamento pritarimą</w:t>
      </w:r>
      <w:r>
        <w:rPr>
          <w:rStyle w:val="FootnoteReference"/>
          <w:noProof/>
        </w:rPr>
        <w:footnoteReference w:id="4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kadangi: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2012 m. birželio 26 d., remiantis 2012 m. birželio 7 d. Tarybos ir Taryboje posėdžiavusių valstybių narių vyriausybių atstovų sprendimu 2012/639/ES dėl Europos Sąjungos bei jos valstybių narių ir Moldovos Respublikos bendrosios aviacijos erdvės susitarimo pasirašymo Sąjungos vardu ir laikino taikymo</w:t>
      </w:r>
      <w:r>
        <w:rPr>
          <w:rStyle w:val="FootnoteReference"/>
          <w:noProof/>
        </w:rPr>
        <w:footnoteReference w:id="5"/>
      </w:r>
      <w:r>
        <w:rPr>
          <w:noProof/>
        </w:rPr>
        <w:t>, pasirašytas Europos Sąjungos bei jos valstybių narių ir Moldovos Respublikos bendrosios aviacijos erdvės susitarimas su sąlyga, kad jis bus sudarytas vėliau;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Susitarimą ratifikavo visos valstybės narės, išskyrus Kroatijos Respubliką. Kroatijos Respublika prie Susitarimo prisijungia Stojimo akte, pridėtame prie 2011 m. gruodžio 5 d. Stojimo sutarties, numatyta tvarka; 2015 m. liepos 22 d. pasirašytas atitinkamas Kroatijos Respublikos prisijungimo prie Susitarimo protokolas</w:t>
      </w:r>
      <w:r>
        <w:rPr>
          <w:rStyle w:val="FootnoteReference"/>
          <w:noProof/>
        </w:rPr>
        <w:footnoteReference w:id="6"/>
      </w:r>
      <w:r>
        <w:rPr>
          <w:noProof/>
        </w:rPr>
        <w:t>;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Susitarimas turėtų būti patvirtintas Sąjungos vardu;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Sprendimo 2012/639/ES 4 ir 5 straipsniuose išdėstytos nuostatos dėl sprendimų, susijusių su įvairiais Susitarime išdėstytais klausimais, priėmimo ir atstovavimo. Atsižvelgiant į Europos Teisingumo Teismo 2015 m. balandžio 28 d. sprendimą byloje C-28/12, tos nuostatos turėtų būti nebetaikomos. Atsižvelgiant į Sutartis, nei naujų nuostatų tais klausimais, nei nuostatų dėl valstybių narių pareigos teikti informaciją, išdėstytų sprendimo 6 straipsnyje, nustatyti nebūtina. Todėl nuo šio sprendimo įsigaliojimo dienos Sprendimo 2012/639/ES 4, 5 ir 6 straipsniai turėtų būti nebetaikomi,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 xml:space="preserve">PRIĖMĖ ŠĮ SPRENDIMĄ: </w:t>
      </w:r>
    </w:p>
    <w:p>
      <w:pPr>
        <w:pStyle w:val="Titrearticle"/>
        <w:spacing w:before="0" w:after="0"/>
        <w:rPr>
          <w:noProof/>
        </w:rPr>
      </w:pPr>
      <w:r>
        <w:rPr>
          <w:noProof/>
        </w:rPr>
        <w:t>1 straipsnis</w:t>
      </w:r>
    </w:p>
    <w:p>
      <w:pPr>
        <w:rPr>
          <w:noProof/>
        </w:rPr>
      </w:pPr>
      <w:r>
        <w:rPr>
          <w:noProof/>
        </w:rPr>
        <w:t>Sąjungos vardu patvirtinamas Europos Sąjungos bei jos valstybių narių ir Moldovos Respublikos bendrosios aviacijos erdvės susitarimas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</w:t>
      </w:r>
    </w:p>
    <w:p>
      <w:pPr>
        <w:pStyle w:val="Titrearticle"/>
        <w:rPr>
          <w:noProof/>
        </w:rPr>
      </w:pPr>
      <w:r>
        <w:rPr>
          <w:noProof/>
        </w:rPr>
        <w:t>2 straipsnis</w:t>
      </w:r>
    </w:p>
    <w:p>
      <w:pPr>
        <w:rPr>
          <w:iCs/>
          <w:noProof/>
        </w:rPr>
      </w:pPr>
      <w:r>
        <w:rPr>
          <w:noProof/>
        </w:rPr>
        <w:t>Poziciją, kurios Sąjunga turi laikytis dėl jungtinio komiteto sprendimų, priimtų pagal Susitarimo 22 straipsnį ir susijusių tik su Sąjungos teisės aktų įtraukimu į Susitarimo III priedą („Civilinei aviacijai taikomos taisyklės“), atlikus reikiamus techninius patikslinimus, nustato Komisija, pasikonsultavusi su Tarybos paskirtu specialiu komitetu.</w:t>
      </w:r>
    </w:p>
    <w:p>
      <w:pPr>
        <w:pStyle w:val="Titrearticle"/>
        <w:rPr>
          <w:noProof/>
        </w:rPr>
      </w:pPr>
      <w:r>
        <w:rPr>
          <w:noProof/>
        </w:rPr>
        <w:t>3 straipsnis</w:t>
      </w:r>
    </w:p>
    <w:p>
      <w:pPr>
        <w:rPr>
          <w:noProof/>
        </w:rPr>
      </w:pPr>
      <w:r>
        <w:rPr>
          <w:noProof/>
        </w:rPr>
        <w:t xml:space="preserve">Sprendimo 2012/639/ES 4, 5 ir 6 straipsniai netaikomi nuo šio sprendimo įsigaliojimo dienos. </w:t>
      </w:r>
    </w:p>
    <w:p>
      <w:pPr>
        <w:pStyle w:val="Titrearticle"/>
        <w:rPr>
          <w:noProof/>
        </w:rPr>
      </w:pPr>
      <w:r>
        <w:rPr>
          <w:noProof/>
        </w:rPr>
        <w:t>4 straipsnis</w:t>
      </w:r>
    </w:p>
    <w:p>
      <w:pPr>
        <w:rPr>
          <w:noProof/>
        </w:rPr>
      </w:pPr>
      <w:r>
        <w:rPr>
          <w:noProof/>
        </w:rPr>
        <w:t xml:space="preserve">Šis sprendimas įsigalioja jo priėmimo dieną. </w:t>
      </w:r>
    </w:p>
    <w:p>
      <w:pPr>
        <w:pStyle w:val="Fait"/>
        <w:rPr>
          <w:noProof/>
        </w:rPr>
      </w:pPr>
      <w:r>
        <w:t>Priimta Briuselyje</w:t>
      </w:r>
    </w:p>
    <w:p>
      <w:pPr>
        <w:pStyle w:val="Institutionquisigne"/>
        <w:spacing w:after="120"/>
        <w:rPr>
          <w:noProof/>
        </w:rPr>
      </w:pPr>
      <w:r>
        <w:rPr>
          <w:noProof/>
        </w:rPr>
        <w:tab/>
        <w:t>Tarybos vardu</w:t>
      </w:r>
    </w:p>
    <w:p>
      <w:pPr>
        <w:pStyle w:val="Personnequisigne"/>
        <w:keepNext/>
        <w:spacing w:after="120"/>
        <w:rPr>
          <w:noProof/>
        </w:rPr>
      </w:pPr>
      <w:r>
        <w:rPr>
          <w:noProof/>
        </w:rPr>
        <w:tab/>
        <w:t>Pirmininkas</w:t>
      </w:r>
    </w:p>
    <w:p>
      <w:pPr>
        <w:pStyle w:val="Personnequisigne"/>
        <w:spacing w:after="120"/>
        <w:rPr>
          <w:noProof/>
        </w:rPr>
      </w:pPr>
      <w:r>
        <w:rPr>
          <w:noProof/>
        </w:rPr>
        <w:tab/>
        <w:t>[…]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spacing w:after="0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ab/>
        <w:t>2012 m. birželio 7 d. Tarybos ir Taryboje posėdžiavusių valstybių narių vyriausybių atstovų sprendimas dėl Europos Sąjungos bei jos valstybių narių ir Moldovos Respublikos bendrosios aviacijos erdvės susitarimo pasirašymo Sąjungos vardu ir laikino taikymo (2012/639/ES) (</w:t>
      </w:r>
      <w:r>
        <w:rPr>
          <w:rStyle w:val="Emphasis"/>
          <w:sz w:val="20"/>
          <w:szCs w:val="20"/>
        </w:rPr>
        <w:t>OL L 292, 2012 10 20, p. 1–2</w:t>
      </w:r>
      <w:r>
        <w:rPr>
          <w:sz w:val="20"/>
          <w:szCs w:val="20"/>
        </w:rPr>
        <w:t>)</w:t>
      </w:r>
      <w:r>
        <w:t>.</w:t>
      </w:r>
    </w:p>
  </w:footnote>
  <w:footnote w:id="2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2015 m. gegužės 7 d. Tarybos sprendimas (ES) 2015/1389 dėl Protokolo, kuriuo, atsižvelgiant į Kroatijos Respublikos įstojimą į Europos Sąjungą, iš dalies keičiamas Europos Sąjungos bei jos valstybių narių ir Moldovos Respublikos bendrosios aviacijos erdvės susitarimas, pasirašymo Sąjungos bei jos valstybių narių vardu ir laikino taikymo</w:t>
      </w:r>
      <w:r>
        <w:rPr>
          <w:b/>
          <w:bCs/>
        </w:rPr>
        <w:t xml:space="preserve"> </w:t>
      </w:r>
      <w:r>
        <w:t>(OL L 215, 2015 8 14, p. 1).</w:t>
      </w:r>
    </w:p>
  </w:footnote>
  <w:footnote w:id="3">
    <w:p>
      <w:pPr>
        <w:pStyle w:val="Footnote"/>
      </w:pPr>
      <w:r>
        <w:rPr>
          <w:rStyle w:val="FootnoteReference"/>
        </w:rPr>
        <w:footnoteRef/>
      </w:r>
      <w:r>
        <w:tab/>
        <w:t>https://eur-lex.europa.eu/legal-content/LT/TXT/PDF/?uri=CELEX:52012PC0020&amp;from=LT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[data] pritarimas (dar nepaskelbta Oficialiajame leidinyje).</w:t>
      </w:r>
    </w:p>
  </w:footnote>
  <w:footnote w:id="5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2012 m. birželio 7 d. Tarybos ir Taryboje posėdžiavusių valstybių narių vyriausybių atstovų sprendimas dėl Europos Sąjungos bei jos valstybių narių ir Moldovos Respublikos bendrosios aviacijos erdvės susitarimo pasirašymo Sąjungos vardu ir laikino taikymo (2012/639/ES) (</w:t>
      </w:r>
      <w:r>
        <w:rPr>
          <w:rStyle w:val="Emphasis"/>
        </w:rPr>
        <w:t>OL L 292, 2012 10 20, p. 1–2</w:t>
      </w:r>
      <w:r>
        <w:t>).</w:t>
      </w:r>
    </w:p>
  </w:footnote>
  <w:footnote w:id="6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2015 m. gegužės 7 d. Tarybos sprendimas (ES) 2015/1389 dėl Protokolo, kuriuo, atsižvelgiant į Kroatijos Respublikos įstojimą į Europos Sąjungą, iš dalies keičiamas Europos Sąjungos bei jos valstybių narių ir Moldovos Respublikos bendrosios aviacijos erdvės susitarimas, pasirašymo Sąjungos bei jos valstybių narių vardu ir laikino taikymo</w:t>
      </w:r>
      <w:r>
        <w:rPr>
          <w:b/>
          <w:bCs/>
        </w:rPr>
        <w:t xml:space="preserve"> </w:t>
      </w:r>
      <w:r>
        <w:rPr>
          <w:bCs/>
          <w:i/>
        </w:rPr>
        <w:t>(OL L 215, 2015 R 0001)</w:t>
      </w:r>
      <w:r>
        <w:rPr>
          <w:bCs/>
        </w:rPr>
        <w:t>.</w:t>
      </w:r>
    </w:p>
  </w:footnote>
  <w:footnote w:id="7">
    <w:p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ab/>
        <w:t>Susitarimas paskelbtas OL L 292, 2012 10 20, p. 3 kartu su sprendimu dėl pasirašymo.</w:t>
      </w:r>
    </w:p>
    <w:p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18E99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33853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4EE78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F48C8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EA4F9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25A81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67AAA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8C4C2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4593082"/>
    <w:multiLevelType w:val="singleLevel"/>
    <w:tmpl w:val="EDE069AC"/>
    <w:lvl w:ilvl="0">
      <w:start w:val="1"/>
      <w:numFmt w:val="bullet"/>
      <w:lvlRestart w:val="0"/>
      <w:pStyle w:val="ListNumber2Level4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F342530"/>
    <w:multiLevelType w:val="singleLevel"/>
    <w:tmpl w:val="D5444702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2"/>
  </w:num>
  <w:num w:numId="14">
    <w:abstractNumId w:val="11"/>
  </w:num>
  <w:num w:numId="15">
    <w:abstractNumId w:val="13"/>
  </w:num>
  <w:num w:numId="16">
    <w:abstractNumId w:val="9"/>
  </w:num>
  <w:num w:numId="17">
    <w:abstractNumId w:val="21"/>
  </w:num>
  <w:num w:numId="18">
    <w:abstractNumId w:val="8"/>
  </w:num>
  <w:num w:numId="19">
    <w:abstractNumId w:val="14"/>
  </w:num>
  <w:num w:numId="20">
    <w:abstractNumId w:val="17"/>
  </w:num>
  <w:num w:numId="21">
    <w:abstractNumId w:val="18"/>
  </w:num>
  <w:num w:numId="22">
    <w:abstractNumId w:val="10"/>
  </w:num>
  <w:num w:numId="23">
    <w:abstractNumId w:val="16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0-28 16:07:4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8CD411D-DCE0-457A-9281-2EEAE4309105"/>
    <w:docVar w:name="LW_COVERPAGE_TYPE" w:val="1"/>
    <w:docVar w:name="LW_CROSSREFERENCE" w:val="&lt;UNUSED&gt;"/>
    <w:docVar w:name="LW_DocType" w:val="COM"/>
    <w:docVar w:name="LW_EMISSION" w:val="2019 11 05"/>
    <w:docVar w:name="LW_EMISSION_ISODATE" w:val="2019-11-05"/>
    <w:docVar w:name="LW_EMISSION_LOCATION" w:val="BRX"/>
    <w:docVar w:name="LW_EMISSION_PREFIX" w:val="Briuselis, "/>
    <w:docVar w:name="LW_EMISSION_SUFFIX" w:val=" "/>
    <w:docVar w:name="LW_ID_DOCMODEL" w:val="SJ-019"/>
    <w:docVar w:name="LW_ID_DOCSIGNATURE" w:val="SJ-019"/>
    <w:docVar w:name="LW_ID_DOCSTRUCTURE" w:val="COM/PL/MOD"/>
    <w:docVar w:name="LW_ID_DOCTYPE" w:val="SG-010"/>
    <w:docVar w:name="LW_ID_EXP.MOTIFS.NEW" w:val="EM_PL_"/>
    <w:docVar w:name="LW_ID_STATUT" w:val="SG-010"/>
    <w:docVar w:name="LW_INTERETEEE.CP" w:val="&lt;UNUSED&gt;"/>
    <w:docVar w:name="LW_LANGUE" w:val="LT"/>
    <w:docVar w:name="LW_LEVEL_OF_SENSITIVITY" w:val="Standard treatment"/>
    <w:docVar w:name="LW_NOM.INST" w:val="EUROPOS KOMISIJ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06"/>
    <w:docVar w:name="LW_REF.II.NEW.CP_YEAR" w:val="2012"/>
    <w:docVar w:name="LW_REF.INST.NEW" w:val="COM"/>
    <w:docVar w:name="LW_REF.INST.NEW_ADOPTED" w:val="final"/>
    <w:docVar w:name="LW_REF.INST.NEW_TEXT" w:val="(2019) 56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akeistas pasi\u363?lymas"/>
    <w:docVar w:name="LW_SUPERTITRE" w:val="&lt;UNUSED&gt;"/>
    <w:docVar w:name="LW_TITRE.OBJ.CP" w:val="d\u279?l Europos S\u261?jungos bei jos valstybi\u371? nari\u371? ir Moldovos Respublikos bendrosios aviacijos erdv\u279?s susitarimo sudarymo"/>
    <w:docVar w:name="LW_TYPE.DOC.CP" w:val="TARYBOS SPRENDIMA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t-L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2Level4">
    <w:name w:val="List Number 2 (Level 4)"/>
    <w:basedOn w:val="Text2"/>
    <w:pPr>
      <w:numPr>
        <w:numId w:val="1"/>
      </w:numPr>
      <w:tabs>
        <w:tab w:val="num" w:pos="3686"/>
      </w:tabs>
      <w:ind w:left="3686" w:hanging="709"/>
    </w:pPr>
    <w:rPr>
      <w:lang w:eastAsia="de-DE"/>
    </w:rPr>
  </w:style>
  <w:style w:type="paragraph" w:customStyle="1" w:styleId="ListBullet1">
    <w:name w:val="List Bullet 1"/>
    <w:basedOn w:val="Normal"/>
    <w:pPr>
      <w:numPr>
        <w:numId w:val="2"/>
      </w:numPr>
      <w:tabs>
        <w:tab w:val="num" w:pos="1134"/>
      </w:tabs>
      <w:ind w:left="1134" w:hanging="283"/>
    </w:pPr>
    <w:rPr>
      <w:lang w:eastAsia="de-DE"/>
    </w:rPr>
  </w:style>
  <w:style w:type="character" w:styleId="Emphasis">
    <w:name w:val="Emphasis"/>
    <w:uiPriority w:val="20"/>
    <w:qFormat/>
    <w:rPr>
      <w:i/>
      <w:iCs/>
    </w:rPr>
  </w:style>
  <w:style w:type="paragraph" w:customStyle="1" w:styleId="Footnote">
    <w:name w:val="Footnote"/>
    <w:basedOn w:val="Normal"/>
    <w:pPr>
      <w:autoSpaceDE w:val="0"/>
      <w:autoSpaceDN w:val="0"/>
      <w:adjustRightInd w:val="0"/>
      <w:spacing w:before="0" w:after="0"/>
    </w:pPr>
    <w:rPr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t-L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2Level4">
    <w:name w:val="List Number 2 (Level 4)"/>
    <w:basedOn w:val="Text2"/>
    <w:pPr>
      <w:numPr>
        <w:numId w:val="1"/>
      </w:numPr>
      <w:tabs>
        <w:tab w:val="num" w:pos="3686"/>
      </w:tabs>
      <w:ind w:left="3686" w:hanging="709"/>
    </w:pPr>
    <w:rPr>
      <w:lang w:eastAsia="de-DE"/>
    </w:rPr>
  </w:style>
  <w:style w:type="paragraph" w:customStyle="1" w:styleId="ListBullet1">
    <w:name w:val="List Bullet 1"/>
    <w:basedOn w:val="Normal"/>
    <w:pPr>
      <w:numPr>
        <w:numId w:val="2"/>
      </w:numPr>
      <w:tabs>
        <w:tab w:val="num" w:pos="1134"/>
      </w:tabs>
      <w:ind w:left="1134" w:hanging="283"/>
    </w:pPr>
    <w:rPr>
      <w:lang w:eastAsia="de-DE"/>
    </w:rPr>
  </w:style>
  <w:style w:type="character" w:styleId="Emphasis">
    <w:name w:val="Emphasis"/>
    <w:uiPriority w:val="20"/>
    <w:qFormat/>
    <w:rPr>
      <w:i/>
      <w:iCs/>
    </w:rPr>
  </w:style>
  <w:style w:type="paragraph" w:customStyle="1" w:styleId="Footnote">
    <w:name w:val="Footnote"/>
    <w:basedOn w:val="Normal"/>
    <w:pPr>
      <w:autoSpaceDE w:val="0"/>
      <w:autoSpaceDN w:val="0"/>
      <w:adjustRightInd w:val="0"/>
      <w:spacing w:before="0" w:after="0"/>
    </w:pPr>
    <w:rPr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5</Pages>
  <Words>615</Words>
  <Characters>4059</Characters>
  <Application>Microsoft Office Word</Application>
  <DocSecurity>0</DocSecurity>
  <Lines>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2019-10-04T07:59:00Z</dcterms:created>
  <dcterms:modified xsi:type="dcterms:W3CDTF">2019-10-28T15:07:00Z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SG-010</vt:lpwstr>
  </property>
  <property fmtid="{D5CDD505-2E9C-101B-9397-08002B2CF9AE}" pid="10" name="DQCStatus">
    <vt:lpwstr>Green (DQC version 03)</vt:lpwstr>
  </property>
</Properties>
</file>