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9C9BF5A5-F305-4F45-9962-7B0CB7B06D73" style="width:450.35pt;height:406.85pt">
            <v:imagedata r:id="rId10" o:title=""/>
          </v:shape>
        </w:pict>
      </w:r>
    </w:p>
    <w:p>
      <w:pPr>
        <w:rPr>
          <w:noProof/>
        </w:rPr>
        <w:sectPr>
          <w:headerReference w:type="even" r:id="rId11"/>
          <w:headerReference w:type="default" r:id="rId12"/>
          <w:footerReference w:type="even" r:id="rId13"/>
          <w:footerReference w:type="default" r:id="rId14"/>
          <w:headerReference w:type="first" r:id="rId15"/>
          <w:footerReference w:type="first" r:id="rId16"/>
          <w:pgSz w:w="11907" w:h="16839" w:code="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OBRAZLOŽITVENI MEMORANDUM</w:t>
      </w:r>
    </w:p>
    <w:p>
      <w:pPr>
        <w:pStyle w:val="ManualHeading1"/>
        <w:rPr>
          <w:noProof/>
        </w:rPr>
      </w:pPr>
      <w:r>
        <w:t>1.</w:t>
      </w:r>
      <w:r>
        <w:tab/>
      </w:r>
      <w:r>
        <w:rPr>
          <w:noProof/>
        </w:rPr>
        <w:t>Predmet urejanja predloga</w:t>
      </w:r>
    </w:p>
    <w:p>
      <w:pPr>
        <w:rPr>
          <w:rFonts w:eastAsia="Arial Unicode MS"/>
          <w:noProof/>
        </w:rPr>
      </w:pPr>
      <w:r>
        <w:rPr>
          <w:noProof/>
        </w:rPr>
        <w:t>Ta predlog se nanaša na sklep o stališču, ki naj se v imenu Evropske unije zastopa na 31. zasedanju skupščine Mednarodne pomorske organizacije, ki bo potekalo od 25. novembra do 4. decembra 2019</w:t>
      </w:r>
      <w:r>
        <w:t xml:space="preserve"> </w:t>
      </w:r>
      <w:r>
        <w:rPr>
          <w:noProof/>
        </w:rPr>
        <w:t xml:space="preserve">v Londonu, glede predvidenega sprejetja </w:t>
      </w:r>
    </w:p>
    <w:p>
      <w:pPr>
        <w:pStyle w:val="Bullet0"/>
        <w:numPr>
          <w:ilvl w:val="0"/>
          <w:numId w:val="15"/>
        </w:numPr>
        <w:rPr>
          <w:noProof/>
        </w:rPr>
      </w:pPr>
      <w:r>
        <w:rPr>
          <w:noProof/>
        </w:rPr>
        <w:t xml:space="preserve">sprememb v zvezi z uporabo in namestitvijo retro-odsevnih materialov v reševalni opremi, </w:t>
      </w:r>
    </w:p>
    <w:p>
      <w:pPr>
        <w:pStyle w:val="Bullet0"/>
        <w:rPr>
          <w:noProof/>
        </w:rPr>
      </w:pPr>
      <w:r>
        <w:rPr>
          <w:noProof/>
        </w:rPr>
        <w:t>postopkov za pomorsko inšpekcijo države pristanišča iz leta 2019 in</w:t>
      </w:r>
    </w:p>
    <w:p>
      <w:pPr>
        <w:pStyle w:val="Bullet0"/>
        <w:rPr>
          <w:noProof/>
        </w:rPr>
      </w:pPr>
      <w:r>
        <w:rPr>
          <w:noProof/>
        </w:rPr>
        <w:t>sprememb smernic za preglede v okviru usklajenega sistema za pregled in izdajo spričeval (v nadaljnjem besedilu: smernice HSSC).</w:t>
      </w:r>
    </w:p>
    <w:p>
      <w:pPr>
        <w:pStyle w:val="ManualHeading1"/>
        <w:rPr>
          <w:noProof/>
        </w:rPr>
      </w:pPr>
      <w:r>
        <w:t>1.</w:t>
      </w:r>
      <w:r>
        <w:tab/>
      </w:r>
      <w:r>
        <w:rPr>
          <w:noProof/>
        </w:rPr>
        <w:t>Ozadje predloga</w:t>
      </w:r>
    </w:p>
    <w:p>
      <w:pPr>
        <w:pStyle w:val="ManualHeading2"/>
        <w:rPr>
          <w:noProof/>
          <w:szCs w:val="24"/>
        </w:rPr>
      </w:pPr>
      <w:r>
        <w:t>1.1.</w:t>
      </w:r>
      <w:r>
        <w:tab/>
      </w:r>
      <w:r>
        <w:rPr>
          <w:noProof/>
        </w:rPr>
        <w:t>Konvencija o Mednarodni pomorski organizaciji (IMO)</w:t>
      </w:r>
    </w:p>
    <w:p>
      <w:pPr>
        <w:pStyle w:val="NormalWeb"/>
        <w:jc w:val="both"/>
        <w:rPr>
          <w:noProof/>
        </w:rPr>
      </w:pPr>
      <w:r>
        <w:rPr>
          <w:noProof/>
        </w:rPr>
        <w:t xml:space="preserve">S Konvencijo o Mednarodni pomorski organizaciji (v nadaljnjem besedilu: Sporazum) se ustanovi Mednarodna pomorska organizacija (v nadaljnjem besedilu: IMO), katere namen je zagotoviti mehanizem za sodelovanje med vladami na področju vladnega urejanja in praks v zvezi s tehničnimi zadevami vseh vrst, ki vplivajo na pomorski promet v mednarodni trgovini, spodbuditi splošno sprejetje najvišjih izvedljivih standardov v zadevah pomorske varnosti, učinkovitosti plovbe ter preprečevanja in nadzora onesnaževanja morja z ladij, s čimer se spodbujajo enaki konkurenčni pogoji, ter obravnavati povezane upravne in pravne zadeve.    </w:t>
      </w:r>
    </w:p>
    <w:p>
      <w:pPr>
        <w:rPr>
          <w:rFonts w:eastAsia="Arial Unicode MS"/>
          <w:noProof/>
        </w:rPr>
      </w:pPr>
      <w:r>
        <w:rPr>
          <w:noProof/>
        </w:rPr>
        <w:t>Sporazum je začel veljati 17. marca 1958.</w:t>
      </w:r>
    </w:p>
    <w:p>
      <w:pPr>
        <w:rPr>
          <w:rFonts w:eastAsia="Arial Unicode MS"/>
          <w:noProof/>
        </w:rPr>
      </w:pPr>
      <w:r>
        <w:rPr>
          <w:noProof/>
        </w:rPr>
        <w:t>Vse države članice so pogodbenice Sporazuma.</w:t>
      </w:r>
    </w:p>
    <w:p>
      <w:pPr>
        <w:pStyle w:val="ManualHeading2"/>
        <w:rPr>
          <w:noProof/>
        </w:rPr>
      </w:pPr>
      <w:r>
        <w:t>1.2.</w:t>
      </w:r>
      <w:r>
        <w:tab/>
      </w:r>
      <w:r>
        <w:rPr>
          <w:noProof/>
        </w:rPr>
        <w:t xml:space="preserve">Mednarodna pomorska organizacija </w:t>
      </w:r>
    </w:p>
    <w:p>
      <w:pPr>
        <w:spacing w:before="0" w:after="0"/>
        <w:rPr>
          <w:noProof/>
          <w:color w:val="000000"/>
          <w:szCs w:val="24"/>
          <w:shd w:val="clear" w:color="auto" w:fill="FFFFFF"/>
        </w:rPr>
      </w:pPr>
      <w:r>
        <w:rPr>
          <w:noProof/>
          <w:color w:val="000000"/>
          <w:szCs w:val="24"/>
        </w:rPr>
        <w:t>Mednarodna pomorska organizacija je specializirana agencija Združenih narodov, pristojna za varnost pomorskega prometa in preprečevanje onesnaževanja morja z ladij. Je</w:t>
      </w:r>
      <w:r>
        <w:rPr>
          <w:noProof/>
          <w:color w:val="000000"/>
          <w:szCs w:val="24"/>
          <w:shd w:val="clear" w:color="auto" w:fill="FFFFFF"/>
        </w:rPr>
        <w:t xml:space="preserve"> svetovni organ za določanje standardov za varnost in okoljsko učinkovitost mednarodnega pomorskega prometa. Njena glavna vloga je oblikovati regulativni okvir za sektor pomorskega prometa, ki je pravičen in učinkovit ter splošno sprejet in izvajan. </w:t>
      </w:r>
    </w:p>
    <w:p>
      <w:pPr>
        <w:spacing w:before="0" w:after="0"/>
        <w:rPr>
          <w:noProof/>
          <w:color w:val="000000"/>
          <w:szCs w:val="24"/>
          <w:shd w:val="clear" w:color="auto" w:fill="FFFFFF"/>
        </w:rPr>
      </w:pPr>
    </w:p>
    <w:p>
      <w:pPr>
        <w:spacing w:before="0" w:after="0"/>
        <w:rPr>
          <w:noProof/>
          <w:color w:val="000000"/>
          <w:szCs w:val="24"/>
          <w:shd w:val="clear" w:color="auto" w:fill="FFFFFF"/>
        </w:rPr>
      </w:pPr>
      <w:r>
        <w:rPr>
          <w:bCs/>
          <w:noProof/>
          <w:color w:val="000000"/>
          <w:szCs w:val="24"/>
          <w:shd w:val="clear" w:color="auto" w:fill="FFFFFF"/>
        </w:rPr>
        <w:t>V IMO so včlanjene vse države članice. Evropska komisija ima od leta 1974 status opazovalke v Mednarodni pomorski organizaciji na podlagi Sporazuma o sodelovanju med Medvladno pomorsko posvetovalno organizacijo (v nadaljnjem besedilu: IMCO)</w:t>
      </w:r>
      <w:r>
        <w:rPr>
          <w:rStyle w:val="FootnoteReference"/>
          <w:bCs/>
          <w:noProof/>
          <w:color w:val="000000"/>
          <w:szCs w:val="24"/>
        </w:rPr>
        <w:footnoteReference w:id="1"/>
      </w:r>
      <w:r>
        <w:rPr>
          <w:bCs/>
          <w:noProof/>
          <w:color w:val="000000"/>
          <w:szCs w:val="24"/>
          <w:shd w:val="clear" w:color="auto" w:fill="FFFFFF"/>
        </w:rPr>
        <w:t xml:space="preserve"> in Komisijo Evropskih skupnosti o zadevah vzajemnega interesa pogodbenic.</w:t>
      </w:r>
    </w:p>
    <w:p>
      <w:pPr>
        <w:spacing w:before="0" w:after="0"/>
        <w:rPr>
          <w:noProof/>
          <w:color w:val="333333"/>
          <w:szCs w:val="24"/>
          <w:shd w:val="clear" w:color="auto" w:fill="FFFFFF"/>
        </w:rPr>
      </w:pPr>
    </w:p>
    <w:p>
      <w:pPr>
        <w:rPr>
          <w:rFonts w:eastAsia="Arial Unicode MS"/>
          <w:noProof/>
        </w:rPr>
      </w:pPr>
      <w:r>
        <w:rPr>
          <w:noProof/>
          <w:color w:val="333333"/>
          <w:szCs w:val="24"/>
          <w:shd w:val="clear" w:color="auto" w:fill="FFFFFF"/>
        </w:rPr>
        <w:t xml:space="preserve">Članstvo v organizaciji je odprto za vse države. Skupščina je sestavljena iz vseh članic. Redna zasedanja skupščine potekajo enkrat na dve leti.  </w:t>
      </w:r>
      <w:r>
        <w:rPr>
          <w:bCs/>
          <w:noProof/>
          <w:color w:val="333333"/>
          <w:szCs w:val="24"/>
          <w:shd w:val="clear" w:color="auto" w:fill="FFFFFF"/>
        </w:rPr>
        <w:t>Skupščina</w:t>
      </w:r>
      <w:r>
        <w:rPr>
          <w:noProof/>
          <w:color w:val="333333"/>
          <w:szCs w:val="24"/>
          <w:shd w:val="clear" w:color="auto" w:fill="FFFFFF"/>
        </w:rPr>
        <w:t xml:space="preserve"> je </w:t>
      </w:r>
      <w:r>
        <w:rPr>
          <w:noProof/>
        </w:rPr>
        <w:t xml:space="preserve">upravljavski </w:t>
      </w:r>
      <w:r>
        <w:rPr>
          <w:noProof/>
          <w:color w:val="333333"/>
          <w:szCs w:val="24"/>
          <w:shd w:val="clear" w:color="auto" w:fill="FFFFFF"/>
        </w:rPr>
        <w:t xml:space="preserve">organ IMO. </w:t>
      </w:r>
      <w:r>
        <w:rPr>
          <w:noProof/>
          <w:color w:val="333333"/>
          <w:szCs w:val="24"/>
          <w:shd w:val="clear" w:color="auto" w:fill="FFFFFF"/>
        </w:rPr>
        <w:lastRenderedPageBreak/>
        <w:t xml:space="preserve">Skupščina določi delovni program in glasuje o proračunu, h kateremu prispevajo vse članice. Poleg tega lahko skupščina članicam predlaga v sprejetje predpise in smernice za pomorsko varnost, preprečevanje in nadzor onesnaževanja morja z ladij ter druge zadeve, povezane z vplivom pomorskega prometa na morsko okolje, ki so Organizaciji dodeljene na podlagi ali v okviru mednarodnih instrumentov, ali spremembe teh predpisov in smernic, ki so ji bile predložene. Za sklepčnost na zasedanjih skupščine je potrebna prisotnost večine članov, ki niso pridruženi </w:t>
      </w:r>
      <w:r>
        <w:rPr>
          <w:noProof/>
          <w:szCs w:val="24"/>
          <w:shd w:val="clear" w:color="auto" w:fill="FFFFFF"/>
        </w:rPr>
        <w:t>člani.</w:t>
      </w:r>
    </w:p>
    <w:p>
      <w:pPr>
        <w:pStyle w:val="ManualHeading2"/>
        <w:rPr>
          <w:noProof/>
        </w:rPr>
      </w:pPr>
      <w:r>
        <w:t>1.3.</w:t>
      </w:r>
      <w:r>
        <w:tab/>
      </w:r>
      <w:r>
        <w:rPr>
          <w:noProof/>
        </w:rPr>
        <w:t>Predvideni akti skupščine IMO</w:t>
      </w:r>
    </w:p>
    <w:p>
      <w:pPr>
        <w:rPr>
          <w:rFonts w:eastAsia="Arial Unicode MS"/>
          <w:noProof/>
        </w:rPr>
      </w:pPr>
      <w:r>
        <w:rPr>
          <w:noProof/>
        </w:rPr>
        <w:t xml:space="preserve">Skupščina IMO bo na svojem 31. zasedanju, ki bo potekalo od 25. novembra do 4. decembra 2019, predvidoma sprejela:  </w:t>
      </w:r>
    </w:p>
    <w:p>
      <w:pPr>
        <w:rPr>
          <w:rFonts w:eastAsia="Arial Unicode MS"/>
          <w:noProof/>
        </w:rPr>
      </w:pPr>
      <w:r>
        <w:rPr>
          <w:noProof/>
        </w:rPr>
        <w:t xml:space="preserve">spremembe v zvezi z uporabo in namestitvijo retro-odsevnih materialov v reševalni opremi, </w:t>
      </w:r>
    </w:p>
    <w:p>
      <w:pPr>
        <w:rPr>
          <w:rFonts w:eastAsia="Arial Unicode MS"/>
          <w:noProof/>
        </w:rPr>
      </w:pPr>
      <w:r>
        <w:rPr>
          <w:noProof/>
        </w:rPr>
        <w:t>postopke za pomorsko inšpekcijo države pristanišča iz leta 2019 in</w:t>
      </w:r>
    </w:p>
    <w:p>
      <w:pPr>
        <w:rPr>
          <w:rFonts w:eastAsia="Arial Unicode MS"/>
          <w:noProof/>
        </w:rPr>
      </w:pPr>
      <w:r>
        <w:rPr>
          <w:noProof/>
        </w:rPr>
        <w:t>spremembe smernic za preglede v okviru usklajenega sistema za pregled in izdajo spričeval.</w:t>
      </w:r>
    </w:p>
    <w:p>
      <w:pPr>
        <w:rPr>
          <w:rFonts w:eastAsia="Arial Unicode MS"/>
          <w:noProof/>
        </w:rPr>
      </w:pPr>
      <w:r>
        <w:rPr>
          <w:noProof/>
        </w:rPr>
        <w:t xml:space="preserve">Namen predvidenih aktov je: </w:t>
      </w:r>
    </w:p>
    <w:p>
      <w:pPr>
        <w:pStyle w:val="ListNumber"/>
        <w:rPr>
          <w:noProof/>
        </w:rPr>
      </w:pPr>
      <w:r>
        <w:rPr>
          <w:noProof/>
        </w:rPr>
        <w:t>posodobitev sedanjih orodij za preskušanje odpornosti materialov na vremenske vplive s črtanjem naprave s karbonskim oblokom, ki je zastarela in se redko uporablja,</w:t>
      </w:r>
    </w:p>
    <w:p>
      <w:pPr>
        <w:pStyle w:val="ListNumber"/>
        <w:rPr>
          <w:noProof/>
        </w:rPr>
      </w:pPr>
      <w:r>
        <w:rPr>
          <w:noProof/>
        </w:rPr>
        <w:t>posodobitev obstoječih postopkov za pomorsko inšpekcijo države pristanišča, vzpostavljenih leta 2017, tako da se vključijo sklicevanja na ukrepe, ki so jih pozneje sprejeli organi IMO (30. zasedanje skupščine IMO, 72., 73. in 74. zasedanje Odbora za varstvo morskega okolja, 99., 100. in 101. zasedanje Odbora za pomorsko varnost), spremenita posebna dodatka 8 in 11 ter vstavi nov Dodatek 18, in</w:t>
      </w:r>
    </w:p>
    <w:p>
      <w:pPr>
        <w:pStyle w:val="ListNumber"/>
        <w:rPr>
          <w:noProof/>
        </w:rPr>
      </w:pPr>
      <w:r>
        <w:rPr>
          <w:noProof/>
        </w:rPr>
        <w:t>posodobitev smernic za preglede v skladu z nedavnimi spremembami obveznih instrumentov, zlasti konvencije IMO o upravljanju balastnih voda, pa tudi da se upoštevajo nekateri elementi v konvenciji SOLAS, kot so prostori posebne vrste v potniških ladjah, in konvenciji MARPOL, kot so izjave o skladnosti v zvezi s porabo goriva</w:t>
      </w:r>
      <w:r>
        <w:rPr>
          <w:bCs/>
          <w:noProof/>
          <w:color w:val="0000FF"/>
        </w:rPr>
        <w:t>.</w:t>
      </w:r>
    </w:p>
    <w:p>
      <w:pPr>
        <w:pStyle w:val="ManualHeading1"/>
        <w:rPr>
          <w:rFonts w:eastAsia="Arial Unicode MS"/>
          <w:noProof/>
        </w:rPr>
      </w:pPr>
      <w:r>
        <w:t>2.</w:t>
      </w:r>
      <w:r>
        <w:tab/>
      </w:r>
      <w:r>
        <w:rPr>
          <w:noProof/>
        </w:rPr>
        <w:t>Stališče, ki naj se zastopa v imenu Unije</w:t>
      </w:r>
    </w:p>
    <w:p>
      <w:pPr>
        <w:pStyle w:val="ManualHeading2"/>
        <w:rPr>
          <w:noProof/>
        </w:rPr>
      </w:pPr>
      <w:r>
        <w:t>2.1.</w:t>
      </w:r>
      <w:r>
        <w:tab/>
      </w:r>
      <w:r>
        <w:rPr>
          <w:noProof/>
        </w:rPr>
        <w:t>Spremembe Resolucije A.658(16) o uporabi in namestitvi retro-odsevnih materialov v reševalni opremi</w:t>
      </w:r>
    </w:p>
    <w:p>
      <w:pPr>
        <w:rPr>
          <w:bCs/>
          <w:noProof/>
        </w:rPr>
      </w:pPr>
      <w:r>
        <w:rPr>
          <w:noProof/>
        </w:rPr>
        <w:t xml:space="preserve">Odbor za pomorsko varnost je na svojem 101. zasedanju (v nadaljnjem besedilu: MSC 101) spomnil, da se je na svojem prejšnjem zasedanju, potem ko se je seznanil z dokumentom MSC 100/19/4, v katerem so države članice EU in Komisija predlagale spremembe Resolucije A.658(16) o uporabi in namestitvi retro-odsevnih materialov v reševalni opremi, strinjal s črtanjem besed „karbonski oblok“ v točki 4.10 in pozval sekretariat IMO, naj pripravi ustrezen osnutek resolucije skupščine, ki bo potrjen na MSC 101, da se lahko predloži v sprejetje na 31. zasedanju skupščine (MSC 100/20, točki 19.14 in 19.15). Izražena so bila mnenja, da bi lahko bilo besedilo zaradi črtanja tega izraza preveč nejasno. </w:t>
      </w:r>
    </w:p>
    <w:p>
      <w:pPr>
        <w:rPr>
          <w:bCs/>
          <w:noProof/>
        </w:rPr>
      </w:pPr>
      <w:r>
        <w:rPr>
          <w:noProof/>
        </w:rPr>
        <w:lastRenderedPageBreak/>
        <w:t>Odbor je opozoril, da je mogoče v zvezi z zgoraj navedenim vprašanjem predložiti ustrezne predloge na 31. zasedanju skupščine, in odobril osnutek resolucije skupščine o spremembah v zvezi z uporabo in namestitvijo retro-odsevnih materialov v reševalni opremi (Resolucija A.658(16)).</w:t>
      </w:r>
    </w:p>
    <w:p>
      <w:pPr>
        <w:rPr>
          <w:bCs/>
          <w:noProof/>
        </w:rPr>
      </w:pPr>
      <w:r>
        <w:rPr>
          <w:noProof/>
        </w:rPr>
        <w:t>Spremembe Resolucije A.658(16) o uporabi in namestitvi retro-odsevnih materialov v reševalni opremi so navedene v Prilogi 27 k dokumentu IMO MSC 101/24. V točki 14.41 poročila s 101. zasedanja Odbora za pomorsko varnost (MSC 101/24) je navedeno, da bodo te spremembe predvidoma sprejete na 31. zasedanju skupščine IMO.</w:t>
      </w:r>
    </w:p>
    <w:p>
      <w:pPr>
        <w:pStyle w:val="ManualHeading2"/>
        <w:rPr>
          <w:noProof/>
        </w:rPr>
      </w:pPr>
      <w:r>
        <w:t>2.2.</w:t>
      </w:r>
      <w:r>
        <w:tab/>
      </w:r>
      <w:r>
        <w:rPr>
          <w:noProof/>
        </w:rPr>
        <w:t>Spremembe postopkov za pomorsko inšpekcijo države pristanišča iz leta 2017 (Resolucija A.1119(30))</w:t>
      </w:r>
    </w:p>
    <w:p>
      <w:pPr>
        <w:rPr>
          <w:bCs/>
          <w:noProof/>
        </w:rPr>
      </w:pPr>
      <w:r>
        <w:rPr>
          <w:noProof/>
        </w:rPr>
        <w:t xml:space="preserve">Postopki IMO za pomorsko inšpekcijo države pristanišča iz leta 2017 (Resolucija A1119(30)) vsebujejo smernice o posebnih vprašanjih v obliki dodatkov h glavnemu dokumentu. Pododbor za izvajanje instrumentov IMO je na svojem 5. zasedanju (v nadaljnjem besedilu: III 5) dosegel dogovor glede revizij postopkov za pomorsko inšpekcijo države pristanišča, zlasti v zvezi z Dodatkom 2 o smernicah glede zadržanja ladij (glej točko 5.34 dokumenta IMO III 5/15). Te revizije naj bi se nadalje razvijale med zasedanji, da bi se osnutek postopkov za pomorsko inšpekcijo države pristanišča iz leta 2019 lahko skupaj z osnutkom resolucije obravnaval na 6. zasedanju Pododbora za izvajanje instrumentov IMO (v nadaljnjem besedilu: III 6), in sicer pred morebitno neposredno predložitvijo v obravnavo in sprejetje na 31. zasedanju skupščine ob odobritvi odborov. </w:t>
      </w:r>
    </w:p>
    <w:p>
      <w:pPr>
        <w:rPr>
          <w:bCs/>
          <w:noProof/>
        </w:rPr>
      </w:pPr>
      <w:r>
        <w:rPr>
          <w:noProof/>
        </w:rPr>
        <w:t>Odbor za pomorsko varnost se je na MSC 101 seznanil, da je III 5 osnutek sprememb Dodatka 8 (Smernice za inšpektorje za varnost plovbe v zvezi s Kodeksom ISM) in Dodatka 11 (Smernice za inšpektorje za varnost plovbe v zvezi z izdajo spričeval pomorščakom, številom članov posadke na ladjah in počitkom) k postopkom za pomorsko inšpekcijo države pristanišča iz leta 2017 (Resolucija A.1119(30)) predložil 6. zasedanju Pododbora za človeški dejavnik, usposabljanje in stražarjenje (v nadaljnjem besedilu: HTW 6) v tehnični pregled in svetovanje za III 6. Na MSC 101 je bilo dogovorjeno, da bo rezultat HTW 6 predložen v obravnavo III 6 med pripravo osnutka resolucije skupščine o postopkih za pomorsko inšpekcijo države pristanišča iz leta 2019. Nato je Odbor pooblastil III 6, da o rezultatih svojega dela poroča neposredno na 31. zasedanju skupščine z namenom sprejetja na tem zasedanju (glej točko 10.15.3 dokumenta IMO MSC 101/24).</w:t>
      </w:r>
    </w:p>
    <w:p>
      <w:pPr>
        <w:rPr>
          <w:bCs/>
          <w:noProof/>
        </w:rPr>
      </w:pPr>
      <w:r>
        <w:rPr>
          <w:noProof/>
        </w:rPr>
        <w:t>III 6 je pregledal in dokončno oblikoval spremembe omenjenih dodatkov 7 in 11, na prošnjo MEPC 74 pa je vključil nov Dodatek 18 z naslovom Resolucija MEPC.321(74) o smernicah za pomorsko inšpekcijo države pristanišča iz leta 2019 v skladu s poglavjem 3 Priloge VI h konvenciji MARPOL, ki je povezan z omejitvijo žvepla od leta 2020 in prepovedjo prevoza s predpisi neskladnega kurilnega olja, ki je namenjeno za zgorevanje za namene pogona ali izvajanja dejavnosti na ladjah, od 1. marca 2020. Posodobil je Dodatek 19 na seznamu instrumentov, povezanih s postopki za pomorsko inšpekcijo države pristanišča, da bi se upošteval razvoj po izdaji postopkov za pomorsko inšpekcijo države pristanišča iz leta 2017.</w:t>
      </w:r>
    </w:p>
    <w:p>
      <w:pPr>
        <w:rPr>
          <w:bCs/>
          <w:noProof/>
        </w:rPr>
      </w:pPr>
      <w:r>
        <w:rPr>
          <w:noProof/>
        </w:rPr>
        <w:t>III 6 je odobril spremembe postopkov za pomorsko inšpekcijo države pristanišča iz leta 2017 in potrdil, da se predložijo v sprejetje na 31. zasedanju skupščine. Revizija Resolucije A.1119(30) o postopkih za pomorsko inšpekcijo države pristanišča je opredeljena v Prilogi XX k dokumentu IMO III 6/15. V odstavku XX poročila III 6 (III 6/15) je navedeno, da bodo te spremembe predvidoma sprejete na 31. zasedanju skupščine IMO.</w:t>
      </w:r>
    </w:p>
    <w:p>
      <w:pPr>
        <w:pStyle w:val="ManualHeading2"/>
        <w:rPr>
          <w:noProof/>
        </w:rPr>
      </w:pPr>
      <w:r>
        <w:lastRenderedPageBreak/>
        <w:t>2.3.</w:t>
      </w:r>
      <w:r>
        <w:tab/>
      </w:r>
      <w:r>
        <w:rPr>
          <w:noProof/>
        </w:rPr>
        <w:t xml:space="preserve">Spremembe smernic za preglede v okviru usklajenega sistema za pregled in izdajo spričeval (HSSC) (Resolucija A.1120(30)) </w:t>
      </w:r>
    </w:p>
    <w:p>
      <w:pPr>
        <w:rPr>
          <w:noProof/>
        </w:rPr>
      </w:pPr>
      <w:r>
        <w:rPr>
          <w:noProof/>
        </w:rPr>
        <w:t>Pododbor za izvajanje instrumentov IMO je na svojem 5. zasedanju (III 5) spomnil, da je na prejšnjem zasedanju ustanovil korespondenčno skupino za pregled smernic za preglede v okviru sistema HSSC in neizčrpnega seznama obveznosti na podlagi instrumentov, povezanih s Kodeksom o izvajanju instrumentov IMO (v nadaljnjem besedilu: Kodeks III), da bi nadaljevala s posodobitvijo smernic za preglede z vključitvijo zahtev, ki izhajajo iz sprememb ustreznih instrumentov IMO in bodo začele veljati do vključno 31. decembra 2019, da bi bil osnutek spremenjenih smernic za preglede v okviru HSSC predložen v sprejetje na 31. zasedanju skupščine. V zvezi s konvencijo SOLAS te spremembe vključujejo prostore posebne vrste v potniških ladjah in v zvezi s konvencijo MARPOL izjave o skladnosti s porabo goriva, povezane z zbiranjem podatkov o toplogrednih plinih. Na naslednjem MSC 101 je Odbor, potem ko se je seznanil z rezultati III 5 in opredelil nekatera odprta vprašanja, pooblastil III 6, da o rezultatih svojega dela poroča neposredno na 31. zasedanju skupščine z namenom sprejetja na tem zasedanju (glej točko 10.15.1 dokumenta IMO MSC 101/24).</w:t>
      </w:r>
    </w:p>
    <w:p>
      <w:pPr>
        <w:rPr>
          <w:noProof/>
        </w:rPr>
      </w:pPr>
      <w:r>
        <w:rPr>
          <w:noProof/>
        </w:rPr>
        <w:t>III 6 je obravnaval spremembe smernic HSSC in potrdil, da se predložijo v sprejetje na 31. zasedanju skupščine. Spremembe Resolucije A.1120(30) o smernicah za preglede v okviru usklajenega sistema za pregled in izdajo spričeval (HSSC) so opredeljene v Prilogi XX k dokumentu IMO MSC III 6/15. V odstavku XX poročila III 6 (III 6/15) je navedeno, da bodo te spremembe predvidoma sprejete na 31. zasedanju skupščine IMO.</w:t>
      </w:r>
    </w:p>
    <w:p>
      <w:pPr>
        <w:pStyle w:val="ManualHeading2"/>
        <w:rPr>
          <w:noProof/>
        </w:rPr>
      </w:pPr>
      <w:r>
        <w:t>2.4.</w:t>
      </w:r>
      <w:r>
        <w:tab/>
      </w:r>
      <w:r>
        <w:rPr>
          <w:noProof/>
        </w:rPr>
        <w:t>Ustrezna zakonodaja EU in pristojnost EU</w:t>
      </w:r>
    </w:p>
    <w:p>
      <w:pPr>
        <w:pStyle w:val="ManualHeading3"/>
        <w:rPr>
          <w:noProof/>
        </w:rPr>
      </w:pPr>
      <w:r>
        <w:t>2.4.1.</w:t>
      </w:r>
      <w:r>
        <w:tab/>
      </w:r>
      <w:r>
        <w:rPr>
          <w:noProof/>
        </w:rPr>
        <w:t xml:space="preserve">Spremembe v zvezi z uporabo in namestitvijo retro-odsevnih materialov v reševalni opremi </w:t>
      </w:r>
    </w:p>
    <w:p>
      <w:pPr>
        <w:rPr>
          <w:noProof/>
        </w:rPr>
      </w:pPr>
      <w:r>
        <w:rPr>
          <w:noProof/>
        </w:rPr>
        <w:t>Retro-odsevni materiali v reševalni opremi zadevajo pomorsko opremo, ki spada na področje uporabe Direktive 2014/90/EU Evropskega parlamenta in Sveta z dne 23. julija 2014 o pomorski opremi in razveljavitvi Direktive Sveta 96/98/ES</w:t>
      </w:r>
      <w:r>
        <w:rPr>
          <w:rStyle w:val="FootnoteReference"/>
          <w:noProof/>
        </w:rPr>
        <w:footnoteReference w:id="2"/>
      </w:r>
      <w:r>
        <w:rPr>
          <w:noProof/>
        </w:rPr>
        <w:t>. Retro-odsevni materiali so obravnavani v določbah, vključenih v Izvedbeno uredbo Komisije (EU) 2018/773 z dne 15. maja 2018 o zahtevah glede zasnove, konstrukcije in delovanja ter o standardih preskušanja za pomorsko opremo in razveljavitvi Izvedbene uredbe (EU) 2017/306</w:t>
      </w:r>
      <w:r>
        <w:rPr>
          <w:rStyle w:val="FootnoteReference"/>
          <w:noProof/>
        </w:rPr>
        <w:footnoteReference w:id="3"/>
      </w:r>
      <w:r>
        <w:rPr>
          <w:noProof/>
        </w:rPr>
        <w:t>. V navedeni izvedbeni uredbi je posebej omenjena Resolucija IMO A.658(16) o uporabi in namestitvi retro-odsevnih materialov v reševalni opremi. Morebitne spremembe resolucije IMO in resolucij, ki jo bodo nasledile, bodo zato neposredno vplivale na zahteve iz uredbe.</w:t>
      </w:r>
    </w:p>
    <w:p>
      <w:pPr>
        <w:pStyle w:val="ManualHeading3"/>
        <w:rPr>
          <w:noProof/>
        </w:rPr>
      </w:pPr>
      <w:r>
        <w:t>2.4.2.</w:t>
      </w:r>
      <w:r>
        <w:tab/>
      </w:r>
      <w:r>
        <w:rPr>
          <w:noProof/>
        </w:rPr>
        <w:t>Spremembe postopkov za pomorsko inšpekcijo države pristanišča iz leta 2017 (Resolucija A.1119(30))</w:t>
      </w:r>
    </w:p>
    <w:p>
      <w:pPr>
        <w:rPr>
          <w:bCs/>
          <w:noProof/>
        </w:rPr>
      </w:pPr>
      <w:r>
        <w:rPr>
          <w:noProof/>
        </w:rPr>
        <w:t xml:space="preserve">Direktiva 2009/16/ES </w:t>
      </w:r>
      <w:r>
        <w:rPr>
          <w:noProof/>
          <w:color w:val="444444"/>
          <w:szCs w:val="24"/>
        </w:rPr>
        <w:t>Evropskega parlamenta in Sveta z dne 23. aprila 2009 o pomorski inšpekciji države pristanišča</w:t>
      </w:r>
      <w:r>
        <w:rPr>
          <w:rStyle w:val="FootnoteReference"/>
          <w:noProof/>
          <w:color w:val="444444"/>
          <w:szCs w:val="24"/>
        </w:rPr>
        <w:footnoteReference w:id="4"/>
      </w:r>
      <w:r>
        <w:rPr>
          <w:noProof/>
        </w:rPr>
        <w:t xml:space="preserve"> (v nadaljnjem besedilu: direktiva o pomorski inšpekciji) se nanaša na uveljavitev mednarodnih standardov za varnost ladij, preprečevanje onesnaževanja ter pogoje za življenje in delo na ladjah, ki uporabljajo pristanišča Unije in plujejo v vodah pod jurisdikcijo držav članic. Namen direktive o pomorski inšpekciji je zmanjšanje števila </w:t>
      </w:r>
      <w:r>
        <w:rPr>
          <w:noProof/>
        </w:rPr>
        <w:lastRenderedPageBreak/>
        <w:t xml:space="preserve">podstandardnega ladjevja v vodah pod jurisdikcijo držav članic. Certifikate in dokumente, vključno s pomorskimi knjižicami, preverijo inšpektorji pomorske inšpekcije. Opozoriti je treba, da direktiva o pomorski inšpekciji od držav članic zahteva, da uporabljajo smernice Pariškega memoranduma o soglasju, in se ne sklicuje na smernice IMO, ki se zgledujejo po smernicah Pariškega memoranduma, vendar niso nujno enake. EU torej ima pristojnost na tem področju, vendar je pravni učinek smernic pomorske inšpekcije IMO na zakonodajo EU v najboljšem primeru posreden.  </w:t>
      </w:r>
    </w:p>
    <w:p>
      <w:pPr>
        <w:pStyle w:val="ManualHeading3"/>
        <w:rPr>
          <w:noProof/>
        </w:rPr>
      </w:pPr>
      <w:r>
        <w:t>2.4.3.</w:t>
      </w:r>
      <w:r>
        <w:tab/>
      </w:r>
      <w:r>
        <w:rPr>
          <w:noProof/>
        </w:rPr>
        <w:t>Spremembe smernic za preglede v okviru usklajenega sistema za pregled in izdajo spričeval (HSSC) (Resolucija A.1120(30))</w:t>
      </w:r>
    </w:p>
    <w:p>
      <w:pPr>
        <w:rPr>
          <w:bCs/>
          <w:noProof/>
        </w:rPr>
      </w:pPr>
      <w:r>
        <w:rPr>
          <w:noProof/>
          <w:color w:val="444444"/>
          <w:szCs w:val="24"/>
        </w:rPr>
        <w:t>Uredba (ES) št. 391/2009 Evropskega parlamenta in Sveta z dne 23. aprila 2009</w:t>
      </w:r>
      <w:r>
        <w:rPr>
          <w:rFonts w:ascii="Roboto" w:hAnsi="Roboto"/>
          <w:noProof/>
          <w:color w:val="444444"/>
          <w:sz w:val="21"/>
          <w:szCs w:val="21"/>
        </w:rPr>
        <w:t xml:space="preserve"> </w:t>
      </w:r>
      <w:r>
        <w:rPr>
          <w:noProof/>
        </w:rPr>
        <w:t xml:space="preserve"> o skupnih pravilih in standardih za organizacije za tehnični nadzor in pregled ladij</w:t>
      </w:r>
      <w:r>
        <w:rPr>
          <w:rStyle w:val="FootnoteReference"/>
          <w:bCs/>
          <w:noProof/>
        </w:rPr>
        <w:footnoteReference w:id="5"/>
      </w:r>
      <w:r>
        <w:rPr>
          <w:noProof/>
        </w:rPr>
        <w:t xml:space="preserve"> določa ukrepe, ki jih morajo upoštevati organizacije, zadolžene za tehnični nadzor in pregled ladij ter izdajo spričeval za ladje glede skladnosti z mednarodnimi konvencijami o varnosti na morju in preprečevanju onesnaževanja morja, pri čemer spodbujajo cilj svobode opravljanja storitev. Merilo B(7)(k) v Prilogi k navedeni uredbi določa: </w:t>
      </w:r>
    </w:p>
    <w:p>
      <w:pPr>
        <w:ind w:left="720"/>
        <w:rPr>
          <w:bCs/>
          <w:i/>
          <w:noProof/>
        </w:rPr>
      </w:pPr>
      <w:r>
        <w:rPr>
          <w:bCs/>
          <w:i/>
          <w:noProof/>
        </w:rPr>
        <w:t xml:space="preserve">„Priznana organizacija mora zagotoviti, da </w:t>
      </w:r>
    </w:p>
    <w:p>
      <w:pPr>
        <w:ind w:left="720"/>
        <w:rPr>
          <w:bCs/>
          <w:i/>
          <w:noProof/>
        </w:rPr>
      </w:pPr>
      <w:r>
        <w:rPr>
          <w:bCs/>
          <w:i/>
          <w:noProof/>
        </w:rPr>
        <w:t>se predpisani pregled in tehnični nadzor, ki jih zahteva usklajeni sistem za pregled in izdajo spričeval, za katere je priznana organizacija pooblaščena, izvajajo v skladu z določbami Priloge in Dodatka k Resoluciji IMO A.948(23) o smernicah za pregled v okviru usklajenega sistema za pregled in izdajo spričeval“.</w:t>
      </w:r>
    </w:p>
    <w:p>
      <w:pPr>
        <w:rPr>
          <w:bCs/>
          <w:noProof/>
        </w:rPr>
      </w:pPr>
      <w:r>
        <w:rPr>
          <w:noProof/>
        </w:rPr>
        <w:t>Morebitne spremembe resolucije IMO in resolucij, ki jo bodo nasledile, bodo zato neposredno vplivale na zahteve iz Uredbe (ES) št. 391/2009.</w:t>
      </w:r>
    </w:p>
    <w:p>
      <w:pPr>
        <w:pStyle w:val="ManualHeading3"/>
        <w:rPr>
          <w:noProof/>
        </w:rPr>
      </w:pPr>
      <w:r>
        <w:t>2.4.4.</w:t>
      </w:r>
      <w:r>
        <w:tab/>
      </w:r>
      <w:r>
        <w:rPr>
          <w:noProof/>
        </w:rPr>
        <w:t>Pristojnost EU</w:t>
      </w:r>
    </w:p>
    <w:p>
      <w:pPr>
        <w:rPr>
          <w:bCs/>
          <w:noProof/>
        </w:rPr>
      </w:pPr>
      <w:r>
        <w:rPr>
          <w:noProof/>
        </w:rPr>
        <w:t xml:space="preserve">Spremembe Resolucije A.658(16) o uporabi in namestitvi retro-odsevnih materialov v reševalni opremi bodo vplivale na pravo EU prek uporabe Direktive 2009/45/ES </w:t>
      </w:r>
      <w:r>
        <w:rPr>
          <w:noProof/>
          <w:color w:val="444444"/>
          <w:szCs w:val="24"/>
        </w:rPr>
        <w:t>Evropskega parlamenta in Sveta z dne 6. maja 2009 o varnostnih predpisih in standardih za potniške ladje (prenovitev)</w:t>
      </w:r>
      <w:r>
        <w:rPr>
          <w:rStyle w:val="FootnoteReference"/>
          <w:noProof/>
          <w:color w:val="444444"/>
          <w:szCs w:val="24"/>
        </w:rPr>
        <w:footnoteReference w:id="6"/>
      </w:r>
      <w:r>
        <w:rPr>
          <w:noProof/>
        </w:rPr>
        <w:t>.</w:t>
      </w:r>
    </w:p>
    <w:p>
      <w:pPr>
        <w:rPr>
          <w:bCs/>
          <w:noProof/>
        </w:rPr>
      </w:pPr>
      <w:r>
        <w:rPr>
          <w:noProof/>
        </w:rPr>
        <w:t xml:space="preserve">Uporaba Direktive 2009/16/ES o pomorski inšpekciji države pristanišča temelji na postopkih za pomorsko inšpekcijo države pristanišča in navodilih (smernicah) Pariškega memoranduma o soglasju, kot je določeno v prilogah I in VI. Postopki IMO za pomorsko inšpekcijo države pristanišča in njihove spremembe lahko vplivajo na razvoj smernic Pariškega memoranduma o soglasju in lahko posledično neposredno vplivajo na uporabo Direktive 2009/16/ES. </w:t>
      </w:r>
    </w:p>
    <w:p>
      <w:pPr>
        <w:rPr>
          <w:i/>
          <w:iCs/>
          <w:noProof/>
        </w:rPr>
      </w:pPr>
      <w:r>
        <w:rPr>
          <w:noProof/>
        </w:rPr>
        <w:t>Smernice za preglede v okviru usklajenega sistema za pregled in izdajo spričeval (HSSC) so med zahtevami iz Uredbe (ES) št. 391/2009. Vsaka sprememba smernic za preglede bo prek uporabe Uredbe (ES) št. 391/2009 vplivala na pravo EU.</w:t>
      </w:r>
    </w:p>
    <w:p>
      <w:pPr>
        <w:pStyle w:val="ManualHeading1"/>
        <w:rPr>
          <w:noProof/>
        </w:rPr>
      </w:pPr>
      <w:r>
        <w:lastRenderedPageBreak/>
        <w:t>3.</w:t>
      </w:r>
      <w:r>
        <w:tab/>
      </w:r>
      <w:r>
        <w:rPr>
          <w:noProof/>
        </w:rPr>
        <w:t>Pravna podlaga</w:t>
      </w:r>
    </w:p>
    <w:p>
      <w:pPr>
        <w:pStyle w:val="ManualHeading2"/>
        <w:rPr>
          <w:noProof/>
        </w:rPr>
      </w:pPr>
      <w:r>
        <w:t>3.1.</w:t>
      </w:r>
      <w:r>
        <w:tab/>
      </w:r>
      <w:r>
        <w:rPr>
          <w:noProof/>
        </w:rPr>
        <w:t>Postopkovna pravna podlaga</w:t>
      </w:r>
    </w:p>
    <w:p>
      <w:pPr>
        <w:pStyle w:val="ManualHeading3"/>
        <w:rPr>
          <w:noProof/>
        </w:rPr>
      </w:pPr>
      <w:r>
        <w:t>3.1.1.</w:t>
      </w:r>
      <w:r>
        <w:tab/>
      </w:r>
      <w:r>
        <w:rPr>
          <w:noProof/>
        </w:rPr>
        <w:t>Načela</w:t>
      </w:r>
    </w:p>
    <w:p>
      <w:pPr>
        <w:rPr>
          <w:noProof/>
        </w:rPr>
      </w:pPr>
      <w:r>
        <w:rPr>
          <w:noProof/>
        </w:rPr>
        <w:t>Člen 218(9) Pogodbe o delovanju Evropske unije ureja sklepe o določitvi „stališč, ki naj se v imenu Unije zastopajo v organu, ustanovljenem s sporazumom, kadar ta organ sprejema akte s pravnim učinkom, razen aktov o spremembah ali dopolnitvah institucionalnega okvira sporazuma“.</w:t>
      </w:r>
    </w:p>
    <w:p>
      <w:pPr>
        <w:rPr>
          <w:noProof/>
        </w:rPr>
      </w:pPr>
      <w:r>
        <w:rPr>
          <w:noProof/>
        </w:rPr>
        <w:t>Člen 218(9) PDEU se uporablja ne glede na to, ali je Unija članica organa ali pogodbenica obravnavanega sporazuma</w:t>
      </w:r>
      <w:r>
        <w:rPr>
          <w:rStyle w:val="FootnoteReference"/>
          <w:noProof/>
        </w:rPr>
        <w:footnoteReference w:id="7"/>
      </w:r>
      <w:r>
        <w:rPr>
          <w:noProof/>
        </w:rPr>
        <w:t>.</w:t>
      </w:r>
    </w:p>
    <w:p>
      <w:pPr>
        <w:rPr>
          <w:noProof/>
        </w:rPr>
      </w:pPr>
      <w:r>
        <w:rPr>
          <w:noProof/>
        </w:rPr>
        <w:t>Pojem „akti s pravnim učinkom“ vključuje tudi akte, ki imajo pravni učinek zaradi pravil mednarodnega prava, ki veljajo za zadevni organ. Vključuje tudi instrumente, ki nimajo zavezujočega učinka v mednarodnem pravu, a lahko „odločilno vpliva[jo] na vsebino ureditve, ki jo [sprejme] zakonodajalec Unije“</w:t>
      </w:r>
      <w:r>
        <w:rPr>
          <w:rStyle w:val="FootnoteReference"/>
          <w:noProof/>
        </w:rPr>
        <w:footnoteReference w:id="8"/>
      </w:r>
      <w:r>
        <w:rPr>
          <w:noProof/>
        </w:rPr>
        <w:t>.</w:t>
      </w:r>
    </w:p>
    <w:p>
      <w:pPr>
        <w:pStyle w:val="ManualHeading3"/>
        <w:rPr>
          <w:noProof/>
        </w:rPr>
      </w:pPr>
      <w:r>
        <w:t>3.1.2.</w:t>
      </w:r>
      <w:r>
        <w:tab/>
      </w:r>
      <w:r>
        <w:rPr>
          <w:noProof/>
        </w:rPr>
        <w:t>Uporaba v obravnavanem primeru</w:t>
      </w:r>
    </w:p>
    <w:p>
      <w:pPr>
        <w:rPr>
          <w:noProof/>
        </w:rPr>
      </w:pPr>
      <w:r>
        <w:rPr>
          <w:noProof/>
        </w:rPr>
        <w:t xml:space="preserve">Skupščina IMO je organ, vzpostavljen s sporazumom, in sicer s Konvencijo o Mednarodni pomorski organizaciji. </w:t>
      </w:r>
    </w:p>
    <w:p>
      <w:pPr>
        <w:rPr>
          <w:noProof/>
        </w:rPr>
      </w:pPr>
      <w:r>
        <w:rPr>
          <w:noProof/>
        </w:rPr>
        <w:t xml:space="preserve">Akti, ki jih sprejema skupščina IMO, so akti s pravnim učinkom. Predvideni akti lahko odločilno vplivajo na vsebino predpisov Unije, in sicer na: </w:t>
      </w:r>
    </w:p>
    <w:p>
      <w:pPr>
        <w:pStyle w:val="ListNumber"/>
        <w:numPr>
          <w:ilvl w:val="0"/>
          <w:numId w:val="11"/>
        </w:numPr>
        <w:rPr>
          <w:noProof/>
        </w:rPr>
      </w:pPr>
      <w:r>
        <w:rPr>
          <w:noProof/>
        </w:rPr>
        <w:t>Direktivo 2009/45/ES o varnostnih predpisih in standardih za potniške ladje. V členu 6(2)(a)(i) navedene direktive je določeno, da so nove potniške ladje razreda A v celoti skladne z zahtevami konvencije SOLAS iz leta 1974, kakor je bila spremenjena;</w:t>
      </w:r>
    </w:p>
    <w:p>
      <w:pPr>
        <w:pStyle w:val="ListNumber"/>
        <w:rPr>
          <w:noProof/>
        </w:rPr>
      </w:pPr>
      <w:r>
        <w:rPr>
          <w:noProof/>
        </w:rPr>
        <w:t>Direktivo 2009/16/ES o pomorski inšpekciji države pristanišča. Člen 15 določa, da morajo države članice zagotoviti, da njihovi inšpektorji ravnajo v skladu s postopki in smernicami iz Priloge VI. Te smernice so določene na podlagi Pariškega memoranduma o soglasju. Spremembe postopkov IMO za pomorsko inšpekcijo države pristanišča iz leta 2017 lahko vplivajo na razvoj smernic Pariškega memoranduma o soglasju in lahko posledično neposredno vplivajo na uporabo navedene direktive. Opozoriti je treba, da je Pododbor za izvajanje instrumentov IMO spremembe obravnaval pod točko „Ukrepi za usklajevanje dejavnosti in postopkov za pomorske inšpekcije države pristanišča po vsem svetu“;</w:t>
      </w:r>
    </w:p>
    <w:p>
      <w:pPr>
        <w:pStyle w:val="ListNumber"/>
        <w:rPr>
          <w:noProof/>
        </w:rPr>
      </w:pPr>
      <w:r>
        <w:rPr>
          <w:noProof/>
        </w:rPr>
        <w:t xml:space="preserve">Uredbo (ES) št. 391/2009 o skupnih pravilih in standardih za organizacije za tehnični nadzor in pregled ladij. Smernice za preglede v okviru usklajenega sistema za pregled in izdajo spričeval (HSSC) so med zahtevami v okviru navedene uredbe. Merilo B(7)(k) v Prilogi I določa: </w:t>
      </w:r>
    </w:p>
    <w:p>
      <w:pPr>
        <w:ind w:left="720"/>
        <w:rPr>
          <w:bCs/>
          <w:i/>
          <w:noProof/>
        </w:rPr>
      </w:pPr>
      <w:r>
        <w:rPr>
          <w:bCs/>
          <w:i/>
          <w:iCs/>
          <w:noProof/>
        </w:rPr>
        <w:t xml:space="preserve">„7. Priznana organizacija mora zagotoviti, da: </w:t>
      </w:r>
    </w:p>
    <w:p>
      <w:pPr>
        <w:ind w:left="720"/>
        <w:rPr>
          <w:bCs/>
          <w:i/>
          <w:iCs/>
          <w:noProof/>
        </w:rPr>
      </w:pPr>
      <w:r>
        <w:rPr>
          <w:bCs/>
          <w:i/>
          <w:iCs/>
          <w:noProof/>
        </w:rPr>
        <w:t xml:space="preserve">(k) se predpisani pregled in tehnični nadzor, ki jih zahteva usklajeni sistem za pregled in izdajo spričeval, za katere je priznana organizacija pooblaščena, izvajajo v skladu z </w:t>
      </w:r>
      <w:r>
        <w:rPr>
          <w:bCs/>
          <w:i/>
          <w:iCs/>
          <w:noProof/>
        </w:rPr>
        <w:lastRenderedPageBreak/>
        <w:t>določbami Priloge in Dodatka k Resoluciji IMO A.948(23) o smernicah za pregled v okviru usklajenega sistema za pregled in izdajo spričeval.“</w:t>
      </w:r>
    </w:p>
    <w:p>
      <w:pPr>
        <w:rPr>
          <w:bCs/>
          <w:noProof/>
        </w:rPr>
      </w:pPr>
      <w:r>
        <w:rPr>
          <w:noProof/>
        </w:rPr>
        <w:t xml:space="preserve">Spremembe smernic za preglede v okviru usklajenega sistema za pregled in izdajo spričeval (HSSC) torej vplivajo na pravo EU prek uporabe Uredbe (ES) št. 391/2009. </w:t>
      </w:r>
    </w:p>
    <w:p>
      <w:pPr>
        <w:rPr>
          <w:noProof/>
        </w:rPr>
      </w:pPr>
      <w:r>
        <w:rPr>
          <w:noProof/>
        </w:rPr>
        <w:t>Predvideni akti ne dopolnjujejo ali spreminjajo institucionalnega okvira Sporazuma.</w:t>
      </w:r>
    </w:p>
    <w:p>
      <w:pPr>
        <w:rPr>
          <w:noProof/>
        </w:rPr>
      </w:pPr>
      <w:r>
        <w:rPr>
          <w:noProof/>
        </w:rPr>
        <w:t>Postopkovna pravna podlaga za predlagani sklep je zato člen 218(9) PDEU.</w:t>
      </w:r>
    </w:p>
    <w:p>
      <w:pPr>
        <w:pStyle w:val="ManualHeading2"/>
        <w:rPr>
          <w:noProof/>
        </w:rPr>
      </w:pPr>
      <w:r>
        <w:t>3.2.</w:t>
      </w:r>
      <w:r>
        <w:tab/>
      </w:r>
      <w:r>
        <w:rPr>
          <w:noProof/>
        </w:rPr>
        <w:t>Materialna pravna podlaga</w:t>
      </w:r>
    </w:p>
    <w:p>
      <w:pPr>
        <w:pStyle w:val="ManualHeading3"/>
        <w:rPr>
          <w:noProof/>
        </w:rPr>
      </w:pPr>
      <w:r>
        <w:t>3.2.1.</w:t>
      </w:r>
      <w:r>
        <w:tab/>
      </w:r>
      <w:r>
        <w:rPr>
          <w:noProof/>
        </w:rPr>
        <w:t>Načela</w:t>
      </w:r>
    </w:p>
    <w:p>
      <w:pPr>
        <w:rPr>
          <w:noProof/>
        </w:rPr>
      </w:pPr>
      <w:r>
        <w:rPr>
          <w:noProof/>
        </w:rPr>
        <w:t>Materialna pravna podlaga za sklep iz člena 218(9) PDEU je odvisna predvsem od cilja in vsebine predvidenega akta, glede katerega se v imenu Unije zastopa stališče. Če ima predvideni akt dva cilja ali elementa in je eden od teh ciljev ali elementov glavni, drugi pa postranski, mora sklep po členu 218(9) PDEU temeljiti na samo eni materialni pravni podlagi, in sicer na tisti, ki se zahteva za glavni ali prevladujoči cilj ali element.</w:t>
      </w:r>
    </w:p>
    <w:p>
      <w:pPr>
        <w:pStyle w:val="ManualHeading3"/>
        <w:rPr>
          <w:noProof/>
        </w:rPr>
      </w:pPr>
      <w:r>
        <w:t>3.2.2.</w:t>
      </w:r>
      <w:r>
        <w:tab/>
      </w:r>
      <w:r>
        <w:rPr>
          <w:noProof/>
        </w:rPr>
        <w:t>Uporaba v obravnavanem primeru</w:t>
      </w:r>
    </w:p>
    <w:p>
      <w:pPr>
        <w:rPr>
          <w:i/>
          <w:noProof/>
        </w:rPr>
      </w:pPr>
      <w:r>
        <w:rPr>
          <w:noProof/>
        </w:rPr>
        <w:t>Glavni cilj in vsebina predvidenega akta se nanašata na pomorski promet. Materialna pravna podlaga za predlagani sklep je zato člen 100(2) PDEU.</w:t>
      </w:r>
    </w:p>
    <w:p>
      <w:pPr>
        <w:pStyle w:val="ManualHeading2"/>
        <w:rPr>
          <w:noProof/>
        </w:rPr>
      </w:pPr>
      <w:r>
        <w:t>3.3.</w:t>
      </w:r>
      <w:r>
        <w:tab/>
      </w:r>
      <w:r>
        <w:rPr>
          <w:noProof/>
        </w:rPr>
        <w:t>Sklepna ugotovitev</w:t>
      </w:r>
    </w:p>
    <w:p>
      <w:pPr>
        <w:rPr>
          <w:noProof/>
        </w:rPr>
      </w:pPr>
      <w:r>
        <w:rPr>
          <w:noProof/>
        </w:rPr>
        <w:t>Pravna podlaga predlaganega sklepa bi moral biti člen 100(2) PDEU v povezavi s členom 218(9) PDEU.</w:t>
      </w:r>
    </w:p>
    <w:p>
      <w:pPr>
        <w:rPr>
          <w:noProof/>
        </w:rPr>
        <w:sectPr>
          <w:footerReference w:type="default" r:id="rId17"/>
          <w:footerReference w:type="first" r:id="rId18"/>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2019/0248 (NLE)</w:t>
      </w:r>
    </w:p>
    <w:p>
      <w:pPr>
        <w:pStyle w:val="Statut"/>
        <w:rPr>
          <w:noProof/>
        </w:rPr>
      </w:pPr>
      <w:r>
        <w:rPr>
          <w:noProof/>
        </w:rPr>
        <w:t>Predlog</w:t>
      </w:r>
    </w:p>
    <w:p>
      <w:pPr>
        <w:pStyle w:val="Typedudocument"/>
        <w:rPr>
          <w:noProof/>
        </w:rPr>
      </w:pPr>
      <w:r>
        <w:rPr>
          <w:noProof/>
        </w:rPr>
        <w:t>SKLEP SVETA</w:t>
      </w:r>
    </w:p>
    <w:p>
      <w:pPr>
        <w:pStyle w:val="Titreobjet"/>
        <w:rPr>
          <w:noProof/>
        </w:rPr>
      </w:pPr>
      <w:r>
        <w:rPr>
          <w:noProof/>
        </w:rPr>
        <w:t>o stališču, ki naj se v imenu Evropske unije zastopa v Mednarodni pomorski organizaciji (IMO) na 31. zasedanju skupščine IMO v zvezi s sprejetjem sprememb Resolucije A.658(16) o uporabi in namestitvi retro-odsevnih materialov v reševalni opremi, postopkov za pomorsko inšpekcijo iz leta 2017 (Resolucija A.1119(30)) in smernic za preglede v okviru usklajenega sistema za pregled in izdajo spričeval (HSSC) (Resolucija A.1120(30))</w:t>
      </w:r>
    </w:p>
    <w:p>
      <w:pPr>
        <w:pStyle w:val="Institutionquiagit"/>
        <w:rPr>
          <w:noProof/>
        </w:rPr>
      </w:pPr>
      <w:r>
        <w:rPr>
          <w:noProof/>
        </w:rPr>
        <w:t>SVET EVROPSKE UNIJE JE –</w:t>
      </w:r>
    </w:p>
    <w:p>
      <w:pPr>
        <w:rPr>
          <w:noProof/>
        </w:rPr>
      </w:pPr>
      <w:r>
        <w:rPr>
          <w:noProof/>
        </w:rPr>
        <w:t>ob upoštevanju Pogodbe o delovanju Evropske unije in zlasti člena 100(2) v povezavi s členom 218(9) Pogodbe,</w:t>
      </w:r>
    </w:p>
    <w:p>
      <w:pPr>
        <w:rPr>
          <w:noProof/>
        </w:rPr>
      </w:pPr>
      <w:r>
        <w:rPr>
          <w:noProof/>
        </w:rPr>
        <w:t>ob upoštevanju predloga Evropske komisije,</w:t>
      </w:r>
    </w:p>
    <w:p>
      <w:pPr>
        <w:rPr>
          <w:noProof/>
        </w:rPr>
      </w:pPr>
      <w:r>
        <w:rPr>
          <w:noProof/>
        </w:rPr>
        <w:t>ob upoštevanju naslednjega:</w:t>
      </w:r>
    </w:p>
    <w:p>
      <w:pPr>
        <w:pStyle w:val="ManualConsidrant"/>
        <w:rPr>
          <w:rFonts w:eastAsia="Arial Unicode MS"/>
          <w:noProof/>
        </w:rPr>
      </w:pPr>
      <w:r>
        <w:t>(1)</w:t>
      </w:r>
      <w:r>
        <w:tab/>
      </w:r>
      <w:r>
        <w:rPr>
          <w:noProof/>
        </w:rPr>
        <w:t>Konvencija o Mednarodni pomorski organizaciji (IMO) (v nadaljnjem besedilu: Sporazum) je začela veljati 17. marca 1958.</w:t>
      </w:r>
    </w:p>
    <w:p>
      <w:pPr>
        <w:pStyle w:val="ManualConsidrant"/>
        <w:rPr>
          <w:noProof/>
        </w:rPr>
      </w:pPr>
      <w:r>
        <w:t>(2)</w:t>
      </w:r>
      <w:r>
        <w:tab/>
      </w:r>
      <w:r>
        <w:rPr>
          <w:noProof/>
        </w:rPr>
        <w:t xml:space="preserve">V skladu s členom 15(j) Sporazuma lahko skupščina članicam v sprejetje predlaga predpise in smernice za pomorsko varnost, preprečevanje in nadzor onesnaževanja morja z ladij in druge zadeve v zvezi z vplivom pomorskega prometa na morsko okolje, ki so Organizaciji dodeljene na podlagi ali v okviru mednarodnih instrumentov, ali spremembe teh predpisov in smernic, ki so ji bile predložene. </w:t>
      </w:r>
    </w:p>
    <w:p>
      <w:pPr>
        <w:pStyle w:val="ManualConsidrant"/>
        <w:rPr>
          <w:noProof/>
        </w:rPr>
      </w:pPr>
      <w:r>
        <w:t>(3)</w:t>
      </w:r>
      <w:r>
        <w:tab/>
      </w:r>
      <w:r>
        <w:rPr>
          <w:noProof/>
        </w:rPr>
        <w:t>Skupščina IMO bo na svojem 31. zasedanju, ki bo potekalo od 25. novembra do 5. decembra 2019, sprejela spremembe Resolucije A.658(16) o uporabi in namestitvi retro-odsevnih materialov v reševalni opremi, postopke za pomorsko inšpekcijo države pristanišča iz leta 2017 (Resolucija A.1119 (30)) in smernice za preglede v okviru usklajenega sistema za pregled in izdajo spričeval (Resolucija A.1120(30)).</w:t>
      </w:r>
    </w:p>
    <w:p>
      <w:pPr>
        <w:pStyle w:val="ManualConsidrant"/>
        <w:rPr>
          <w:noProof/>
        </w:rPr>
      </w:pPr>
      <w:r>
        <w:t>(4)</w:t>
      </w:r>
      <w:r>
        <w:tab/>
      </w:r>
      <w:r>
        <w:rPr>
          <w:noProof/>
        </w:rPr>
        <w:t>Primerno je, da se določi stališče, ki naj se v imenu Unije zastopa v Mednarodni pomorski organizaciji, saj bodo sprejete spremembe Resolucije A.658(16) o uporabi in namestitvi retro-odsevnih materialov v reševalni opremi, postopki za pomorsko inšpekcijo države pristanišča iz leta 2017 (Resolucija A.1119(30)) in smernice za preglede v okviru usklajenega sistema za pregled in izdajo spričeval (Resolucija A.1120(30)) lahko odločilno vplivale na vsebino prava Unije, in sicer na Direktivo 2009/45/ES Evropskega parlamenta in Sveta o varnostnih predpisih in standardih za potniške ladje</w:t>
      </w:r>
      <w:r>
        <w:rPr>
          <w:rStyle w:val="FootnoteReference"/>
          <w:noProof/>
        </w:rPr>
        <w:footnoteReference w:id="9"/>
      </w:r>
      <w:r>
        <w:rPr>
          <w:noProof/>
        </w:rPr>
        <w:t xml:space="preserve">, Direktivo 2009/16/ES Evropskega parlamenta in Sveta o </w:t>
      </w:r>
      <w:r>
        <w:rPr>
          <w:noProof/>
        </w:rPr>
        <w:lastRenderedPageBreak/>
        <w:t>pomorski inšpekciji države pristanišča</w:t>
      </w:r>
      <w:r>
        <w:rPr>
          <w:rStyle w:val="FootnoteReference"/>
          <w:noProof/>
        </w:rPr>
        <w:footnoteReference w:id="10"/>
      </w:r>
      <w:r>
        <w:rPr>
          <w:noProof/>
        </w:rPr>
        <w:t xml:space="preserve"> ter Uredbo (ES) št. 391/2009 Evropskega parlamenta in Sveta z dne 23. aprila 2009 o skupnih pravilih in standardih za organizacije za tehnični nadzor in pregled ladij</w:t>
      </w:r>
      <w:r>
        <w:rPr>
          <w:rStyle w:val="FootnoteReference"/>
          <w:bCs/>
          <w:noProof/>
        </w:rPr>
        <w:footnoteReference w:id="11"/>
      </w:r>
      <w:r>
        <w:rPr>
          <w:noProof/>
        </w:rPr>
        <w:t>.</w:t>
      </w:r>
    </w:p>
    <w:p>
      <w:pPr>
        <w:pStyle w:val="ManualConsidrant"/>
        <w:rPr>
          <w:bCs/>
          <w:noProof/>
        </w:rPr>
      </w:pPr>
      <w:r>
        <w:t>(5)</w:t>
      </w:r>
      <w:r>
        <w:tab/>
      </w:r>
      <w:r>
        <w:rPr>
          <w:noProof/>
        </w:rPr>
        <w:t>Odbor za pomorsko varnost je na 101. zasedanju (v nadaljnjem besedilu: MSC 101), ki je potekalo od 5. do 14. junija 2019 v Londonu, spomnil, da se je na svojem prejšnjem zasedanju, potem ko je proučil dokument MSC 100/19/4, v katerem so predlagane spremembe Resolucije A.658(16) o uporabi in namestitvi retro-odsevnih materialov v reševalni opremi, strinjal s črtanjem besed „karbonski oblok“ v točki 4.10, in pozval sekretariat IMO, naj pripravi ustrezen osnutek resolucije skupščine, ki bo predložen v odobritev na MSC 101, da bo lahko predložen v sprejetje na 31. zasedanju skupščine (MSC 100/20, točki 19.14 in 19.15). Odbor je nato odobril osnutek resolucije skupščine o spremembah v zvezi z uporabo in namestitvijo retro-odsevnih materialov v reševalni opremi (Resolucija A.658(16)).</w:t>
      </w:r>
    </w:p>
    <w:p>
      <w:pPr>
        <w:pStyle w:val="ManualConsidrant"/>
        <w:rPr>
          <w:bCs/>
          <w:noProof/>
        </w:rPr>
      </w:pPr>
      <w:r>
        <w:t>(6)</w:t>
      </w:r>
      <w:r>
        <w:tab/>
      </w:r>
      <w:r>
        <w:rPr>
          <w:noProof/>
        </w:rPr>
        <w:t xml:space="preserve">Pododbor za izvajanje instrumentov IMO je na svojem 5. zasedanju (v nadaljnjem besedilu: III 5), ki je potekalo od 24. do 28. septembra 2018 v Londonu, dosegel dogovor glede revizij postopkov za pomorsko inšpekcijo države pristanišča iz leta 2017, zlasti v zvezi z Dodatkom 2 o smernicah glede zadržanja ladij. Te revizije naj bi se nadalje razvijale med zasedanji, da bo osnutek postopkov za pomorsko inšpekcijo države pristanišča iz leta 2019 skupaj z osnutkom resolucije lahko obravnavan na 6. zasedanju Pododbora za izvajanje instrumentov IMO (v nadaljnjem besedilu: III 6), ki bo potekalo od 1. do 5. julija 2019 v Londonu, pred morebitno neposredno predložitvijo v obravnavo in sprejetje na 31. zasedanju skupščine ob odobritvi odborov. </w:t>
      </w:r>
    </w:p>
    <w:p>
      <w:pPr>
        <w:pStyle w:val="ManualConsidrant"/>
        <w:rPr>
          <w:bCs/>
          <w:noProof/>
        </w:rPr>
      </w:pPr>
      <w:r>
        <w:t>(7)</w:t>
      </w:r>
      <w:r>
        <w:tab/>
      </w:r>
      <w:r>
        <w:rPr>
          <w:noProof/>
        </w:rPr>
        <w:t xml:space="preserve">Nato je Odbor na MSC 101 pooblastil III 6, da o rezultatih svojega dela poroča neposredno na 31. zasedanju skupščine z namenom sprejetja na tej skupščini. III 6 je pregledal in dokončno oblikoval spremembe postopkov za pomorsko inšpekcijo države pristanišča iz leta 2019 in v skladu z zahtevo Odbora za varstvo morskega okolja na njegovem 74. zasedanju, ki je potekalo od 13. do 17. maja 2019 v Londonu, vključil nov Dodatek 18 z naslovom Resolucija MEPC.321(74) o smernicah za pomorsko inšpekcijo države pristanišča iz leta 2019 v skladu s poglavjem 3 Priloge VI h konvenciji MARPOL. III 6 je potrdil spremembe postopkov za pomorsko inšpekcijo države pristanišča iz leta 2017 in odobril, da se predložijo v sprejetje na 31. zasedanju skupščine. </w:t>
      </w:r>
    </w:p>
    <w:p>
      <w:pPr>
        <w:pStyle w:val="ManualConsidrant"/>
        <w:rPr>
          <w:noProof/>
        </w:rPr>
      </w:pPr>
      <w:r>
        <w:t>(8)</w:t>
      </w:r>
      <w:r>
        <w:tab/>
      </w:r>
      <w:r>
        <w:rPr>
          <w:noProof/>
        </w:rPr>
        <w:t xml:space="preserve">Na III 5 je Pododbor spomnil, da je na prejšnjem zasedanju ustanovil korespondenčno skupino za pregled smernic za preglede v okviru usklajenega sistema za pregled in izdajo spričeval (HSSC) ter neizčrpnega seznama obveznosti na podlagi instrumentov, povezanih s Kodeksom o izvajanju instrumentov IMO (v nadaljnjem besedilu: Kodeks III), da bi nadaljevala s posodobitvijo smernic za preglede z vključitvijo zahtev, ki izhajajo iz sprememb ustreznih instrumentov IMO in bodo začele veljati do vključno 31. decembra 2019, da bi bil osnutek spremenjenih smernic za preglede v okviru HSSC predložen v sprejetje na 31. zasedanju skupščine. Odbor je na MSC 101, potem ko se je seznanil z rezultati III 5 in opredelil nekatera odprta vprašanja, pooblastil III 6, da o rezultatih svojega dela poroča neposredno na 31. zasedanju </w:t>
      </w:r>
      <w:r>
        <w:rPr>
          <w:noProof/>
        </w:rPr>
        <w:lastRenderedPageBreak/>
        <w:t xml:space="preserve">skupščine z namenom sprejetja na tej skupščini. III 6 je obravnaval spremembe smernic HSSC in potrdil, da se predložijo v sprejetje na 31. zasedanju skupščine. </w:t>
      </w:r>
    </w:p>
    <w:p>
      <w:pPr>
        <w:pStyle w:val="ManualConsidrant"/>
        <w:rPr>
          <w:noProof/>
        </w:rPr>
      </w:pPr>
      <w:r>
        <w:t>(9)</w:t>
      </w:r>
      <w:r>
        <w:tab/>
      </w:r>
      <w:r>
        <w:rPr>
          <w:noProof/>
        </w:rPr>
        <w:t xml:space="preserve">Stališče Unije izrazijo države članice Unije, ki so članice Mednarodne pomorske organizacije ter delujejo skupaj v interesu Unije – </w:t>
      </w:r>
    </w:p>
    <w:p>
      <w:pPr>
        <w:pStyle w:val="Formuledadoption"/>
        <w:rPr>
          <w:noProof/>
        </w:rPr>
      </w:pPr>
      <w:r>
        <w:rPr>
          <w:noProof/>
        </w:rPr>
        <w:t>SPREJEL NASLEDNJI SKLEP:</w:t>
      </w:r>
    </w:p>
    <w:p>
      <w:pPr>
        <w:pStyle w:val="Titrearticle"/>
        <w:rPr>
          <w:noProof/>
        </w:rPr>
      </w:pPr>
      <w:r>
        <w:rPr>
          <w:noProof/>
        </w:rPr>
        <w:t>Člen 1</w:t>
      </w:r>
    </w:p>
    <w:p>
      <w:pPr>
        <w:rPr>
          <w:noProof/>
        </w:rPr>
      </w:pPr>
      <w:r>
        <w:rPr>
          <w:noProof/>
        </w:rPr>
        <w:t>Stališče, ki naj se v imenu Evropske unije zastopa na 31. zasedanju skupščine Mednarodne pomorske organizacije (IMO), je, da se podpre sprejetje sprememb:</w:t>
      </w:r>
    </w:p>
    <w:p>
      <w:pPr>
        <w:pStyle w:val="Point0"/>
        <w:rPr>
          <w:noProof/>
        </w:rPr>
      </w:pPr>
      <w:r>
        <w:t>(a)</w:t>
      </w:r>
      <w:r>
        <w:tab/>
      </w:r>
      <w:r>
        <w:rPr>
          <w:noProof/>
        </w:rPr>
        <w:t>Resolucije A.658(16) o uporabi in namestitvi retro-odsevnih materialov v reševalni opremi, kot je določeno v Prilogi 27 k dokumentu IMO MSC 101/24,</w:t>
      </w:r>
    </w:p>
    <w:p>
      <w:pPr>
        <w:pStyle w:val="Point0"/>
        <w:rPr>
          <w:noProof/>
        </w:rPr>
      </w:pPr>
      <w:r>
        <w:t>(b)</w:t>
      </w:r>
      <w:r>
        <w:tab/>
      </w:r>
      <w:r>
        <w:rPr>
          <w:noProof/>
        </w:rPr>
        <w:t xml:space="preserve">postopkov za pomorsko inšpekcijo države pristanišča iz leta 2017 (Resolucija A.1119(30)), kot je določeno v Prilogi XX k dokumentu III 6/15, ter </w:t>
      </w:r>
    </w:p>
    <w:p>
      <w:pPr>
        <w:pStyle w:val="Point0"/>
        <w:rPr>
          <w:noProof/>
        </w:rPr>
      </w:pPr>
      <w:r>
        <w:t>(c)</w:t>
      </w:r>
      <w:r>
        <w:tab/>
      </w:r>
      <w:r>
        <w:rPr>
          <w:noProof/>
        </w:rPr>
        <w:t>smernic za preglede v okviru usklajenega sistema za pregled in izdajo spričeval (HSSC) (Resolucija A.1120(30)) in izdajo spričeval v okviru sistema HSSC iz leta 2015 (Resolucija A.1104(29)), kot je določeno v Prilogi XX k dokumentu III 6/15.</w:t>
      </w:r>
    </w:p>
    <w:p>
      <w:pPr>
        <w:pStyle w:val="Titrearticle"/>
        <w:rPr>
          <w:noProof/>
        </w:rPr>
      </w:pPr>
      <w:r>
        <w:rPr>
          <w:noProof/>
        </w:rPr>
        <w:t>Člen 2</w:t>
      </w:r>
    </w:p>
    <w:p>
      <w:pPr>
        <w:pStyle w:val="ManualNumPar1"/>
        <w:rPr>
          <w:noProof/>
        </w:rPr>
      </w:pPr>
      <w:r>
        <w:t>1.</w:t>
      </w:r>
      <w:r>
        <w:tab/>
      </w:r>
      <w:r>
        <w:rPr>
          <w:noProof/>
        </w:rPr>
        <w:t xml:space="preserve">Stališče iz člena 1 izrazijo države članice Unije, ki so članice Mednarodne pomorske organizacije ter delujejo skupaj v interesu Unije. </w:t>
      </w:r>
    </w:p>
    <w:p>
      <w:pPr>
        <w:pStyle w:val="ManualNumPar1"/>
        <w:rPr>
          <w:noProof/>
        </w:rPr>
      </w:pPr>
      <w:r>
        <w:t>2.</w:t>
      </w:r>
      <w:r>
        <w:tab/>
      </w:r>
      <w:r>
        <w:rPr>
          <w:noProof/>
        </w:rPr>
        <w:t xml:space="preserve">Dogovor o manjših spremembah stališča iz člena 1 je mogoč brez dodatnega sklepa Sveta. </w:t>
      </w:r>
    </w:p>
    <w:p>
      <w:pPr>
        <w:pStyle w:val="Titrearticle"/>
        <w:rPr>
          <w:noProof/>
        </w:rPr>
      </w:pPr>
      <w:r>
        <w:rPr>
          <w:noProof/>
        </w:rPr>
        <w:t>Člen 3</w:t>
      </w:r>
    </w:p>
    <w:p>
      <w:pPr>
        <w:rPr>
          <w:noProof/>
        </w:rPr>
      </w:pPr>
      <w:r>
        <w:rPr>
          <w:noProof/>
        </w:rPr>
        <w:t>Ta sklep začne veljati na dan sprejetja.</w:t>
      </w:r>
    </w:p>
    <w:p>
      <w:pPr>
        <w:pStyle w:val="Fait"/>
        <w:rPr>
          <w:noProof/>
        </w:rPr>
      </w:pPr>
      <w:r>
        <w:t>V Bruslju,</w:t>
      </w:r>
    </w:p>
    <w:p>
      <w:pPr>
        <w:pStyle w:val="Institutionquisigne"/>
        <w:rPr>
          <w:noProof/>
        </w:rPr>
      </w:pPr>
      <w:r>
        <w:rPr>
          <w:noProof/>
        </w:rPr>
        <w:tab/>
        <w:t>Za Svet</w:t>
      </w:r>
    </w:p>
    <w:p>
      <w:pPr>
        <w:pStyle w:val="Personnequisigne"/>
        <w:rPr>
          <w:noProof/>
        </w:rPr>
      </w:pPr>
      <w:r>
        <w:rPr>
          <w:noProof/>
        </w:rPr>
        <w:tab/>
        <w:t>Predsednik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ab/>
        <w:t>Leta 1982 je bilo ime spremenjeno v Mednarodno pomorsko organizacijo.</w:t>
      </w:r>
    </w:p>
  </w:footnote>
  <w:footnote w:id="2">
    <w:p>
      <w:pPr>
        <w:pStyle w:val="FootnoteText"/>
      </w:pPr>
      <w:r>
        <w:rPr>
          <w:rStyle w:val="FootnoteReference"/>
        </w:rPr>
        <w:footnoteRef/>
      </w:r>
      <w:r>
        <w:tab/>
        <w:t>UL L 257, 28.8.2014, str. 146.</w:t>
      </w:r>
    </w:p>
  </w:footnote>
  <w:footnote w:id="3">
    <w:p>
      <w:pPr>
        <w:pStyle w:val="FootnoteText"/>
      </w:pPr>
      <w:r>
        <w:rPr>
          <w:rStyle w:val="FootnoteReference"/>
        </w:rPr>
        <w:footnoteRef/>
      </w:r>
      <w:r>
        <w:tab/>
        <w:t>UL L 133, 30.8.2018, str. 1.</w:t>
      </w:r>
    </w:p>
  </w:footnote>
  <w:footnote w:id="4">
    <w:p>
      <w:pPr>
        <w:pStyle w:val="FootnoteText"/>
      </w:pPr>
      <w:r>
        <w:rPr>
          <w:rStyle w:val="FootnoteReference"/>
        </w:rPr>
        <w:footnoteRef/>
      </w:r>
      <w:r>
        <w:tab/>
      </w:r>
      <w:r>
        <w:rPr>
          <w:rStyle w:val="Emphasis"/>
          <w:i w:val="0"/>
          <w:color w:val="444444"/>
          <w:sz w:val="21"/>
          <w:szCs w:val="21"/>
        </w:rPr>
        <w:t>UL L 131, 28.5.2009, str. 57.</w:t>
      </w:r>
    </w:p>
  </w:footnote>
  <w:footnote w:id="5">
    <w:p>
      <w:pPr>
        <w:pStyle w:val="FootnoteText"/>
      </w:pPr>
      <w:r>
        <w:rPr>
          <w:rStyle w:val="FootnoteReference"/>
        </w:rPr>
        <w:footnoteRef/>
      </w:r>
      <w:r>
        <w:tab/>
      </w:r>
      <w:r>
        <w:rPr>
          <w:rStyle w:val="Emphasis"/>
          <w:i w:val="0"/>
          <w:color w:val="444444"/>
        </w:rPr>
        <w:t>UL L 131, 28.5.2009, str. 11.</w:t>
      </w:r>
    </w:p>
  </w:footnote>
  <w:footnote w:id="6">
    <w:p>
      <w:pPr>
        <w:pStyle w:val="FootnoteText"/>
      </w:pPr>
      <w:r>
        <w:rPr>
          <w:rStyle w:val="FootnoteReference"/>
        </w:rPr>
        <w:footnoteRef/>
      </w:r>
      <w:r>
        <w:tab/>
      </w:r>
      <w:r>
        <w:rPr>
          <w:rStyle w:val="Emphasis"/>
          <w:i w:val="0"/>
          <w:color w:val="444444"/>
        </w:rPr>
        <w:t>UL L 163, 25.6.2009, str. 1.</w:t>
      </w:r>
    </w:p>
  </w:footnote>
  <w:footnote w:id="7">
    <w:p>
      <w:pPr>
        <w:pStyle w:val="FootnoteText"/>
      </w:pPr>
      <w:r>
        <w:rPr>
          <w:rStyle w:val="FootnoteReference"/>
        </w:rPr>
        <w:footnoteRef/>
      </w:r>
      <w:r>
        <w:tab/>
        <w:t xml:space="preserve">Zadeva C-399/12, Nemčija proti Svetu (OIV), ECLI:EU:C:2014:2258, točka 64. </w:t>
      </w:r>
    </w:p>
  </w:footnote>
  <w:footnote w:id="8">
    <w:p>
      <w:pPr>
        <w:pStyle w:val="FootnoteText"/>
      </w:pPr>
      <w:r>
        <w:rPr>
          <w:rStyle w:val="FootnoteReference"/>
        </w:rPr>
        <w:footnoteRef/>
      </w:r>
      <w:r>
        <w:tab/>
        <w:t xml:space="preserve">Zadeva C-399/12, Nemčija proti Svetu (OIV), ECLI:EU:C:2014:2258, točke 61–64. </w:t>
      </w:r>
    </w:p>
  </w:footnote>
  <w:footnote w:id="9">
    <w:p>
      <w:pPr>
        <w:pStyle w:val="FootnoteText"/>
      </w:pPr>
      <w:r>
        <w:rPr>
          <w:rStyle w:val="FootnoteReference"/>
        </w:rPr>
        <w:footnoteRef/>
      </w:r>
      <w:r>
        <w:tab/>
      </w:r>
      <w:r>
        <w:rPr>
          <w:rStyle w:val="Emphasis"/>
          <w:i w:val="0"/>
          <w:color w:val="444444"/>
        </w:rPr>
        <w:t>UL L 163, 25.6.2009, str. 1.</w:t>
      </w:r>
    </w:p>
  </w:footnote>
  <w:footnote w:id="10">
    <w:p>
      <w:pPr>
        <w:pStyle w:val="FootnoteText"/>
      </w:pPr>
      <w:r>
        <w:rPr>
          <w:rStyle w:val="FootnoteReference"/>
        </w:rPr>
        <w:footnoteRef/>
      </w:r>
      <w:r>
        <w:tab/>
      </w:r>
      <w:r>
        <w:rPr>
          <w:rStyle w:val="Emphasis"/>
          <w:i w:val="0"/>
          <w:color w:val="444444"/>
          <w:sz w:val="21"/>
          <w:szCs w:val="21"/>
        </w:rPr>
        <w:t>UL L 131, 28.5.2009, str. 57.</w:t>
      </w:r>
    </w:p>
  </w:footnote>
  <w:footnote w:id="11">
    <w:p>
      <w:pPr>
        <w:pStyle w:val="FootnoteText"/>
      </w:pPr>
      <w:r>
        <w:rPr>
          <w:rStyle w:val="FootnoteReference"/>
        </w:rPr>
        <w:footnoteRef/>
      </w:r>
      <w:r>
        <w:tab/>
      </w:r>
      <w:r>
        <w:rPr>
          <w:rStyle w:val="Emphasis"/>
          <w:i w:val="0"/>
          <w:color w:val="444444"/>
        </w:rPr>
        <w:t>UL L 131, 28.5.2009, str.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1908D3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BD2636C"/>
    <w:lvl w:ilvl="0">
      <w:start w:val="1"/>
      <w:numFmt w:val="decimal"/>
      <w:pStyle w:val="ListNumber3"/>
      <w:lvlText w:val="%1."/>
      <w:lvlJc w:val="left"/>
      <w:pPr>
        <w:tabs>
          <w:tab w:val="num" w:pos="926"/>
        </w:tabs>
        <w:ind w:left="926" w:hanging="360"/>
      </w:pPr>
    </w:lvl>
  </w:abstractNum>
  <w:abstractNum w:abstractNumId="2">
    <w:nsid w:val="FFFFFF7F"/>
    <w:multiLevelType w:val="singleLevel"/>
    <w:tmpl w:val="BF64FCFC"/>
    <w:lvl w:ilvl="0">
      <w:start w:val="1"/>
      <w:numFmt w:val="decimal"/>
      <w:pStyle w:val="ListNumber2"/>
      <w:lvlText w:val="%1."/>
      <w:lvlJc w:val="left"/>
      <w:pPr>
        <w:tabs>
          <w:tab w:val="num" w:pos="643"/>
        </w:tabs>
        <w:ind w:left="643" w:hanging="360"/>
      </w:pPr>
    </w:lvl>
  </w:abstractNum>
  <w:abstractNum w:abstractNumId="3">
    <w:nsid w:val="FFFFFF81"/>
    <w:multiLevelType w:val="singleLevel"/>
    <w:tmpl w:val="475864B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E62460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346751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13AF120"/>
    <w:lvl w:ilvl="0">
      <w:start w:val="1"/>
      <w:numFmt w:val="decimal"/>
      <w:pStyle w:val="ListNumber"/>
      <w:lvlText w:val="%1."/>
      <w:lvlJc w:val="left"/>
      <w:pPr>
        <w:tabs>
          <w:tab w:val="num" w:pos="360"/>
        </w:tabs>
        <w:ind w:left="360" w:hanging="360"/>
      </w:pPr>
      <w:rPr>
        <w:rFonts w:hint="default"/>
      </w:rPr>
    </w:lvl>
  </w:abstractNum>
  <w:abstractNum w:abstractNumId="7">
    <w:nsid w:val="FFFFFF89"/>
    <w:multiLevelType w:val="singleLevel"/>
    <w:tmpl w:val="C1E60CA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num>
  <w:num w:numId="16">
    <w:abstractNumId w:val="18"/>
  </w:num>
  <w:num w:numId="17">
    <w:abstractNumId w:val="12"/>
  </w:num>
  <w:num w:numId="18">
    <w:abstractNumId w:val="20"/>
  </w:num>
  <w:num w:numId="19">
    <w:abstractNumId w:val="11"/>
  </w:num>
  <w:num w:numId="20">
    <w:abstractNumId w:val="13"/>
  </w:num>
  <w:num w:numId="21">
    <w:abstractNumId w:val="9"/>
  </w:num>
  <w:num w:numId="22">
    <w:abstractNumId w:val="19"/>
  </w:num>
  <w:num w:numId="23">
    <w:abstractNumId w:val="8"/>
  </w:num>
  <w:num w:numId="24">
    <w:abstractNumId w:val="14"/>
  </w:num>
  <w:num w:numId="25">
    <w:abstractNumId w:val="16"/>
  </w:num>
  <w:num w:numId="26">
    <w:abstractNumId w:val="17"/>
  </w:num>
  <w:num w:numId="27">
    <w:abstractNumId w:val="10"/>
  </w:num>
  <w:num w:numId="28">
    <w:abstractNumId w:val="15"/>
  </w:num>
  <w:num w:numId="29">
    <w:abstractNumId w:val="21"/>
  </w:num>
  <w:num w:numId="30">
    <w:abstractNumId w:val="18"/>
  </w:num>
  <w:num w:numId="31">
    <w:abstractNumId w:val="12"/>
  </w:num>
  <w:num w:numId="32">
    <w:abstractNumId w:val="20"/>
  </w:num>
  <w:num w:numId="33">
    <w:abstractNumId w:val="11"/>
  </w:num>
  <w:num w:numId="34">
    <w:abstractNumId w:val="13"/>
  </w:num>
  <w:num w:numId="35">
    <w:abstractNumId w:val="9"/>
  </w:num>
  <w:num w:numId="36">
    <w:abstractNumId w:val="19"/>
  </w:num>
  <w:num w:numId="37">
    <w:abstractNumId w:val="8"/>
  </w:num>
  <w:num w:numId="38">
    <w:abstractNumId w:val="14"/>
  </w:num>
  <w:num w:numId="39">
    <w:abstractNumId w:val="16"/>
  </w:num>
  <w:num w:numId="40">
    <w:abstractNumId w:val="17"/>
  </w:num>
  <w:num w:numId="41">
    <w:abstractNumId w:val="10"/>
  </w:num>
  <w:num w:numId="42">
    <w:abstractNumId w:val="15"/>
  </w:num>
  <w:num w:numId="43">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rawingGridHorizontalSpacing w:val="120"/>
  <w:displayHorizontalDrawingGridEvery w:val="2"/>
  <w:characterSpacingControl w:val="doNotCompress"/>
  <w:hdrShapeDefaults>
    <o:shapedefaults v:ext="edit" spidmax="17409"/>
  </w:hdrShapeDefaults>
  <w:footnotePr>
    <w:footnote w:id="-1"/>
    <w:footnote w:id="0"/>
  </w:footnotePr>
  <w:endnotePr>
    <w:endnote w:id="-1"/>
    <w:endnote w:id="0"/>
  </w:endnotePr>
  <w:compat>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
  <w:docVars>
    <w:docVar w:name="DQCDateTime" w:val="2019-10-28 12:29:25"/>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9C9BF5A5-F305-4F45-9962-7B0CB7B06D73"/>
    <w:docVar w:name="LW_COVERPAGE_TYPE" w:val="1"/>
    <w:docVar w:name="LW_CROSSREFERENCE" w:val="&lt;UNUSED&gt;"/>
    <w:docVar w:name="LW_DocType" w:val="COM"/>
    <w:docVar w:name="LW_EMISSION" w:val="6.11.2019"/>
    <w:docVar w:name="LW_EMISSION_ISODATE" w:val="2019-11-06"/>
    <w:docVar w:name="LW_EMISSION_LOCATION" w:val="BRX"/>
    <w:docVar w:name="LW_EMISSION_PREFIX" w:val="Bruselj,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NLE"/>
    <w:docVar w:name="LW_REF.II.NEW.CP_NUMBER" w:val="0248"/>
    <w:docVar w:name="LW_REF.II.NEW.CP_YEAR" w:val="2019"/>
    <w:docVar w:name="LW_REF.INST.NEW" w:val="COM"/>
    <w:docVar w:name="LW_REF.INST.NEW_ADOPTED" w:val="final"/>
    <w:docVar w:name="LW_REF.INST.NEW_TEXT" w:val="(2019) 57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edlog"/>
    <w:docVar w:name="LW_SUPERTITRE" w:val="&lt;UNUSED&gt;"/>
    <w:docVar w:name="LW_TITRE.OBJ.CP" w:val="o stali\u353?\u269?u, ki naj se v imenu Evropske unije zastopa v Mednarodni pomorski organizaciji (IMO) na 31. zasedanju skup\u353?\u269?ine IMO v zvezi s sprejetjem sprememb Resolucije A.658(16) o uporabi in namestitvi retro-odsevnih materialov v re\u353?evalni opremi, postopkov za pomorsko in\u353?pekcijo iz leta 2017 (Resolucija A.1119(30)) in smernic za preglede v okviru usklajenega sistema za pregled in izdajo spri\u269?eval (HSSC) (Resolucija A.1120(30))"/>
    <w:docVar w:name="LW_TYPE.DOC.CP" w:val="SKLEP SVETA"/>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TableofFigures">
    <w:name w:val="table of figures"/>
    <w:basedOn w:val="Normal"/>
    <w:next w:val="Normal"/>
    <w:semiHidden/>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Number">
    <w:name w:val="List Number"/>
    <w:basedOn w:val="Normal"/>
    <w:pPr>
      <w:numPr>
        <w:numId w:val="5"/>
      </w:numPr>
    </w:pPr>
  </w:style>
  <w:style w:type="paragraph" w:styleId="ListNumber2">
    <w:name w:val="List Number 2"/>
    <w:basedOn w:val="Normal"/>
    <w:pPr>
      <w:numPr>
        <w:numId w:val="6"/>
      </w:numPr>
    </w:pPr>
  </w:style>
  <w:style w:type="paragraph" w:styleId="ListNumber3">
    <w:name w:val="List Number 3"/>
    <w:basedOn w:val="Normal"/>
    <w:pPr>
      <w:numPr>
        <w:numId w:val="7"/>
      </w:numPr>
    </w:pPr>
  </w:style>
  <w:style w:type="paragraph" w:styleId="ListNumber4">
    <w:name w:val="List Number 4"/>
    <w:basedOn w:val="Normal"/>
    <w:pPr>
      <w:numPr>
        <w:numId w:val="8"/>
      </w:numPr>
    </w:pPr>
  </w:style>
  <w:style w:type="character" w:styleId="CommentReference">
    <w:name w:val="annotation reference"/>
    <w:semiHidden/>
    <w:rPr>
      <w:sz w:val="16"/>
      <w:szCs w:val="16"/>
      <w:shd w:val="clear" w:color="auto" w:fill="auto"/>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shd w:val="clear" w:color="auto" w:fill="auto"/>
    </w:rPr>
  </w:style>
  <w:style w:type="paragraph" w:styleId="BalloonText">
    <w:name w:val="Balloon Text"/>
    <w:basedOn w:val="Normal"/>
    <w:semiHidden/>
    <w:rPr>
      <w:rFonts w:ascii="Tahoma" w:hAnsi="Tahoma" w:cs="Tahoma"/>
      <w:sz w:val="16"/>
      <w:szCs w:val="16"/>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NormalWeb">
    <w:name w:val="Normal (Web)"/>
    <w:basedOn w:val="Normal"/>
    <w:uiPriority w:val="99"/>
    <w:unhideWhenUsed/>
    <w:pPr>
      <w:spacing w:before="100" w:beforeAutospacing="1" w:after="100" w:afterAutospacing="1"/>
      <w:jc w:val="left"/>
    </w:pPr>
    <w:rPr>
      <w:szCs w:val="24"/>
    </w:rPr>
  </w:style>
  <w:style w:type="character" w:styleId="Emphasis">
    <w:name w:val="Emphasis"/>
    <w:uiPriority w:val="20"/>
    <w:qFormat/>
    <w:rPr>
      <w:i/>
      <w:iC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543867">
      <w:bodyDiv w:val="1"/>
      <w:marLeft w:val="0"/>
      <w:marRight w:val="0"/>
      <w:marTop w:val="0"/>
      <w:marBottom w:val="0"/>
      <w:divBdr>
        <w:top w:val="none" w:sz="0" w:space="0" w:color="auto"/>
        <w:left w:val="none" w:sz="0" w:space="0" w:color="auto"/>
        <w:bottom w:val="none" w:sz="0" w:space="0" w:color="auto"/>
        <w:right w:val="none" w:sz="0" w:space="0" w:color="auto"/>
      </w:divBdr>
    </w:div>
    <w:div w:id="464469245">
      <w:bodyDiv w:val="1"/>
      <w:marLeft w:val="0"/>
      <w:marRight w:val="0"/>
      <w:marTop w:val="0"/>
      <w:marBottom w:val="0"/>
      <w:divBdr>
        <w:top w:val="none" w:sz="0" w:space="0" w:color="auto"/>
        <w:left w:val="none" w:sz="0" w:space="0" w:color="auto"/>
        <w:bottom w:val="none" w:sz="0" w:space="0" w:color="auto"/>
        <w:right w:val="none" w:sz="0" w:space="0" w:color="auto"/>
      </w:divBdr>
    </w:div>
    <w:div w:id="687412776">
      <w:bodyDiv w:val="1"/>
      <w:marLeft w:val="0"/>
      <w:marRight w:val="0"/>
      <w:marTop w:val="0"/>
      <w:marBottom w:val="0"/>
      <w:divBdr>
        <w:top w:val="none" w:sz="0" w:space="0" w:color="auto"/>
        <w:left w:val="none" w:sz="0" w:space="0" w:color="auto"/>
        <w:bottom w:val="none" w:sz="0" w:space="0" w:color="auto"/>
        <w:right w:val="none" w:sz="0" w:space="0" w:color="auto"/>
      </w:divBdr>
    </w:div>
    <w:div w:id="729812426">
      <w:bodyDiv w:val="1"/>
      <w:marLeft w:val="0"/>
      <w:marRight w:val="0"/>
      <w:marTop w:val="0"/>
      <w:marBottom w:val="0"/>
      <w:divBdr>
        <w:top w:val="none" w:sz="0" w:space="0" w:color="auto"/>
        <w:left w:val="none" w:sz="0" w:space="0" w:color="auto"/>
        <w:bottom w:val="none" w:sz="0" w:space="0" w:color="auto"/>
        <w:right w:val="none" w:sz="0" w:space="0" w:color="auto"/>
      </w:divBdr>
    </w:div>
    <w:div w:id="772287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423BD-5803-4232-801C-7DC981E2A5E7}">
  <ds:schemaRefs>
    <ds:schemaRef ds:uri="http://schemas.microsoft.com/office/2006/metadata/longProperties"/>
  </ds:schemaRefs>
</ds:datastoreItem>
</file>

<file path=customXml/itemProps2.xml><?xml version="1.0" encoding="utf-8"?>
<ds:datastoreItem xmlns:ds="http://schemas.openxmlformats.org/officeDocument/2006/customXml" ds:itemID="{86D5B44F-48BC-498C-953B-12139A52D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11</Pages>
  <Words>3727</Words>
  <Characters>21472</Characters>
  <Application>Microsoft Office Word</Application>
  <DocSecurity>0</DocSecurity>
  <Lines>357</Lines>
  <Paragraphs>124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2019-10-14T14:12:00Z</dcterms:created>
  <dcterms:modified xsi:type="dcterms:W3CDTF">2019-10-28T11:29:00Z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7.0, Build 20190717</vt:lpwstr>
  </property>
  <property fmtid="{D5CDD505-2E9C-101B-9397-08002B2CF9AE}" pid="3" name="Category">
    <vt:lpwstr>COM/PL/ORG</vt:lpwstr>
  </property>
  <property fmtid="{D5CDD505-2E9C-101B-9397-08002B2CF9AE}" pid="4" name="Part">
    <vt:lpwstr>1</vt:lpwstr>
  </property>
  <property fmtid="{D5CDD505-2E9C-101B-9397-08002B2CF9AE}" pid="5" name="Total parts">
    <vt:lpwstr>1</vt:lpwstr>
  </property>
  <property fmtid="{D5CDD505-2E9C-101B-9397-08002B2CF9AE}" pid="6" name="LWTemplateID">
    <vt:lpwstr>SJ-019</vt:lpwstr>
  </property>
  <property fmtid="{D5CDD505-2E9C-101B-9397-08002B2CF9AE}" pid="7" name="Level of sensitivity">
    <vt:lpwstr>Standard treatment</vt:lpwstr>
  </property>
  <property fmtid="{D5CDD505-2E9C-101B-9397-08002B2CF9AE}" pid="8" name="DQCStatus">
    <vt:lpwstr>Green (DQC version 03)</vt:lpwstr>
  </property>
</Properties>
</file>