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813BFAA4-ADB5-41B7-A11C-50DA2AD11254" style="width:450.75pt;height:333.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1"/>
        <w:spacing w:after="240"/>
        <w:ind w:left="714" w:hanging="357"/>
        <w:rPr>
          <w:noProof/>
        </w:rPr>
      </w:pPr>
      <w:bookmarkStart w:id="1" w:name="_GoBack"/>
      <w:bookmarkEnd w:id="1"/>
      <w:r>
        <w:rPr>
          <w:noProof/>
        </w:rPr>
        <w:lastRenderedPageBreak/>
        <w:t>PLNĚNÍ MEZINÁRODNÍCH ZÁVAZKŮ EU</w:t>
      </w:r>
    </w:p>
    <w:p>
      <w:pPr>
        <w:jc w:val="both"/>
        <w:rPr>
          <w:rFonts w:ascii="Times New Roman" w:hAnsi="Times New Roman" w:cs="Times New Roman"/>
          <w:b/>
          <w:i/>
          <w:noProof/>
          <w:sz w:val="24"/>
        </w:rPr>
      </w:pPr>
      <w:r>
        <w:rPr>
          <w:rFonts w:ascii="Times New Roman" w:hAnsi="Times New Roman"/>
          <w:b/>
          <w:i/>
          <w:noProof/>
        </w:rPr>
        <w:t>Stanovení vize dosažení klimatické neutrality do roku 2050</w:t>
      </w:r>
    </w:p>
    <w:p>
      <w:pPr>
        <w:jc w:val="both"/>
        <w:rPr>
          <w:rFonts w:ascii="Times New Roman" w:hAnsi="Times New Roman" w:cs="Times New Roman"/>
          <w:noProof/>
          <w:sz w:val="24"/>
        </w:rPr>
      </w:pPr>
      <w:r>
        <w:rPr>
          <w:rFonts w:ascii="Times New Roman" w:hAnsi="Times New Roman"/>
          <w:noProof/>
        </w:rPr>
        <w:t>V listopadu 2018 představila Evropská komise svou strategickou vizi „Čistá planeta pro všechny“</w:t>
      </w:r>
      <w:r>
        <w:rPr>
          <w:rStyle w:val="FootnoteReference"/>
          <w:rFonts w:ascii="Times New Roman" w:hAnsi="Times New Roman" w:cs="Times New Roman"/>
          <w:noProof/>
        </w:rPr>
        <w:footnoteReference w:id="1"/>
      </w:r>
      <w:r>
        <w:rPr>
          <w:rFonts w:ascii="Times New Roman" w:hAnsi="Times New Roman"/>
          <w:noProof/>
        </w:rPr>
        <w:t xml:space="preserve">. Tato strategie ukazuje, že Evropa může směřovat ke klimatické neutralitě, pokud bude investovat do realistických technologických řešení, zvýší participaci občanů a sladí opatření v klíčových oblastech, jako je průmyslová politika, finance či výzkum, a pokud zároveň zajistí sociální spravedlnost tak, aby přechod na tuto ekonomiku proběhl spravedlivým způsobem. Obrázek 1 ukazuje jednu z možných cest k dosažení nulových čistých emisí skleníkových plynů v roce 2050. </w:t>
      </w:r>
    </w:p>
    <w:p>
      <w:pPr>
        <w:jc w:val="both"/>
        <w:rPr>
          <w:rFonts w:ascii="Times New Roman" w:hAnsi="Times New Roman" w:cs="Times New Roman"/>
          <w:noProof/>
          <w:sz w:val="24"/>
        </w:rPr>
      </w:pPr>
    </w:p>
    <w:p>
      <w:pPr>
        <w:pStyle w:val="Caption"/>
        <w:jc w:val="both"/>
        <w:rPr>
          <w:noProof/>
        </w:rPr>
      </w:pPr>
      <w:r>
        <w:rPr>
          <w:noProof/>
          <w:lang w:val="en-GB" w:eastAsia="en-GB"/>
        </w:rPr>
        <w:drawing>
          <wp:inline distT="0" distB="0" distL="0" distR="0">
            <wp:extent cx="5600700" cy="402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0700" cy="4029075"/>
                    </a:xfrm>
                    <a:prstGeom prst="rect">
                      <a:avLst/>
                    </a:prstGeom>
                    <a:noFill/>
                    <a:ln>
                      <a:noFill/>
                    </a:ln>
                  </pic:spPr>
                </pic:pic>
              </a:graphicData>
            </a:graphic>
          </wp:inline>
        </w:drawing>
      </w:r>
    </w:p>
    <w:p>
      <w:pPr>
        <w:pStyle w:val="Caption"/>
        <w:jc w:val="both"/>
        <w:rPr>
          <w:rFonts w:ascii="Times New Roman" w:hAnsi="Times New Roman"/>
          <w:noProof/>
          <w:sz w:val="24"/>
        </w:rPr>
      </w:pPr>
      <w:r>
        <w:rPr>
          <w:noProof/>
        </w:rPr>
        <w:t xml:space="preserve">Obrázek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Křivka emisí skleníkových plynů v EU při nárůstu teploty o 1,5 stupně</w:t>
      </w:r>
      <w:r>
        <w:rPr>
          <w:rStyle w:val="FootnoteReference"/>
          <w:noProof/>
        </w:rPr>
        <w:footnoteReference w:id="2"/>
      </w:r>
    </w:p>
    <w:p>
      <w:pPr>
        <w:jc w:val="both"/>
        <w:rPr>
          <w:rFonts w:ascii="Times New Roman" w:hAnsi="Times New Roman" w:cs="Times New Roman"/>
          <w:noProof/>
          <w:sz w:val="24"/>
        </w:rPr>
      </w:pPr>
      <w:r>
        <w:rPr>
          <w:rFonts w:ascii="Times New Roman" w:hAnsi="Times New Roman"/>
          <w:noProof/>
        </w:rPr>
        <w:t>Strategická vize Komise je výzvou pro všechny instituce EU, vnitrostátní parlamenty, podnikatelský sektor, nevládní organizace, města a obce a také pro občany (zejména pro mladé lidi), aby se podíleli na zjištění toho, aby EU  v této oblasti  i nadále hrála vedoucí úlohu a motivovala další mezinárodní partnery ke stejnému úsilí. Strategická vize Komise byla v průběhu roku 2019 předmětem rozsáhlých diskusí mezi orgány EU a zúčastněnými stranami. Tato fundovaná diskuse je krokem k přijetí a předložení ambiciózní dlouhodobé strategie jakožto příspěvku k Rámcové úmluvě Organizace spojených národů o změně klimatu (UNFCCC) do začátku roku 2020, jak vyžaduje Pařížská dohoda.</w:t>
      </w:r>
    </w:p>
    <w:p>
      <w:pPr>
        <w:pStyle w:val="Heading2"/>
        <w:spacing w:after="120"/>
        <w:rPr>
          <w:noProof/>
        </w:rPr>
      </w:pPr>
      <w:r>
        <w:rPr>
          <w:noProof/>
        </w:rPr>
        <w:t>I když v roce 2018 hospodářství EU nadále rostlo, emise skleníkových plynů se snížily o 2,0 %.</w:t>
      </w:r>
    </w:p>
    <w:p>
      <w:pPr>
        <w:jc w:val="both"/>
        <w:rPr>
          <w:rFonts w:ascii="Times New Roman" w:hAnsi="Times New Roman" w:cs="Times New Roman"/>
          <w:noProof/>
          <w:sz w:val="24"/>
        </w:rPr>
      </w:pPr>
      <w:r>
        <w:rPr>
          <w:rFonts w:ascii="Times New Roman" w:hAnsi="Times New Roman"/>
          <w:noProof/>
        </w:rPr>
        <w:t>Podle předběžných údajů (viz obrázek 2) se emise skleníkových plynů v EU (včetně mezinárodní letecké dopravy) v roce 2018 snížily oproti hodnotám z roku 1990 o 23 %. EU je tedy na dobré cestě k dosažení svého cíle podle Rámcové úmluvy OSN o změně klimatu, jímž je snížení emisí skleníkových plynů do roku 2020 o 20 %</w:t>
      </w:r>
      <w:r>
        <w:rPr>
          <w:rStyle w:val="FootnoteReference"/>
          <w:rFonts w:ascii="Times New Roman" w:hAnsi="Times New Roman" w:cs="Times New Roman"/>
          <w:noProof/>
        </w:rPr>
        <w:footnoteReference w:id="3"/>
      </w:r>
      <w:r>
        <w:rPr>
          <w:rFonts w:ascii="Times New Roman" w:hAnsi="Times New Roman"/>
          <w:noProof/>
        </w:rPr>
        <w:t>. V roce 2018 byly emise o 2,0 % nižší než v roce 2017. Emise skleníkových plynů v EU tedy byly na nejnižší úrovni od roku 1990. Od roku 1990 do roku 2018 vzrostl kombinovaný HDP EU o 61 %. Intenzita emisí skleníkových plynů v hospodářství, definovaná jako poměr mezi emisemi a HDP klesla na 303 g ekv. CO</w:t>
      </w:r>
      <w:r>
        <w:rPr>
          <w:rFonts w:ascii="Times New Roman" w:hAnsi="Times New Roman"/>
          <w:noProof/>
          <w:vertAlign w:val="subscript"/>
        </w:rPr>
        <w:t>2</w:t>
      </w:r>
      <w:r>
        <w:rPr>
          <w:rFonts w:ascii="Times New Roman" w:hAnsi="Times New Roman"/>
          <w:noProof/>
        </w:rPr>
        <w:t>/EUR, což je méně než polovina z roku 1990.</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noProof/>
          <w:lang w:val="en-GB" w:eastAsia="en-GB"/>
        </w:rPr>
        <w:drawing>
          <wp:inline distT="0" distB="0" distL="0" distR="0">
            <wp:extent cx="5731510" cy="3570449"/>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570449"/>
                    </a:xfrm>
                    <a:prstGeom prst="rect">
                      <a:avLst/>
                    </a:prstGeom>
                    <a:noFill/>
                    <a:ln>
                      <a:noFill/>
                    </a:ln>
                  </pic:spPr>
                </pic:pic>
              </a:graphicData>
            </a:graphic>
          </wp:inline>
        </w:drawing>
      </w:r>
    </w:p>
    <w:p>
      <w:pPr>
        <w:pStyle w:val="Caption"/>
        <w:rPr>
          <w:noProof/>
        </w:rPr>
      </w:pPr>
      <w:r>
        <w:rPr>
          <w:noProof/>
        </w:rPr>
        <w:t xml:space="preserve">Obrázek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Celkové emise skleníkových plynů v EU včetně emisí z mezinárodní letecké dopravy (historické emise 1990–2018, předpokládané emise se stávajícími a s dodatečnými</w:t>
      </w:r>
      <w:r>
        <w:rPr>
          <w:rStyle w:val="FootnoteReference"/>
          <w:noProof/>
        </w:rPr>
        <w:footnoteReference w:id="4"/>
      </w:r>
      <w:r>
        <w:rPr>
          <w:noProof/>
        </w:rPr>
        <w:t xml:space="preserve"> opatřeními na období 2019–2030) a cíle snižování emisí skleníkových plynů.</w:t>
      </w:r>
      <w:r>
        <w:rPr>
          <w:rFonts w:ascii="Times New Roman" w:hAnsi="Times New Roman"/>
          <w:noProof/>
        </w:rPr>
        <w:t xml:space="preserve"> </w:t>
      </w:r>
    </w:p>
    <w:p>
      <w:pPr>
        <w:jc w:val="both"/>
        <w:rPr>
          <w:rFonts w:ascii="Times New Roman" w:hAnsi="Times New Roman" w:cs="Times New Roman"/>
          <w:noProof/>
          <w:sz w:val="24"/>
        </w:rPr>
      </w:pPr>
      <w:r>
        <w:rPr>
          <w:rFonts w:ascii="Times New Roman" w:hAnsi="Times New Roman"/>
          <w:noProof/>
        </w:rPr>
        <w:t>Emise ze stacionárních zařízení, na něž se vztahuje systém EU pro obchodování s emisemi (EU ETS) a které nejčastěji pocházejí z výroby elektřiny a tepla a z průmyslu, poklesly mezi roky 2017 a 2018 o 4,1 %</w:t>
      </w:r>
      <w:r>
        <w:rPr>
          <w:rStyle w:val="FootnoteReference"/>
          <w:rFonts w:ascii="Times New Roman" w:hAnsi="Times New Roman" w:cs="Times New Roman"/>
          <w:noProof/>
        </w:rPr>
        <w:footnoteReference w:id="5"/>
      </w:r>
      <w:r>
        <w:rPr>
          <w:rFonts w:ascii="Times New Roman" w:hAnsi="Times New Roman"/>
          <w:noProof/>
        </w:rPr>
        <w:t xml:space="preserve">. Ke snížení došlo zejména při výrobě elektřiny a tepla, což je v souladu s trendem posledních pěti let, kdy emise z tohoto odvětví výrazně poklesly. Tento vývoj odráží především změny v palivech používaných k výrobě tepla a elektřiny, včetně nárůstu využívání obnovitelných zdrojů energie. </w:t>
      </w:r>
    </w:p>
    <w:p>
      <w:pPr>
        <w:jc w:val="both"/>
        <w:rPr>
          <w:rFonts w:ascii="Times New Roman" w:hAnsi="Times New Roman" w:cs="Times New Roman"/>
          <w:noProof/>
          <w:sz w:val="24"/>
        </w:rPr>
      </w:pPr>
      <w:r>
        <w:rPr>
          <w:rFonts w:ascii="Times New Roman" w:hAnsi="Times New Roman"/>
          <w:noProof/>
        </w:rPr>
        <w:t xml:space="preserve">Emise, na něž se nevztahuje EU ETS (jako jsou emise z dopravy, stavebnictví, zemědělství a odpadu), se mezi roky 2017 a 2018 snížily o 0,9 %. Ke snížení dochází po třech letech, během nichž emise z těchto odvětví mírně rostly. Snížení lze připsat především využívání energie v budovách. Emise ze zemědělství se rovněž mírně snížily, zatímco v porovnání s rokem 2017 došlo k malému nárůstu emisí z dopravy. </w:t>
      </w:r>
    </w:p>
    <w:p>
      <w:pPr>
        <w:jc w:val="both"/>
        <w:rPr>
          <w:rFonts w:ascii="Times New Roman" w:hAnsi="Times New Roman" w:cs="Times New Roman"/>
          <w:noProof/>
          <w:sz w:val="24"/>
        </w:rPr>
      </w:pPr>
      <w:r>
        <w:rPr>
          <w:rFonts w:ascii="Times New Roman" w:hAnsi="Times New Roman"/>
          <w:noProof/>
        </w:rPr>
        <w:t xml:space="preserve">Kromě toho se v roce 2018 dále zvyšovaly emise z mezinárodní letecké dopravy, za posledních pět let vzrostly o 19 %. Tyto emise jsou v podstatě zahrnuty do EU ETS, v současnosti však existuje omezení na lety v Evropském hospodářském prostoru (EHP). </w:t>
      </w:r>
    </w:p>
    <w:p>
      <w:pPr>
        <w:overflowPunct w:val="0"/>
        <w:autoSpaceDE w:val="0"/>
        <w:autoSpaceDN w:val="0"/>
        <w:adjustRightInd w:val="0"/>
        <w:spacing w:after="120" w:line="276" w:lineRule="auto"/>
        <w:jc w:val="both"/>
        <w:textAlignment w:val="baseline"/>
        <w:rPr>
          <w:rFonts w:ascii="Times New Roman" w:eastAsia="Times New Roman" w:hAnsi="Times New Roman" w:cs="Times New Roman"/>
          <w:b/>
          <w:noProof/>
          <w:color w:val="000000"/>
          <w:sz w:val="24"/>
          <w:szCs w:val="24"/>
        </w:rPr>
      </w:pPr>
      <w:r>
        <w:rPr>
          <w:rStyle w:val="Heading2Char"/>
          <w:noProof/>
        </w:rPr>
        <w:t>EU zavedla právní předpisy k dosažení cíle pro rok 2030</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 xml:space="preserve">Unie oznámila výši vnitrostátně stanoveného příspěvku podle Pařížské dohody – snížení domácích emisí skleníkových plynů do roku 2030 nejméně o 40 % v porovnání s rokem 1990. Jak je uvedeno na obrázku 3, zavedla EU právní předpisy, které jí umožní tomuto závazku dostát. Účinné provádění všech cílů v oblasti klimatu, energetiky a mobility stanovených v právu Unie by mohlo dokonce vést ke snížení emisí skleníkových plynů v roce 2030 v EU-28 až o 45 % v porovnání s rokem 1990. </w:t>
      </w:r>
    </w:p>
    <w:p>
      <w:pPr>
        <w:pStyle w:val="Heading2"/>
        <w:spacing w:after="120"/>
        <w:rPr>
          <w:noProof/>
        </w:rPr>
      </w:pPr>
      <w:r>
        <w:rPr>
          <w:noProof/>
        </w:rPr>
        <w:t xml:space="preserve">Spolupráce s Norskem a Islandem na dosažení cíle pro rok 2030 </w:t>
      </w:r>
    </w:p>
    <w:p>
      <w:pPr>
        <w:pStyle w:val="Heading2"/>
        <w:rPr>
          <w:b w:val="0"/>
          <w:i w:val="0"/>
          <w:noProof/>
        </w:rPr>
      </w:pPr>
      <w:r>
        <w:rPr>
          <w:b w:val="0"/>
          <w:i w:val="0"/>
          <w:noProof/>
        </w:rPr>
        <w:t>Norsko a Island se dohodly, že budou při plnění svých cílů v oblasti snížení emisí skleníkových plynů do roku 2030 alespoň o 40 % ve srovnání s úrovněmi v roce 1990 spolupracovat s EU. V kontextu Dohody o EHP budou Norsko a Island od roku 2021 provádět nařízení o „sdílení úsilí“ a nařízení o LULUCF. Norsko a Island se účastní systému EU ETS již od roku 2008.</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p>
    <w:tbl>
      <w:tblPr>
        <w:tblW w:w="8931" w:type="dxa"/>
        <w:tblInd w:w="108" w:type="dxa"/>
        <w:tblLook w:val="0420" w:firstRow="1" w:lastRow="0" w:firstColumn="0" w:lastColumn="0" w:noHBand="0" w:noVBand="1"/>
      </w:tblPr>
      <w:tblGrid>
        <w:gridCol w:w="1103"/>
        <w:gridCol w:w="1206"/>
        <w:gridCol w:w="1418"/>
        <w:gridCol w:w="1276"/>
        <w:gridCol w:w="1251"/>
        <w:gridCol w:w="1411"/>
        <w:gridCol w:w="1266"/>
      </w:tblGrid>
      <w:tr>
        <w:trPr>
          <w:trHeight w:val="367"/>
        </w:trPr>
        <w:tc>
          <w:tcPr>
            <w:tcW w:w="1133" w:type="dxa"/>
            <w:vMerge w:val="restart"/>
            <w:tcBorders>
              <w:top w:val="single" w:sz="4" w:space="0" w:color="4472C4"/>
              <w:left w:val="single" w:sz="4" w:space="0" w:color="4472C4"/>
              <w:bottom w:val="dotted" w:sz="4" w:space="0" w:color="D9D9D9"/>
              <w:right w:val="dotted" w:sz="4" w:space="0" w:color="D9D9D9"/>
            </w:tcBorders>
            <w:shd w:val="clear" w:color="auto" w:fill="auto"/>
            <w:hideMark/>
          </w:tcPr>
          <w:p>
            <w:pPr>
              <w:spacing w:after="0" w:line="240" w:lineRule="auto"/>
              <w:jc w:val="both"/>
              <w:rPr>
                <w:rFonts w:ascii="Calibri" w:eastAsia="Times New Roman" w:hAnsi="Calibri" w:cs="Times New Roman"/>
                <w:noProof/>
                <w:color w:val="000000"/>
              </w:rPr>
            </w:pPr>
            <w:r>
              <w:rPr>
                <w:rFonts w:ascii="Calibri" w:hAnsi="Calibri"/>
                <w:noProof/>
              </w:rPr>
              <w:t> </w:t>
            </w:r>
          </w:p>
        </w:tc>
        <w:tc>
          <w:tcPr>
            <w:tcW w:w="1135"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EMISE SKLENÍKOVÝCH PLYNŮ</w:t>
            </w:r>
          </w:p>
        </w:tc>
        <w:tc>
          <w:tcPr>
            <w:tcW w:w="1418"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ENERGIE Z OBNOVITELNÝCH ZDROJŮ</w:t>
            </w:r>
          </w:p>
        </w:tc>
        <w:tc>
          <w:tcPr>
            <w:tcW w:w="1276"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ENERGETICKÁ ÚČINNOST</w:t>
            </w:r>
          </w:p>
        </w:tc>
        <w:tc>
          <w:tcPr>
            <w:tcW w:w="1275"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VZÁJEMNÉ PROPOJENÍ</w:t>
            </w:r>
          </w:p>
        </w:tc>
        <w:tc>
          <w:tcPr>
            <w:tcW w:w="1418" w:type="dxa"/>
            <w:tcBorders>
              <w:top w:val="single" w:sz="4" w:space="0" w:color="4472C4"/>
              <w:left w:val="nil"/>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KLIMA V</w:t>
            </w:r>
          </w:p>
        </w:tc>
        <w:tc>
          <w:tcPr>
            <w:tcW w:w="1276" w:type="dxa"/>
            <w:tcBorders>
              <w:top w:val="single" w:sz="4" w:space="0" w:color="4472C4"/>
              <w:left w:val="nil"/>
              <w:bottom w:val="nil"/>
              <w:right w:val="single" w:sz="4" w:space="0" w:color="4472C4"/>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CO</w:t>
            </w:r>
            <w:r>
              <w:rPr>
                <w:rFonts w:ascii="EC Square Sans Pro" w:hAnsi="EC Square Sans Pro"/>
                <w:b/>
                <w:bCs/>
                <w:noProof/>
                <w:color w:val="094E9C"/>
                <w:sz w:val="14"/>
                <w:szCs w:val="14"/>
                <w:vertAlign w:val="subscript"/>
              </w:rPr>
              <w:t>2</w:t>
            </w:r>
          </w:p>
        </w:tc>
      </w:tr>
      <w:tr>
        <w:trPr>
          <w:trHeight w:val="733"/>
        </w:trPr>
        <w:tc>
          <w:tcPr>
            <w:tcW w:w="1133" w:type="dxa"/>
            <w:vMerge/>
            <w:tcBorders>
              <w:top w:val="single" w:sz="4" w:space="0" w:color="4472C4"/>
              <w:left w:val="single" w:sz="4" w:space="0" w:color="4472C4"/>
              <w:bottom w:val="dotted" w:sz="4" w:space="0" w:color="D9D9D9"/>
              <w:right w:val="dotted" w:sz="4" w:space="0" w:color="D9D9D9"/>
            </w:tcBorders>
            <w:vAlign w:val="center"/>
            <w:hideMark/>
          </w:tcPr>
          <w:p>
            <w:pPr>
              <w:spacing w:after="0" w:line="240" w:lineRule="auto"/>
              <w:jc w:val="both"/>
              <w:rPr>
                <w:rFonts w:ascii="Calibri" w:eastAsia="Times New Roman" w:hAnsi="Calibri" w:cs="Times New Roman"/>
                <w:noProof/>
                <w:color w:val="000000"/>
              </w:rPr>
            </w:pPr>
          </w:p>
        </w:tc>
        <w:tc>
          <w:tcPr>
            <w:tcW w:w="1135"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418"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276"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275"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418" w:type="dxa"/>
            <w:tcBorders>
              <w:top w:val="nil"/>
              <w:left w:val="nil"/>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PROGRAMECH FINANCOVANÝCH Z PROSTŘEDKŮ EU</w:t>
            </w:r>
          </w:p>
        </w:tc>
        <w:tc>
          <w:tcPr>
            <w:tcW w:w="1276" w:type="dxa"/>
            <w:tcBorders>
              <w:top w:val="nil"/>
              <w:left w:val="nil"/>
              <w:bottom w:val="dotted" w:sz="4" w:space="0" w:color="D9D9D9"/>
              <w:right w:val="single" w:sz="4" w:space="0" w:color="4472C4"/>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Z</w:t>
            </w:r>
          </w:p>
        </w:tc>
      </w:tr>
      <w:tr>
        <w:trPr>
          <w:trHeight w:val="301"/>
        </w:trPr>
        <w:tc>
          <w:tcPr>
            <w:tcW w:w="1133" w:type="dxa"/>
            <w:vMerge w:val="restart"/>
            <w:tcBorders>
              <w:top w:val="nil"/>
              <w:left w:val="single" w:sz="4" w:space="0" w:color="4472C4"/>
              <w:bottom w:val="dotted" w:sz="4" w:space="0" w:color="D9D9D9"/>
              <w:right w:val="dotted" w:sz="4" w:space="0" w:color="D9D9D9"/>
            </w:tcBorders>
            <w:shd w:val="clear" w:color="auto" w:fill="auto"/>
            <w:vAlign w:val="center"/>
            <w:hideMark/>
          </w:tcPr>
          <w:p>
            <w:pPr>
              <w:spacing w:after="0" w:line="240" w:lineRule="auto"/>
              <w:jc w:val="both"/>
              <w:rPr>
                <w:rFonts w:ascii="EC Square Sans Pro" w:eastAsia="Times New Roman" w:hAnsi="EC Square Sans Pro" w:cs="Times New Roman"/>
                <w:b/>
                <w:bCs/>
                <w:noProof/>
                <w:color w:val="094E9C"/>
                <w:sz w:val="21"/>
                <w:szCs w:val="21"/>
              </w:rPr>
            </w:pPr>
            <w:r>
              <w:rPr>
                <w:rFonts w:ascii="EC Square Sans Pro" w:hAnsi="EC Square Sans Pro"/>
                <w:b/>
                <w:bCs/>
                <w:noProof/>
                <w:color w:val="094E9C"/>
                <w:sz w:val="21"/>
                <w:szCs w:val="21"/>
              </w:rPr>
              <w:t>2020</w:t>
            </w:r>
          </w:p>
        </w:tc>
        <w:tc>
          <w:tcPr>
            <w:tcW w:w="1135"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418"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276"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275"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10 %</w:t>
            </w:r>
          </w:p>
        </w:tc>
        <w:tc>
          <w:tcPr>
            <w:tcW w:w="1418" w:type="dxa"/>
            <w:tcBorders>
              <w:top w:val="nil"/>
              <w:left w:val="nil"/>
              <w:bottom w:val="nil"/>
              <w:right w:val="dotted" w:sz="4" w:space="0" w:color="D9D9D9"/>
            </w:tcBorders>
            <w:shd w:val="clear" w:color="auto" w:fill="auto"/>
            <w:vAlign w:val="center"/>
            <w:hideMark/>
          </w:tcPr>
          <w:p>
            <w:pPr>
              <w:spacing w:after="0" w:line="240" w:lineRule="auto"/>
              <w:jc w:val="center"/>
              <w:rPr>
                <w:rFonts w:ascii="EC Square Sans Pro Medium" w:eastAsia="Times New Roman" w:hAnsi="EC Square Sans Pro Medium" w:cs="Times New Roman"/>
                <w:noProof/>
                <w:color w:val="808080"/>
                <w:sz w:val="16"/>
                <w:szCs w:val="16"/>
              </w:rPr>
            </w:pPr>
            <w:r>
              <w:rPr>
                <w:rFonts w:ascii="EC Square Sans Pro Medium" w:hAnsi="EC Square Sans Pro Medium"/>
                <w:noProof/>
                <w:color w:val="808080"/>
                <w:sz w:val="16"/>
                <w:szCs w:val="16"/>
              </w:rPr>
              <w:t>2014–2020</w:t>
            </w:r>
          </w:p>
        </w:tc>
        <w:tc>
          <w:tcPr>
            <w:tcW w:w="1276" w:type="dxa"/>
            <w:vMerge w:val="restart"/>
            <w:tcBorders>
              <w:top w:val="nil"/>
              <w:left w:val="dotted" w:sz="4" w:space="0" w:color="D9D9D9"/>
              <w:bottom w:val="nil"/>
              <w:right w:val="single" w:sz="4" w:space="0" w:color="4472C4"/>
            </w:tcBorders>
            <w:shd w:val="clear" w:color="auto" w:fill="auto"/>
            <w:hideMark/>
          </w:tcPr>
          <w:p>
            <w:pPr>
              <w:spacing w:after="0" w:line="240" w:lineRule="auto"/>
              <w:jc w:val="center"/>
              <w:rPr>
                <w:rFonts w:ascii="Calibri" w:eastAsia="Times New Roman" w:hAnsi="Calibri" w:cs="Times New Roman"/>
                <w:noProof/>
                <w:color w:val="000000"/>
              </w:rPr>
            </w:pPr>
          </w:p>
        </w:tc>
      </w:tr>
      <w:tr>
        <w:trPr>
          <w:trHeight w:val="380"/>
        </w:trPr>
        <w:tc>
          <w:tcPr>
            <w:tcW w:w="1133" w:type="dxa"/>
            <w:vMerge/>
            <w:tcBorders>
              <w:top w:val="nil"/>
              <w:left w:val="single" w:sz="4" w:space="0" w:color="4472C4"/>
              <w:bottom w:val="dotted" w:sz="4" w:space="0" w:color="D9D9D9"/>
              <w:right w:val="dotted" w:sz="4" w:space="0" w:color="D9D9D9"/>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135"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418"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276"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275"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418" w:type="dxa"/>
            <w:tcBorders>
              <w:top w:val="nil"/>
              <w:left w:val="nil"/>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276" w:type="dxa"/>
            <w:vMerge/>
            <w:tcBorders>
              <w:top w:val="nil"/>
              <w:left w:val="dotted" w:sz="4" w:space="0" w:color="D9D9D9"/>
              <w:bottom w:val="nil"/>
              <w:right w:val="single" w:sz="4" w:space="0" w:color="4472C4"/>
            </w:tcBorders>
            <w:vAlign w:val="center"/>
            <w:hideMark/>
          </w:tcPr>
          <w:p>
            <w:pPr>
              <w:spacing w:after="0" w:line="240" w:lineRule="auto"/>
              <w:jc w:val="center"/>
              <w:rPr>
                <w:rFonts w:ascii="Calibri" w:eastAsia="Times New Roman" w:hAnsi="Calibri" w:cs="Times New Roman"/>
                <w:noProof/>
                <w:color w:val="000000"/>
              </w:rPr>
            </w:pPr>
          </w:p>
        </w:tc>
      </w:tr>
      <w:tr>
        <w:trPr>
          <w:trHeight w:val="393"/>
        </w:trPr>
        <w:tc>
          <w:tcPr>
            <w:tcW w:w="1133" w:type="dxa"/>
            <w:tcBorders>
              <w:top w:val="nil"/>
              <w:left w:val="single" w:sz="4" w:space="0" w:color="4472C4"/>
              <w:bottom w:val="nil"/>
              <w:right w:val="nil"/>
            </w:tcBorders>
            <w:shd w:val="clear" w:color="auto" w:fill="auto"/>
            <w:vAlign w:val="center"/>
            <w:hideMark/>
          </w:tcPr>
          <w:p>
            <w:pPr>
              <w:spacing w:after="0" w:line="240" w:lineRule="auto"/>
              <w:jc w:val="both"/>
              <w:rPr>
                <w:rFonts w:ascii="EC Square Sans Pro" w:eastAsia="Times New Roman" w:hAnsi="EC Square Sans Pro" w:cs="Times New Roman"/>
                <w:b/>
                <w:bCs/>
                <w:noProof/>
                <w:color w:val="094E9C"/>
                <w:sz w:val="21"/>
                <w:szCs w:val="21"/>
              </w:rPr>
            </w:pPr>
            <w:r>
              <w:rPr>
                <w:rFonts w:ascii="Calibri" w:hAnsi="Calibri"/>
                <w:b/>
                <w:bCs/>
                <w:noProof/>
                <w:color w:val="094E9C"/>
                <w:sz w:val="21"/>
                <w:szCs w:val="21"/>
              </w:rPr>
              <w:t> </w:t>
            </w:r>
          </w:p>
        </w:tc>
        <w:tc>
          <w:tcPr>
            <w:tcW w:w="1135" w:type="dxa"/>
            <w:tcBorders>
              <w:top w:val="nil"/>
              <w:left w:val="nil"/>
              <w:bottom w:val="nil"/>
              <w:right w:val="nil"/>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21"/>
                <w:szCs w:val="21"/>
              </w:rPr>
            </w:pPr>
          </w:p>
        </w:tc>
        <w:tc>
          <w:tcPr>
            <w:tcW w:w="1418"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sz w:val="20"/>
                <w:szCs w:val="20"/>
              </w:rPr>
            </w:pPr>
          </w:p>
        </w:tc>
        <w:tc>
          <w:tcPr>
            <w:tcW w:w="1276"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sz w:val="20"/>
                <w:szCs w:val="20"/>
              </w:rPr>
            </w:pPr>
          </w:p>
        </w:tc>
        <w:tc>
          <w:tcPr>
            <w:tcW w:w="1275" w:type="dxa"/>
            <w:tcBorders>
              <w:top w:val="nil"/>
              <w:left w:val="nil"/>
              <w:bottom w:val="nil"/>
              <w:right w:val="nil"/>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p>
        </w:tc>
        <w:tc>
          <w:tcPr>
            <w:tcW w:w="1418" w:type="dxa"/>
            <w:tcBorders>
              <w:top w:val="nil"/>
              <w:left w:val="nil"/>
              <w:bottom w:val="nil"/>
              <w:right w:val="dotted" w:sz="4" w:space="0" w:color="FFFFFF"/>
            </w:tcBorders>
            <w:shd w:val="clear" w:color="000000" w:fill="7ABD7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2021–2027</w:t>
            </w:r>
          </w:p>
        </w:tc>
        <w:tc>
          <w:tcPr>
            <w:tcW w:w="127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AUTOMOBILŮ</w:t>
            </w:r>
          </w:p>
        </w:tc>
      </w:tr>
      <w:tr>
        <w:trPr>
          <w:trHeight w:val="301"/>
        </w:trPr>
        <w:tc>
          <w:tcPr>
            <w:tcW w:w="1133" w:type="dxa"/>
            <w:vMerge w:val="restart"/>
            <w:tcBorders>
              <w:top w:val="dotted" w:sz="4" w:space="0" w:color="D9D9D9"/>
              <w:left w:val="single" w:sz="4" w:space="0" w:color="4472C4"/>
              <w:bottom w:val="dotted" w:sz="4" w:space="0" w:color="D9D9D9"/>
              <w:right w:val="nil"/>
            </w:tcBorders>
            <w:shd w:val="clear" w:color="auto" w:fill="auto"/>
            <w:vAlign w:val="center"/>
            <w:hideMark/>
          </w:tcPr>
          <w:p>
            <w:pPr>
              <w:spacing w:after="0" w:line="240" w:lineRule="auto"/>
              <w:jc w:val="both"/>
              <w:rPr>
                <w:rFonts w:ascii="EC Square Sans Pro" w:eastAsia="Times New Roman" w:hAnsi="EC Square Sans Pro" w:cs="Times New Roman"/>
                <w:b/>
                <w:bCs/>
                <w:noProof/>
                <w:color w:val="094E9C"/>
                <w:sz w:val="21"/>
                <w:szCs w:val="21"/>
              </w:rPr>
            </w:pPr>
            <w:r>
              <w:rPr>
                <w:rFonts w:ascii="EC Square Sans Pro" w:hAnsi="EC Square Sans Pro"/>
                <w:b/>
                <w:bCs/>
                <w:noProof/>
                <w:color w:val="094E9C"/>
                <w:sz w:val="21"/>
                <w:szCs w:val="21"/>
              </w:rPr>
              <w:t>2030</w:t>
            </w:r>
          </w:p>
        </w:tc>
        <w:tc>
          <w:tcPr>
            <w:tcW w:w="1135" w:type="dxa"/>
            <w:vMerge w:val="restart"/>
            <w:tcBorders>
              <w:top w:val="nil"/>
              <w:left w:val="nil"/>
              <w:bottom w:val="nil"/>
              <w:right w:val="dotted" w:sz="4" w:space="0" w:color="FFFFFF"/>
            </w:tcBorders>
            <w:shd w:val="clear" w:color="000000" w:fill="34ADCC"/>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alespoň  –40 %</w:t>
            </w:r>
          </w:p>
        </w:tc>
        <w:tc>
          <w:tcPr>
            <w:tcW w:w="1418" w:type="dxa"/>
            <w:vMerge w:val="restart"/>
            <w:tcBorders>
              <w:top w:val="nil"/>
              <w:left w:val="dotted" w:sz="4" w:space="0" w:color="FFFFFF"/>
              <w:bottom w:val="nil"/>
              <w:right w:val="dotted" w:sz="4" w:space="0" w:color="FFFFFF"/>
            </w:tcBorders>
            <w:shd w:val="clear" w:color="000000" w:fill="49B0B9"/>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 32 %</w:t>
            </w:r>
          </w:p>
        </w:tc>
        <w:tc>
          <w:tcPr>
            <w:tcW w:w="1276" w:type="dxa"/>
            <w:vMerge w:val="restart"/>
            <w:tcBorders>
              <w:top w:val="nil"/>
              <w:left w:val="dotted" w:sz="4" w:space="0" w:color="FFFFFF"/>
              <w:bottom w:val="nil"/>
              <w:right w:val="dotted" w:sz="4" w:space="0" w:color="FFFFFF"/>
            </w:tcBorders>
            <w:shd w:val="clear" w:color="000000" w:fill="5DB4A3"/>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 32,5 %</w:t>
            </w:r>
          </w:p>
        </w:tc>
        <w:tc>
          <w:tcPr>
            <w:tcW w:w="1275" w:type="dxa"/>
            <w:vMerge w:val="restart"/>
            <w:tcBorders>
              <w:top w:val="nil"/>
              <w:left w:val="dotted" w:sz="4" w:space="0" w:color="FFFFFF"/>
              <w:bottom w:val="nil"/>
              <w:right w:val="dotted" w:sz="4" w:space="0" w:color="FFFFFF"/>
            </w:tcBorders>
            <w:shd w:val="clear" w:color="000000" w:fill="6CB78C"/>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15 %</w:t>
            </w:r>
          </w:p>
        </w:tc>
        <w:tc>
          <w:tcPr>
            <w:tcW w:w="1418" w:type="dxa"/>
            <w:vMerge w:val="restart"/>
            <w:tcBorders>
              <w:top w:val="nil"/>
              <w:left w:val="dotted" w:sz="4" w:space="0" w:color="FFFFFF"/>
              <w:bottom w:val="nil"/>
              <w:right w:val="nil"/>
            </w:tcBorders>
            <w:shd w:val="clear" w:color="000000" w:fill="7ABD70"/>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25 %</w:t>
            </w:r>
          </w:p>
        </w:tc>
        <w:tc>
          <w:tcPr>
            <w:tcW w:w="127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4"/>
                <w:szCs w:val="14"/>
              </w:rPr>
            </w:pPr>
          </w:p>
        </w:tc>
      </w:tr>
      <w:tr>
        <w:trPr>
          <w:trHeight w:val="341"/>
        </w:trPr>
        <w:tc>
          <w:tcPr>
            <w:tcW w:w="1133" w:type="dxa"/>
            <w:vMerge/>
            <w:tcBorders>
              <w:top w:val="dotted" w:sz="4" w:space="0" w:color="D9D9D9"/>
              <w:left w:val="single" w:sz="4" w:space="0" w:color="4472C4"/>
              <w:bottom w:val="dotted" w:sz="4" w:space="0" w:color="D9D9D9"/>
              <w:right w:val="nil"/>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135" w:type="dxa"/>
            <w:vMerge/>
            <w:tcBorders>
              <w:top w:val="nil"/>
              <w:left w:val="nil"/>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5"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nil"/>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–37,5 %</w:t>
            </w:r>
          </w:p>
        </w:tc>
      </w:tr>
      <w:tr>
        <w:trPr>
          <w:trHeight w:val="301"/>
        </w:trPr>
        <w:tc>
          <w:tcPr>
            <w:tcW w:w="1133" w:type="dxa"/>
            <w:vMerge/>
            <w:tcBorders>
              <w:top w:val="dotted" w:sz="4" w:space="0" w:color="D9D9D9"/>
              <w:left w:val="single" w:sz="4" w:space="0" w:color="4472C4"/>
              <w:bottom w:val="dotted" w:sz="4" w:space="0" w:color="D9D9D9"/>
              <w:right w:val="nil"/>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135" w:type="dxa"/>
            <w:vMerge/>
            <w:tcBorders>
              <w:top w:val="nil"/>
              <w:left w:val="nil"/>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5"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nil"/>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 xml:space="preserve">dodávek </w:t>
            </w:r>
            <w:r>
              <w:rPr>
                <w:rFonts w:ascii="EC Square Sans Pro" w:hAnsi="EC Square Sans Pro"/>
                <w:b/>
                <w:bCs/>
                <w:noProof/>
                <w:color w:val="FFFFFF"/>
                <w:sz w:val="16"/>
                <w:szCs w:val="16"/>
              </w:rPr>
              <w:t>–31 %</w:t>
            </w:r>
          </w:p>
        </w:tc>
      </w:tr>
      <w:tr>
        <w:trPr>
          <w:trHeight w:val="301"/>
        </w:trPr>
        <w:tc>
          <w:tcPr>
            <w:tcW w:w="1133" w:type="dxa"/>
            <w:vMerge/>
            <w:tcBorders>
              <w:top w:val="dotted" w:sz="4" w:space="0" w:color="D9D9D9"/>
              <w:left w:val="single" w:sz="4" w:space="0" w:color="4472C4"/>
              <w:bottom w:val="dotted" w:sz="4" w:space="0" w:color="D9D9D9"/>
              <w:right w:val="nil"/>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135" w:type="dxa"/>
            <w:vMerge/>
            <w:tcBorders>
              <w:top w:val="nil"/>
              <w:left w:val="nil"/>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5"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nil"/>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nákladních aut</w:t>
            </w:r>
            <w:r>
              <w:rPr>
                <w:rFonts w:ascii="EC Square Sans Pro Medium" w:hAnsi="EC Square Sans Pro Medium"/>
                <w:noProof/>
                <w:sz w:val="16"/>
                <w:szCs w:val="16"/>
              </w:rPr>
              <w:t xml:space="preserve"> </w:t>
            </w:r>
            <w:r>
              <w:rPr>
                <w:rFonts w:ascii="EC Square Sans Pro" w:hAnsi="EC Square Sans Pro"/>
                <w:b/>
                <w:bCs/>
                <w:noProof/>
                <w:color w:val="FFFFFF"/>
                <w:sz w:val="16"/>
                <w:szCs w:val="16"/>
              </w:rPr>
              <w:t>–30 %</w:t>
            </w:r>
          </w:p>
        </w:tc>
      </w:tr>
      <w:tr>
        <w:trPr>
          <w:trHeight w:val="445"/>
        </w:trPr>
        <w:tc>
          <w:tcPr>
            <w:tcW w:w="2268" w:type="dxa"/>
            <w:gridSpan w:val="2"/>
            <w:tcBorders>
              <w:top w:val="nil"/>
              <w:left w:val="single" w:sz="4" w:space="0" w:color="4472C4"/>
              <w:bottom w:val="single" w:sz="4" w:space="0" w:color="4472C4"/>
              <w:right w:val="nil"/>
            </w:tcBorders>
            <w:shd w:val="clear" w:color="auto" w:fill="auto"/>
            <w:hideMark/>
          </w:tcPr>
          <w:p>
            <w:pPr>
              <w:spacing w:after="0" w:line="240" w:lineRule="auto"/>
              <w:jc w:val="both"/>
              <w:rPr>
                <w:rFonts w:ascii="Calibri" w:eastAsia="Times New Roman" w:hAnsi="Calibri" w:cs="Times New Roman"/>
                <w:noProof/>
                <w:color w:val="000000"/>
              </w:rPr>
            </w:pPr>
            <w:r>
              <w:rPr>
                <w:rFonts w:ascii="Calibri" w:hAnsi="Calibri"/>
                <w:noProof/>
              </w:rPr>
              <w:t> </w:t>
            </w:r>
          </w:p>
        </w:tc>
        <w:tc>
          <w:tcPr>
            <w:tcW w:w="2694" w:type="dxa"/>
            <w:gridSpan w:val="2"/>
            <w:tcBorders>
              <w:top w:val="nil"/>
              <w:left w:val="nil"/>
              <w:bottom w:val="single" w:sz="4" w:space="0" w:color="4472C4"/>
              <w:right w:val="nil"/>
            </w:tcBorders>
            <w:shd w:val="clear" w:color="000000" w:fill="FFFFFF"/>
            <w:vAlign w:val="center"/>
            <w:hideMark/>
          </w:tcPr>
          <w:p>
            <w:pPr>
              <w:spacing w:after="0" w:line="240" w:lineRule="auto"/>
              <w:jc w:val="both"/>
              <w:rPr>
                <w:rFonts w:ascii="EC Square Sans Pro" w:eastAsia="Times New Roman" w:hAnsi="EC Square Sans Pro" w:cs="Times New Roman"/>
                <w:b/>
                <w:bCs/>
                <w:noProof/>
                <w:color w:val="0070C0"/>
                <w:sz w:val="16"/>
                <w:szCs w:val="16"/>
              </w:rPr>
            </w:pPr>
            <w:r>
              <w:rPr>
                <w:rFonts w:ascii="EC Square Sans Pro" w:hAnsi="EC Square Sans Pro"/>
                <w:b/>
                <w:bCs/>
                <w:noProof/>
                <w:color w:val="0070C0"/>
                <w:sz w:val="16"/>
                <w:szCs w:val="16"/>
              </w:rPr>
              <w:t>Do roku 2023 je možné předložit návrh na zvýšení cílů</w:t>
            </w:r>
          </w:p>
        </w:tc>
        <w:tc>
          <w:tcPr>
            <w:tcW w:w="3969" w:type="dxa"/>
            <w:gridSpan w:val="3"/>
            <w:tcBorders>
              <w:top w:val="nil"/>
              <w:left w:val="nil"/>
              <w:bottom w:val="single" w:sz="4" w:space="0" w:color="4472C4"/>
              <w:right w:val="single" w:sz="4" w:space="0" w:color="4472C4"/>
            </w:tcBorders>
            <w:shd w:val="clear" w:color="000000" w:fill="FFFFFF"/>
            <w:hideMark/>
          </w:tcPr>
          <w:p>
            <w:pPr>
              <w:spacing w:after="0" w:line="240" w:lineRule="auto"/>
              <w:jc w:val="both"/>
              <w:rPr>
                <w:rFonts w:ascii="Calibri" w:eastAsia="Times New Roman" w:hAnsi="Calibri" w:cs="Times New Roman"/>
                <w:noProof/>
                <w:color w:val="000000"/>
              </w:rPr>
            </w:pPr>
            <w:r>
              <w:rPr>
                <w:rFonts w:ascii="Calibri" w:hAnsi="Calibri"/>
                <w:noProof/>
              </w:rPr>
              <w:t> </w:t>
            </w:r>
          </w:p>
        </w:tc>
      </w:tr>
    </w:tbl>
    <w:p>
      <w:pPr>
        <w:pStyle w:val="Caption"/>
        <w:rPr>
          <w:rFonts w:ascii="Times New Roman" w:eastAsia="Times New Roman" w:hAnsi="Times New Roman"/>
          <w:noProof/>
          <w:color w:val="000000"/>
          <w:sz w:val="24"/>
          <w:szCs w:val="24"/>
        </w:rPr>
      </w:pPr>
      <w:r>
        <w:rPr>
          <w:noProof/>
        </w:rPr>
        <w:t xml:space="preserve">Obrázek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xml:space="preserve">: Rámec politiky EU v oblasti klimatu a energetiky do roku 2030  </w:t>
      </w:r>
    </w:p>
    <w:p>
      <w:pPr>
        <w:overflowPunct w:val="0"/>
        <w:autoSpaceDE w:val="0"/>
        <w:autoSpaceDN w:val="0"/>
        <w:adjustRightInd w:val="0"/>
        <w:spacing w:after="120" w:line="276" w:lineRule="auto"/>
        <w:jc w:val="both"/>
        <w:textAlignment w:val="baseline"/>
        <w:rPr>
          <w:rFonts w:ascii="Times New Roman" w:eastAsia="Times New Roman" w:hAnsi="Times New Roman" w:cs="Times New Roman"/>
          <w:noProof/>
          <w:color w:val="000000"/>
          <w:sz w:val="24"/>
          <w:szCs w:val="24"/>
        </w:rPr>
      </w:pPr>
      <w:r>
        <w:rPr>
          <w:rStyle w:val="Heading2Char"/>
          <w:noProof/>
        </w:rPr>
        <w:t>Členské státy určí další politiky a opatření k dosažení cílů pro rok 2030</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V roce 2018 členské státy poprvé vypracovaly návrh integrovaných vnitrostátních plánů v oblasti energetiky a klimatu</w:t>
      </w:r>
      <w:r>
        <w:rPr>
          <w:rStyle w:val="FootnoteReference"/>
          <w:rFonts w:ascii="Times New Roman" w:eastAsia="Times New Roman" w:hAnsi="Times New Roman" w:cs="Times New Roman"/>
          <w:noProof/>
        </w:rPr>
        <w:footnoteReference w:id="6"/>
      </w:r>
      <w:r>
        <w:rPr>
          <w:rFonts w:ascii="Times New Roman" w:hAnsi="Times New Roman"/>
          <w:noProof/>
        </w:rPr>
        <w:t>. Návrhy plánů ukazují, že členské státy ve vytyčování cesty k dosažení cílů v oblasti klimatu a energetiky pro rok 2030 výrazně pokročily, i když je stále třeba vynakládat další úsilí. Evropská komise analyzovala souhrnné účinky návrhů plánů na dosažení cílů pro rok 2030 a vydala doporučení pro jednotlivé země</w:t>
      </w:r>
      <w:r>
        <w:rPr>
          <w:rStyle w:val="FootnoteReference"/>
          <w:rFonts w:ascii="Times New Roman" w:eastAsia="Times New Roman" w:hAnsi="Times New Roman" w:cs="Times New Roman"/>
          <w:noProof/>
        </w:rPr>
        <w:footnoteReference w:id="7"/>
      </w:r>
      <w:r>
        <w:rPr>
          <w:rFonts w:ascii="Times New Roman" w:hAnsi="Times New Roman"/>
          <w:noProof/>
        </w:rPr>
        <w:t xml:space="preserve">. Členské státy musí dokončit své plány do konce roku 2019. </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 xml:space="preserve">Podle souhrnu nejnovějších vnitrostátních odhadů emisí skleníkových plynů se předpokládá, že s již provedenými vnitrostátními politikami a opatřeními budou v roce 2030 emise o 30 % nižší. Uskutečněním opatření nebo ambicí plánovaných či deklarovaných v návrzích integrovaných vnitrostátních plánů v oblasti energetiky a klimatu se podle odhadů dosáhne cíle celkového snížení emisí skleníkových plynů v EU o 40 %. </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Nejnovější odhady členských států předložené v návaznosti na návrhy integrovaných vnitrostátních plánů v oblasti energetiky a klimatu ukazují, že při provádění plánovaných politik, bez ohledu na deklarované ambice (cíle), lze emise do roku 2030 snížit o 36 %. Tento odhad je o něco nižší než odhad v posouzení návrhů integrovaných vnitrostátních plánů v oblasti energetiky a klimatu. Hlavním důvodem tohoto rozdílu je to, že posouzení návrhů integrovaných vnitrostátních plánů v oblasti energetiky a klimatu zohledňuje vnitrostátní cíle, které oznámilo Německo a Nizozemsko ve svých návrzích integrovaných vnitrostátních plánů v oblasti energetiky a klimatu, a že Polsko ve svém návrhu uvedlo odhady s plánovanými opatřeními, ale nepředložilo je v rámci vykazování odhadů v roce 2019.</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p>
    <w:p>
      <w:pPr>
        <w:pStyle w:val="Heading1"/>
        <w:spacing w:after="240"/>
        <w:ind w:left="714" w:hanging="357"/>
        <w:jc w:val="both"/>
        <w:rPr>
          <w:noProof/>
        </w:rPr>
      </w:pPr>
      <w:r>
        <w:rPr>
          <w:noProof/>
        </w:rPr>
        <w:t>EMISE V SYSTÉMU EU PRO OBCHODOVÁNÍ S EMISEMI (EU ETS)</w:t>
      </w:r>
    </w:p>
    <w:p>
      <w:pPr>
        <w:jc w:val="both"/>
        <w:rPr>
          <w:rFonts w:ascii="Times New Roman" w:hAnsi="Times New Roman" w:cs="Times New Roman"/>
          <w:noProof/>
          <w:sz w:val="24"/>
        </w:rPr>
      </w:pPr>
      <w:r>
        <w:rPr>
          <w:rFonts w:ascii="Times New Roman" w:hAnsi="Times New Roman"/>
          <w:noProof/>
        </w:rPr>
        <w:t xml:space="preserve">Systém EU pro obchodování s emisemi (EU ETS) zahrnuje emise z přibližně 11 000 elektráren a výrobních závodů a leteckou dopravu v rámci států zapojených do systému a mezi těmito státy. </w:t>
      </w:r>
    </w:p>
    <w:p>
      <w:pPr>
        <w:jc w:val="both"/>
        <w:rPr>
          <w:rFonts w:ascii="Times New Roman" w:hAnsi="Times New Roman"/>
          <w:noProof/>
          <w:sz w:val="24"/>
          <w:szCs w:val="24"/>
        </w:rPr>
      </w:pPr>
      <w:r>
        <w:rPr>
          <w:rFonts w:ascii="Times New Roman" w:hAnsi="Times New Roman"/>
          <w:noProof/>
        </w:rPr>
        <w:t xml:space="preserve">Podle údajů zanesených v registru Unie se odhaduje, že v roce 2018 emise ze stacionárních zařízení zapojených do systému EU ETS klesly o 4,1 % ve srovnání s rokem 2017. Ke snížení emisí došlo především díky odvětví energetiky, zatímco emise z průmyslu se snížily pouze mírně. </w:t>
      </w:r>
    </w:p>
    <w:p>
      <w:pPr>
        <w:jc w:val="both"/>
        <w:rPr>
          <w:rFonts w:ascii="Times New Roman" w:hAnsi="Times New Roman"/>
          <w:noProof/>
          <w:sz w:val="24"/>
          <w:szCs w:val="24"/>
        </w:rPr>
      </w:pPr>
      <w:r>
        <w:rPr>
          <w:rFonts w:ascii="Times New Roman" w:hAnsi="Times New Roman"/>
          <w:noProof/>
        </w:rPr>
        <w:t>Pokud jde o vývoj emisí v oblasti letecké dopravy, v roce 2018 ověřené emise dále rostly a dosáhly 67 milionů tun CO</w:t>
      </w:r>
      <w:r>
        <w:rPr>
          <w:rFonts w:ascii="Times New Roman" w:hAnsi="Times New Roman"/>
          <w:noProof/>
          <w:vertAlign w:val="subscript"/>
        </w:rPr>
        <w:t>2</w:t>
      </w:r>
      <w:r>
        <w:rPr>
          <w:rFonts w:ascii="Times New Roman" w:hAnsi="Times New Roman"/>
          <w:noProof/>
        </w:rPr>
        <w:t>, což je nárůst o 4 % oproti roku 2017.</w:t>
      </w:r>
    </w:p>
    <w:p>
      <w:pPr>
        <w:jc w:val="both"/>
        <w:rPr>
          <w:noProof/>
          <w:highlight w:val="yellow"/>
        </w:rPr>
      </w:pPr>
      <w:r>
        <w:rPr>
          <w:rFonts w:ascii="Times New Roman" w:hAnsi="Times New Roman"/>
          <w:noProof/>
        </w:rPr>
        <w:t xml:space="preserve">Obrázek 4 ukazuje historický a předpokládaný vývoj emisí v rámci ETS spolu se stropem a kumulovaným přebytkem povolenek v ETS. </w:t>
      </w:r>
    </w:p>
    <w:p>
      <w:pPr>
        <w:jc w:val="both"/>
        <w:rPr>
          <w:rFonts w:ascii="Times New Roman" w:hAnsi="Times New Roman"/>
          <w:noProof/>
          <w:sz w:val="24"/>
          <w:szCs w:val="24"/>
        </w:rPr>
      </w:pPr>
      <w:r>
        <w:rPr>
          <w:noProof/>
          <w:lang w:val="en-GB" w:eastAsia="en-GB"/>
        </w:rPr>
        <w:drawing>
          <wp:inline distT="0" distB="0" distL="0" distR="0">
            <wp:extent cx="5731510" cy="3748256"/>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748256"/>
                    </a:xfrm>
                    <a:prstGeom prst="rect">
                      <a:avLst/>
                    </a:prstGeom>
                    <a:noFill/>
                    <a:ln>
                      <a:noFill/>
                    </a:ln>
                  </pic:spPr>
                </pic:pic>
              </a:graphicData>
            </a:graphic>
          </wp:inline>
        </w:drawing>
      </w:r>
    </w:p>
    <w:p>
      <w:pPr>
        <w:pStyle w:val="Caption"/>
        <w:rPr>
          <w:rFonts w:ascii="Times New Roman" w:hAnsi="Times New Roman"/>
          <w:noProof/>
          <w:sz w:val="24"/>
          <w:szCs w:val="24"/>
        </w:rPr>
      </w:pPr>
      <w:r>
        <w:rPr>
          <w:noProof/>
        </w:rPr>
        <w:t xml:space="preserve">Obrázek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Ověřené emise zahrnuté do ETS v období 2005–2018, odhady emisí se stávajícími opatřeními v období 2019–2030 předložené členskými státy, strop ETS ve fázích 2, 3 a 4 a kumulovaný přebytek povolenek ETS v období 2008–2018. V milionech tun ekv. CO</w:t>
      </w:r>
      <w:r>
        <w:rPr>
          <w:noProof/>
          <w:vertAlign w:val="subscript"/>
        </w:rPr>
        <w:t>2</w:t>
      </w:r>
      <w:r>
        <w:rPr>
          <w:rStyle w:val="FootnoteReference"/>
          <w:noProof/>
        </w:rPr>
        <w:footnoteReference w:id="8"/>
      </w:r>
    </w:p>
    <w:p>
      <w:pPr>
        <w:jc w:val="both"/>
        <w:rPr>
          <w:rFonts w:ascii="Times New Roman" w:hAnsi="Times New Roman"/>
          <w:noProof/>
          <w:sz w:val="24"/>
          <w:szCs w:val="24"/>
        </w:rPr>
      </w:pPr>
      <w:r>
        <w:rPr>
          <w:rFonts w:ascii="Times New Roman" w:hAnsi="Times New Roman"/>
          <w:noProof/>
        </w:rPr>
        <w:t>Koncem června 2019 činil celkový počet mezinárodních použitých nebo vyměněných kreditů kolem 1,51 miliardy, což představuje více než 90 % odhadu povoleného maxima (1,6 miliardy). Jen ve fázi 3 (2013–2020) bylo do konce června 2019 vyměněno 453,49 milionu mezinárodních kreditů.</w:t>
      </w:r>
    </w:p>
    <w:p>
      <w:pPr>
        <w:jc w:val="both"/>
        <w:rPr>
          <w:rFonts w:ascii="Times New Roman" w:hAnsi="Times New Roman"/>
          <w:noProof/>
          <w:sz w:val="24"/>
          <w:szCs w:val="24"/>
        </w:rPr>
      </w:pPr>
      <w:r>
        <w:rPr>
          <w:rFonts w:ascii="Times New Roman" w:hAnsi="Times New Roman"/>
          <w:noProof/>
        </w:rPr>
        <w:t>V rámci přípravy rezervy tržní stability, která má začít fungovat v roce 2019, Komise od poloviny května 2017 systematicky zveřejňuje údaje o přebytku</w:t>
      </w:r>
      <w:r>
        <w:rPr>
          <w:rStyle w:val="FootnoteReference"/>
          <w:rFonts w:ascii="Times New Roman" w:hAnsi="Times New Roman"/>
          <w:noProof/>
        </w:rPr>
        <w:footnoteReference w:id="9"/>
      </w:r>
      <w:r>
        <w:rPr>
          <w:rFonts w:ascii="Times New Roman" w:hAnsi="Times New Roman"/>
          <w:noProof/>
        </w:rPr>
        <w:t xml:space="preserve"> za předchozí roky. V květnu 2019 byl tento přebytek zveřejněn potřetí a představoval přibližně 1,65 miliardy povolenek</w:t>
      </w:r>
      <w:r>
        <w:rPr>
          <w:noProof/>
          <w:vertAlign w:val="superscript"/>
        </w:rPr>
        <w:footnoteReference w:id="10"/>
      </w:r>
      <w:r>
        <w:rPr>
          <w:noProof/>
        </w:rPr>
        <w:t>.</w:t>
      </w:r>
      <w:r>
        <w:rPr>
          <w:rFonts w:ascii="Times New Roman" w:hAnsi="Times New Roman"/>
          <w:noProof/>
        </w:rPr>
        <w:t xml:space="preserve"> Na základě přebytku z roku 2018 a revidovaných právních předpisů EU ETS pro čtvrté obchodovací období systému (2021–2030) se objem dražeb od září do prosince 2019 a od ledna do srpna 2020 sníží o téměř 397 milionů povolenek, tj. o 24 % přebytku. </w:t>
      </w:r>
    </w:p>
    <w:p>
      <w:pPr>
        <w:jc w:val="both"/>
        <w:rPr>
          <w:rFonts w:ascii="Times New Roman" w:hAnsi="Times New Roman"/>
          <w:noProof/>
          <w:sz w:val="24"/>
          <w:szCs w:val="24"/>
        </w:rPr>
      </w:pPr>
      <w:r>
        <w:rPr>
          <w:rFonts w:ascii="Times New Roman" w:hAnsi="Times New Roman"/>
          <w:noProof/>
          <w:lang w:val="en-GB" w:eastAsia="en-GB"/>
        </w:rPr>
        <mc:AlternateContent>
          <mc:Choice Requires="wps">
            <w:drawing>
              <wp:inline distT="0" distB="0" distL="0" distR="0">
                <wp:extent cx="5701145" cy="4595751"/>
                <wp:effectExtent l="0" t="0" r="13970" b="14605"/>
                <wp:docPr id="3" name="Text Box 3"/>
                <wp:cNvGraphicFramePr/>
                <a:graphic xmlns:a="http://schemas.openxmlformats.org/drawingml/2006/main">
                  <a:graphicData uri="http://schemas.microsoft.com/office/word/2010/wordprocessingShape">
                    <wps:wsp>
                      <wps:cNvSpPr txBox="1"/>
                      <wps:spPr>
                        <a:xfrm>
                          <a:off x="0" y="0"/>
                          <a:ext cx="5701145" cy="4595751"/>
                        </a:xfrm>
                        <a:prstGeom prst="rect">
                          <a:avLst/>
                        </a:prstGeom>
                        <a:solidFill>
                          <a:schemeClr val="lt1"/>
                        </a:solidFill>
                        <a:ln w="6350">
                          <a:solidFill>
                            <a:prstClr val="black"/>
                          </a:solidFill>
                        </a:ln>
                      </wps:spPr>
                      <wps:txbx>
                        <w:txbxContent>
                          <w:p>
                            <w:pPr>
                              <w:spacing w:line="240" w:lineRule="auto"/>
                              <w:rPr>
                                <w:rFonts w:ascii="Times New Roman" w:eastAsia="Times New Roman" w:hAnsi="Times New Roman" w:cs="Times New Roman"/>
                                <w:sz w:val="24"/>
                                <w:szCs w:val="24"/>
                              </w:rPr>
                            </w:pPr>
                            <w:r>
                              <w:rPr>
                                <w:rFonts w:ascii="Times New Roman" w:hAnsi="Times New Roman"/>
                                <w:b/>
                                <w:bCs/>
                              </w:rPr>
                              <w:t>LIFE15 OPTIMELT *</w:t>
                            </w:r>
                            <w:r>
                              <w:rPr>
                                <w:rFonts w:ascii="Times New Roman" w:hAnsi="Times New Roman"/>
                              </w:rPr>
                              <w:t xml:space="preserve"> – demonstrace termochemické přeměny zemního plynu ke snížení emisí skleníkových plynů v energeticky náročných odvětvích – sklářský průmysl. </w:t>
                            </w:r>
                          </w:p>
                          <w:p>
                            <w:pPr>
                              <w:jc w:val="both"/>
                              <w:rPr>
                                <w:rFonts w:ascii="Times New Roman" w:eastAsia="Times New Roman" w:hAnsi="Times New Roman" w:cs="Times New Roman"/>
                                <w:sz w:val="24"/>
                                <w:szCs w:val="24"/>
                              </w:rPr>
                            </w:pPr>
                            <w:r>
                              <w:rPr>
                                <w:rFonts w:ascii="Times New Roman" w:hAnsi="Times New Roman"/>
                              </w:rPr>
                              <w:t>Projekt představuje první úplnou demonstraci inovativního konceptu na využití odpadního tepla. Technologie nazývaná OPTIMELT je schopna využívat endotermickou reakci zemního plynu s vodní párou nebo CO</w:t>
                            </w:r>
                            <w:r>
                              <w:rPr>
                                <w:rFonts w:ascii="Times New Roman" w:hAnsi="Times New Roman"/>
                                <w:vertAlign w:val="subscript"/>
                              </w:rPr>
                              <w:t>2</w:t>
                            </w:r>
                            <w:r>
                              <w:rPr>
                                <w:rFonts w:ascii="Times New Roman" w:hAnsi="Times New Roman"/>
                              </w:rPr>
                              <w:t xml:space="preserve"> ve spalinách a získat více tepla, než bylo dosud možné při vysokoteplotních výrobních procesech.</w:t>
                            </w:r>
                          </w:p>
                          <w:p>
                            <w:pPr>
                              <w:jc w:val="both"/>
                              <w:rPr>
                                <w:rFonts w:ascii="Times New Roman" w:eastAsia="Times New Roman" w:hAnsi="Times New Roman" w:cs="Times New Roman"/>
                                <w:sz w:val="24"/>
                                <w:szCs w:val="24"/>
                              </w:rPr>
                            </w:pPr>
                            <w:r>
                              <w:rPr>
                                <w:rFonts w:ascii="Times New Roman" w:hAnsi="Times New Roman"/>
                              </w:rPr>
                              <w:t>Projekt získal 2,2 milionu EUR z programu LIFE – nástroje financování EU pro oblast klimatu a životního prostředí.</w:t>
                            </w:r>
                          </w:p>
                          <w:p>
                            <w:pPr>
                              <w:jc w:val="both"/>
                              <w:rPr>
                                <w:rFonts w:ascii="Times New Roman" w:eastAsia="Times New Roman" w:hAnsi="Times New Roman" w:cs="Times New Roman"/>
                                <w:sz w:val="24"/>
                                <w:szCs w:val="24"/>
                              </w:rPr>
                            </w:pPr>
                            <w:r>
                              <w:rPr>
                                <w:noProof/>
                                <w:lang w:val="en-GB" w:eastAsia="en-GB"/>
                              </w:rPr>
                              <w:drawing>
                                <wp:inline distT="0" distB="0" distL="0" distR="0">
                                  <wp:extent cx="5493327" cy="239378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imes New Roman" w:hAnsi="Times New Roman" w:cs="Times New Roman"/>
                                <w:sz w:val="20"/>
                              </w:rPr>
                            </w:pPr>
                            <w:r>
                              <w:rPr>
                                <w:rFonts w:ascii="Times New Roman" w:hAnsi="Times New Roman"/>
                                <w:sz w:val="20"/>
                              </w:rPr>
                              <w:t xml:space="preserve">*Projekt je příkladem toho, jak fondy EU přispívají k inovacím v odvětvích, na něž se vztahuje systém 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48.9pt;height:36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" fillcolor="white [3201]" strokeweight=".5pt">
                <v:textbox>
                  <w:txbxContent>
                    <w:p>
                      <w:pPr>
                        <w:spacing w:line="240" w:lineRule="auto"/>
                        <w:rPr>
                          <w:rFonts w:ascii="Times New Roman" w:eastAsia="Times New Roman" w:hAnsi="Times New Roman" w:cs="Times New Roman"/>
                          <w:sz w:val="24"/>
                          <w:szCs w:val="24"/>
                        </w:rPr>
                      </w:pPr>
                      <w:r>
                        <w:rPr>
                          <w:rFonts w:ascii="Times New Roman" w:hAnsi="Times New Roman"/>
                          <w:b/>
                          <w:bCs/>
                        </w:rPr>
                        <w:t>LIFE15 OPTIMELT *</w:t>
                      </w:r>
                      <w:r>
                        <w:rPr>
                          <w:rFonts w:ascii="Times New Roman" w:hAnsi="Times New Roman"/>
                        </w:rPr>
                        <w:t xml:space="preserve"> – demonstrace termochemické přeměny zemního plynu ke snížení emisí skleníkových plynů v energeticky náročných odvětvích – sklářský průmysl. </w:t>
                      </w:r>
                    </w:p>
                    <w:p>
                      <w:pPr>
                        <w:jc w:val="both"/>
                        <w:rPr>
                          <w:rFonts w:ascii="Times New Roman" w:eastAsia="Times New Roman" w:hAnsi="Times New Roman" w:cs="Times New Roman"/>
                          <w:sz w:val="24"/>
                          <w:szCs w:val="24"/>
                        </w:rPr>
                      </w:pPr>
                      <w:r>
                        <w:rPr>
                          <w:rFonts w:ascii="Times New Roman" w:hAnsi="Times New Roman"/>
                        </w:rPr>
                        <w:t>Projekt představuje první úplnou demonstraci inovativního konceptu na využití odpadního tepla. Technologie nazývaná OPTIMELT je schopna využívat endotermickou reakci zemního plynu s vodní párou nebo CO</w:t>
                      </w:r>
                      <w:r>
                        <w:rPr>
                          <w:rFonts w:ascii="Times New Roman" w:hAnsi="Times New Roman"/>
                          <w:vertAlign w:val="subscript"/>
                        </w:rPr>
                        <w:t>2</w:t>
                      </w:r>
                      <w:r>
                        <w:rPr>
                          <w:rFonts w:ascii="Times New Roman" w:hAnsi="Times New Roman"/>
                        </w:rPr>
                        <w:t xml:space="preserve"> ve spalinách a získat více tepla, než bylo dosud možné při vysokoteplotních výrobních procesech.</w:t>
                      </w:r>
                    </w:p>
                    <w:p>
                      <w:pPr>
                        <w:jc w:val="both"/>
                        <w:rPr>
                          <w:rFonts w:ascii="Times New Roman" w:eastAsia="Times New Roman" w:hAnsi="Times New Roman" w:cs="Times New Roman"/>
                          <w:sz w:val="24"/>
                          <w:szCs w:val="24"/>
                        </w:rPr>
                      </w:pPr>
                      <w:r>
                        <w:rPr>
                          <w:rFonts w:ascii="Times New Roman" w:hAnsi="Times New Roman"/>
                        </w:rPr>
                        <w:t>Projekt získal 2,2 milionu EUR z programu LIFE – nástroje financování EU pro oblast klimatu a životního prostředí.</w:t>
                      </w:r>
                    </w:p>
                    <w:p>
                      <w:pPr>
                        <w:jc w:val="both"/>
                        <w:rPr>
                          <w:rFonts w:ascii="Times New Roman" w:eastAsia="Times New Roman" w:hAnsi="Times New Roman" w:cs="Times New Roman"/>
                          <w:sz w:val="24"/>
                          <w:szCs w:val="24"/>
                        </w:rPr>
                      </w:pPr>
                      <w:r>
                        <w:rPr>
                          <w:noProof/>
                          <w:lang w:val="en-GB" w:eastAsia="en-GB"/>
                        </w:rPr>
                        <w:drawing>
                          <wp:inline distT="0" distB="0" distL="0" distR="0">
                            <wp:extent cx="5493327" cy="239378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imes New Roman" w:hAnsi="Times New Roman" w:cs="Times New Roman"/>
                          <w:sz w:val="20"/>
                        </w:rPr>
                      </w:pPr>
                      <w:r>
                        <w:rPr>
                          <w:rFonts w:ascii="Times New Roman" w:hAnsi="Times New Roman"/>
                          <w:sz w:val="20"/>
                        </w:rPr>
                        <w:t xml:space="preserve">*Projekt je příkladem toho, jak fondy EU přispívají k inovacím v odvětvích, na něž se vztahuje systém ETS.  </w:t>
                      </w:r>
                    </w:p>
                  </w:txbxContent>
                </v:textbox>
                <w10:anchorlock/>
              </v:shape>
            </w:pict>
          </mc:Fallback>
        </mc:AlternateContent>
      </w:r>
    </w:p>
    <w:p>
      <w:pPr>
        <w:pStyle w:val="Heading1"/>
        <w:numPr>
          <w:ilvl w:val="0"/>
          <w:numId w:val="0"/>
        </w:numPr>
        <w:spacing w:after="240"/>
        <w:ind w:left="714"/>
        <w:jc w:val="both"/>
        <w:rPr>
          <w:noProof/>
        </w:rPr>
      </w:pPr>
    </w:p>
    <w:p>
      <w:pPr>
        <w:pStyle w:val="Heading1"/>
        <w:spacing w:after="240"/>
        <w:ind w:left="714" w:hanging="357"/>
        <w:jc w:val="both"/>
        <w:rPr>
          <w:noProof/>
        </w:rPr>
      </w:pPr>
      <w:r>
        <w:rPr>
          <w:noProof/>
        </w:rPr>
        <w:t>EMISE, NA KTERÉ SE VZTAHUJE ROZHODNUTÍ O „SDÍLENÍ ÚSILÍ“</w:t>
      </w:r>
    </w:p>
    <w:p>
      <w:pPr>
        <w:jc w:val="both"/>
        <w:rPr>
          <w:rFonts w:ascii="Times New Roman" w:hAnsi="Times New Roman" w:cs="Times New Roman"/>
          <w:noProof/>
          <w:sz w:val="24"/>
          <w:szCs w:val="24"/>
        </w:rPr>
      </w:pPr>
      <w:r>
        <w:rPr>
          <w:rFonts w:ascii="Times New Roman" w:hAnsi="Times New Roman"/>
          <w:noProof/>
        </w:rPr>
        <w:t>Emise z většiny odvětví, která nejsou zahrnuta do systému EU pro obchodování s emisemi, například emise z dopravy, stavebnictví, zemědělství (jiné emise než CO</w:t>
      </w:r>
      <w:r>
        <w:rPr>
          <w:rFonts w:ascii="Times New Roman" w:hAnsi="Times New Roman"/>
          <w:noProof/>
          <w:vertAlign w:val="subscript"/>
        </w:rPr>
        <w:t>2</w:t>
      </w:r>
      <w:r>
        <w:rPr>
          <w:rFonts w:ascii="Times New Roman" w:hAnsi="Times New Roman"/>
          <w:noProof/>
        </w:rPr>
        <w:t>) a odpadů, jsou upraveny právními předpisy EU o „sdílení úsilí.“ Rozhodnutí o sdílení úsilí</w:t>
      </w:r>
      <w:r>
        <w:rPr>
          <w:rStyle w:val="FootnoteReference"/>
          <w:rFonts w:ascii="Times New Roman" w:hAnsi="Times New Roman" w:cs="Times New Roman"/>
          <w:noProof/>
        </w:rPr>
        <w:footnoteReference w:id="11"/>
      </w:r>
      <w:r>
        <w:rPr>
          <w:rFonts w:ascii="Times New Roman" w:hAnsi="Times New Roman"/>
          <w:noProof/>
        </w:rPr>
        <w:t xml:space="preserve"> stanoví vnitrostátní emisní cíle pro rok 2020 vyjádřené jako procentuální změny oproti úrovním z roku 2005. Členské státy musejí rovněž od roku 2013 do roku 2020 dodržovat roční emisní limity. Nařízení o „sdílení úsilí“</w:t>
      </w:r>
      <w:r>
        <w:rPr>
          <w:rStyle w:val="FootnoteReference"/>
          <w:rFonts w:ascii="Times New Roman" w:hAnsi="Times New Roman" w:cs="Times New Roman"/>
          <w:noProof/>
        </w:rPr>
        <w:footnoteReference w:id="12"/>
      </w:r>
      <w:r>
        <w:rPr>
          <w:rFonts w:ascii="Times New Roman" w:hAnsi="Times New Roman"/>
          <w:noProof/>
        </w:rPr>
        <w:t xml:space="preserve"> také stanoví vnitrostátní cíle pro emise na rok 2030. </w:t>
      </w:r>
    </w:p>
    <w:p>
      <w:pPr>
        <w:pStyle w:val="Heading2"/>
        <w:spacing w:after="120"/>
        <w:rPr>
          <w:noProof/>
        </w:rPr>
      </w:pPr>
      <w:r>
        <w:rPr>
          <w:noProof/>
        </w:rPr>
        <w:t>Pokrok při plnění cílů v oblasti sdílení úsilí</w:t>
      </w:r>
    </w:p>
    <w:p>
      <w:pPr>
        <w:jc w:val="both"/>
        <w:rPr>
          <w:rFonts w:ascii="Times New Roman" w:hAnsi="Times New Roman" w:cs="Times New Roman"/>
          <w:noProof/>
          <w:sz w:val="24"/>
        </w:rPr>
      </w:pPr>
      <w:r>
        <w:rPr>
          <w:rFonts w:ascii="Times New Roman" w:hAnsi="Times New Roman"/>
          <w:noProof/>
        </w:rPr>
        <w:t>Členské státy plánují, jak dosáhnout svých cílů v oblasti sdílení úsilí do roku 2030. Budou-li realizovány plánované politiky, mohla by EU do roku 2030 snížit emise skleníkových plynů, na které se vztahuje rozhodnutí o „sdílení úsilí“, oproti roku 2005 o 27 až 28 %</w:t>
      </w:r>
      <w:r>
        <w:rPr>
          <w:rStyle w:val="FootnoteReference"/>
          <w:rFonts w:ascii="Times New Roman" w:hAnsi="Times New Roman" w:cs="Times New Roman"/>
          <w:noProof/>
        </w:rPr>
        <w:footnoteReference w:id="13"/>
      </w:r>
      <w:r>
        <w:rPr>
          <w:rFonts w:ascii="Times New Roman" w:hAnsi="Times New Roman"/>
          <w:noProof/>
        </w:rPr>
        <w:t>. To je ve srovnání se stávajícími politikami, které by vedly ke snížení emisí do roku 2030 o 20 %, jasný pokrok. Aby však tohoto cíle snížení emisí o 30 % v rámci sdílení úsilí mohlo být dosaženo, budou muset členské státy stanovit dodatečná opatření. Evropská komise doporučila několika členským státům, aby ve svých konečných vnitrostátních plánech dále upřesnily svou strategii pro dosažení cíle snížení emisí mimo systém ETS</w:t>
      </w:r>
      <w:r>
        <w:rPr>
          <w:rStyle w:val="FootnoteReference"/>
          <w:rFonts w:ascii="Times New Roman" w:hAnsi="Times New Roman" w:cs="Times New Roman"/>
          <w:noProof/>
        </w:rPr>
        <w:footnoteReference w:id="14"/>
      </w:r>
      <w:r>
        <w:rPr>
          <w:rFonts w:ascii="Times New Roman" w:hAnsi="Times New Roman"/>
          <w:noProof/>
        </w:rPr>
        <w:t xml:space="preserve"> pro celé období 2021–2030. </w:t>
      </w:r>
    </w:p>
    <w:p>
      <w:pPr>
        <w:jc w:val="both"/>
        <w:rPr>
          <w:rFonts w:ascii="Times New Roman" w:hAnsi="Times New Roman" w:cs="Times New Roman"/>
          <w:noProof/>
          <w:sz w:val="24"/>
        </w:rPr>
      </w:pPr>
      <w:r>
        <w:rPr>
          <w:rFonts w:ascii="Times New Roman" w:hAnsi="Times New Roman"/>
          <w:noProof/>
        </w:rPr>
        <w:t xml:space="preserve">Obrázek 5 znázorňuje rozdíly mezi cíli členských států do roku 2030 podle nařízení o „sdílení úsilí“ a jejich odhady se stávajícími a dodatečnými opatřeními. </w:t>
      </w:r>
    </w:p>
    <w:p>
      <w:pPr>
        <w:jc w:val="both"/>
        <w:rPr>
          <w:rFonts w:ascii="Times New Roman" w:hAnsi="Times New Roman" w:cs="Times New Roman"/>
          <w:noProof/>
          <w:sz w:val="24"/>
        </w:rPr>
      </w:pPr>
    </w:p>
    <w:p>
      <w:pPr>
        <w:rPr>
          <w:rFonts w:ascii="Calibri" w:eastAsia="Calibri" w:hAnsi="Calibri" w:cs="Times New Roman"/>
          <w:b/>
          <w:bCs/>
          <w:noProof/>
          <w:sz w:val="20"/>
          <w:szCs w:val="20"/>
        </w:rPr>
      </w:pPr>
      <w:r>
        <w:rPr>
          <w:noProof/>
        </w:rPr>
        <w:br w:type="page"/>
      </w:r>
    </w:p>
    <w:p>
      <w:pPr>
        <w:pStyle w:val="Caption"/>
        <w:jc w:val="both"/>
        <w:rPr>
          <w:noProof/>
        </w:rPr>
      </w:pPr>
      <w:r>
        <w:rPr>
          <w:noProof/>
          <w:lang w:val="en-GB" w:eastAsia="en-GB"/>
        </w:rPr>
        <w:drawing>
          <wp:inline distT="0" distB="0" distL="0" distR="0">
            <wp:extent cx="4714875" cy="6438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875" cy="6438900"/>
                    </a:xfrm>
                    <a:prstGeom prst="rect">
                      <a:avLst/>
                    </a:prstGeom>
                    <a:noFill/>
                    <a:ln>
                      <a:noFill/>
                    </a:ln>
                  </pic:spPr>
                </pic:pic>
              </a:graphicData>
            </a:graphic>
          </wp:inline>
        </w:drawing>
      </w:r>
    </w:p>
    <w:p>
      <w:pPr>
        <w:pStyle w:val="Caption"/>
        <w:jc w:val="both"/>
        <w:rPr>
          <w:rFonts w:ascii="Times New Roman" w:hAnsi="Times New Roman"/>
          <w:noProof/>
          <w:sz w:val="24"/>
        </w:rPr>
      </w:pPr>
      <w:r>
        <w:rPr>
          <w:noProof/>
        </w:rPr>
        <w:t xml:space="preserve">Obrázek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xml:space="preserve">: Rozdíly mezi cíli podle nařízení o „sdílení úsilí“ na rok 2030 a předpokládanými emisemi se stávajícími opatřeními a s dodatečnými opatřeními v procentech emisí v základním roce 2005. Negativní hodnoty představují překročení cílů, pozitivní hodnoty ukazují, že cíle nejsou splněny. </w:t>
      </w:r>
    </w:p>
    <w:p>
      <w:pPr>
        <w:jc w:val="both"/>
        <w:rPr>
          <w:rFonts w:ascii="Times New Roman" w:hAnsi="Times New Roman" w:cs="Times New Roman"/>
          <w:noProof/>
          <w:sz w:val="24"/>
        </w:rPr>
      </w:pPr>
      <w:r>
        <w:rPr>
          <w:rFonts w:ascii="Times New Roman" w:hAnsi="Times New Roman"/>
          <w:noProof/>
          <w:lang w:val="en-GB" w:eastAsia="en-GB"/>
        </w:rPr>
        <mc:AlternateContent>
          <mc:Choice Requires="wps">
            <w:drawing>
              <wp:inline distT="0" distB="0" distL="0" distR="0">
                <wp:extent cx="5731510" cy="3390405"/>
                <wp:effectExtent l="0" t="0" r="21590" b="19685"/>
                <wp:docPr id="9" name="Text Box 9"/>
                <wp:cNvGraphicFramePr/>
                <a:graphic xmlns:a="http://schemas.openxmlformats.org/drawingml/2006/main">
                  <a:graphicData uri="http://schemas.microsoft.com/office/word/2010/wordprocessingShape">
                    <wps:wsp>
                      <wps:cNvSpPr txBox="1"/>
                      <wps:spPr>
                        <a:xfrm>
                          <a:off x="0" y="0"/>
                          <a:ext cx="5731510" cy="3390405"/>
                        </a:xfrm>
                        <a:prstGeom prst="rect">
                          <a:avLst/>
                        </a:prstGeom>
                        <a:solidFill>
                          <a:schemeClr val="lt1"/>
                        </a:solidFill>
                        <a:ln w="6350">
                          <a:solidFill>
                            <a:prstClr val="black"/>
                          </a:solidFill>
                        </a:ln>
                      </wps:spPr>
                      <wps:txbx>
                        <w:txbxContent>
                          <w:p>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Pr>
                                <w:rFonts w:ascii="Times New Roman" w:hAnsi="Times New Roman"/>
                                <w:b/>
                              </w:rPr>
                              <w:t>Doporučení členským státům týkající se jejich návrhů vnitrostátních plánů v oblasti energetiky a klimatu</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V červnu 2019 vydala Evropská komise doporučení členským státům na základě jejich návrhů integrovaných vnitrostátních plánů v oblasti energetiky a klimatu. Pokud jde o emise skleníkových plynů, na něž se nevztahuje systém ETS, bylo několika členským státům doporučeno, aby:</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objasnily, jak hodlají dosáhnout svého cíle v oblasti skleníkových plynů do roku 2030 v odvětvích mimo systém EU pro obchodování s emisemi zvážením dalších nákladově efektivních politik v období 2021–30,</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objasnily, jak hodlají splnit závazek, že emise z využívání půdy, změn ve využívání půdy a lesnictví (LULUCF) nepřekročí objem pohlcování,</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jako možný zdroj financování zvážily rovněž nákladově efektivní převody do jiných členských států podle nařízení o „sdílení úsilí“.</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 xml:space="preserve">Několika členským státům bylo rovněž doporučeno, aby přehodnotily své ambice v oblasti energie z obnovitelných zdrojů a energetické účinnosti a srovnaly je na úroveň EU. Kromě toho bylo řadě členských států doporučeno dále analyzovat interakce mezi plánovanými politikami a opatřeními v oblasti energetiky a klimatu a znečištěním ovzduší.  </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27" type="#_x0000_t202" style="width:451.3pt;height:2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" fillcolor="white [3201]" strokeweight=".5pt">
                <v:textbox>
                  <w:txbxContent>
                    <w:p>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Pr>
                          <w:rFonts w:ascii="Times New Roman" w:hAnsi="Times New Roman"/>
                          <w:b/>
                        </w:rPr>
                        <w:t>Doporučení členským státům týkající se jejich návrhů vnitrostátních plánů v oblasti energetiky a klimatu</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V červnu 2019 vydala Evropská komise doporučení členským státům na základě jejich návrhů integrovaných vnitrostátních plánů v oblasti energetiky a klimatu. Pokud jde o emise skleníkových plynů, na něž se nevztahuje systém ETS, bylo několika členským státům doporučeno, aby:</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objasnily, jak hodlají dosáhnout svého cíle v oblasti skleníkových plynů do roku 2030 v odvětvích mimo systém EU pro obchodování s emisemi zvážením dalších nákladově efektivních politik v období 2021–30,</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objasnily, jak hodlají splnit závazek, že emise z využívání půdy, změn ve využívání půdy a lesnictví (LULUCF) nepřekročí objem pohlcování,</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jako možný zdroj financování zvážily rovněž nákladově efektivní převody do jiných členských států podle nařízení o „sdílení úsilí“.</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 xml:space="preserve">Několika členským státům bylo rovněž doporučeno, aby přehodnotily své ambice v oblasti energie z obnovitelných zdrojů a energetické účinnosti a srovnaly je na úroveň EU. Kromě toho bylo řadě členských států doporučeno dále analyzovat interakce mezi plánovanými politikami a opatřeními v oblasti energetiky a klimatu a znečištěním ovzduší.  </w:t>
                      </w:r>
                    </w:p>
                    <w:p/>
                  </w:txbxContent>
                </v:textbox>
                <w10:anchorlock/>
              </v:shape>
            </w:pict>
          </mc:Fallback>
        </mc:AlternateContent>
      </w:r>
    </w:p>
    <w:p>
      <w:pPr>
        <w:jc w:val="both"/>
        <w:rPr>
          <w:rFonts w:ascii="Times New Roman" w:hAnsi="Times New Roman" w:cs="Times New Roman"/>
          <w:noProof/>
          <w:sz w:val="24"/>
        </w:rPr>
      </w:pPr>
      <w:r>
        <w:rPr>
          <w:rFonts w:ascii="Times New Roman" w:hAnsi="Times New Roman"/>
          <w:noProof/>
        </w:rPr>
        <w:t>Jak ukazuje obrázek 6, byly emise, na které se vztahuje rozhodnutí o „sdílení úsilí“, v roce 2018 o 11 % nižší než v roce 2005. Jedná se tedy o překročení průběžného cíle 8% snížení emisí o 3 procentní body. Od zavedení systému v roce 2013 byly celounijní emise každý rok nižší než celkový strop. Tato situace vedla ke kumulovanému přebytku ročních emisních přídělů o přibližně 1 110 mil. tun ekvivalentu CO</w:t>
      </w:r>
      <w:r>
        <w:rPr>
          <w:rFonts w:ascii="Times New Roman" w:hAnsi="Times New Roman"/>
          <w:noProof/>
          <w:vertAlign w:val="subscript"/>
        </w:rPr>
        <w:t>2</w:t>
      </w:r>
      <w:r>
        <w:rPr>
          <w:rFonts w:ascii="Times New Roman" w:hAnsi="Times New Roman"/>
          <w:noProof/>
        </w:rPr>
        <w:t xml:space="preserve"> v období 2013–2018. Předpokládá se, že do roku 2020 zůstanou emise pod ročním limitem a že cíl pro rok 2020, pokud jde o emise, na něž se vztahuje rozhodnutí o „sdílení úsilí“, bude se stávajícími opatřeními překonán o 3 procentní body. </w:t>
      </w:r>
    </w:p>
    <w:p>
      <w:pPr>
        <w:rPr>
          <w:noProof/>
        </w:rPr>
      </w:pPr>
      <w:r>
        <w:rPr>
          <w:noProof/>
          <w:lang w:val="en-GB" w:eastAsia="en-GB"/>
        </w:rPr>
        <w:drawing>
          <wp:inline distT="0" distB="0" distL="0" distR="0">
            <wp:extent cx="4905375" cy="3114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5375" cy="3114675"/>
                    </a:xfrm>
                    <a:prstGeom prst="rect">
                      <a:avLst/>
                    </a:prstGeom>
                    <a:noFill/>
                    <a:ln>
                      <a:noFill/>
                    </a:ln>
                  </pic:spPr>
                </pic:pic>
              </a:graphicData>
            </a:graphic>
          </wp:inline>
        </w:drawing>
      </w:r>
    </w:p>
    <w:p>
      <w:pPr>
        <w:pStyle w:val="Caption"/>
        <w:jc w:val="both"/>
        <w:rPr>
          <w:noProof/>
        </w:rPr>
      </w:pPr>
      <w:r>
        <w:rPr>
          <w:noProof/>
        </w:rPr>
        <w:t xml:space="preserve">Obrázek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Emise v odvětvích zahrnutých do oblasti působnosti právních předpisů o „sdílení úsilí“ v období 2005–2030 a roční emisní příděly (mil. tun ekv. CO</w:t>
      </w:r>
      <w:r>
        <w:rPr>
          <w:noProof/>
          <w:vertAlign w:val="subscript"/>
        </w:rPr>
        <w:t>2</w:t>
      </w:r>
      <w:r>
        <w:rPr>
          <w:noProof/>
        </w:rPr>
        <w:t xml:space="preserve"> )</w:t>
      </w:r>
    </w:p>
    <w:p>
      <w:pPr>
        <w:jc w:val="both"/>
        <w:rPr>
          <w:rFonts w:ascii="Times New Roman" w:hAnsi="Times New Roman" w:cs="Times New Roman"/>
          <w:noProof/>
          <w:sz w:val="24"/>
          <w:szCs w:val="24"/>
        </w:rPr>
      </w:pPr>
      <w:r>
        <w:rPr>
          <w:rFonts w:ascii="Times New Roman" w:hAnsi="Times New Roman"/>
          <w:noProof/>
        </w:rPr>
        <w:t xml:space="preserve">Emise v odvětvích, na něž se vztahují právní předpisy o „sdílení úsilí“, se od roku 2005 do roku 2014 postupně snižovaly. Od roku 2014 se emise ve třech po sobě následujících letech zvyšovaly, načež v roce 2018 následovalo snížení. </w:t>
      </w:r>
    </w:p>
    <w:p>
      <w:pPr>
        <w:jc w:val="both"/>
        <w:rPr>
          <w:rFonts w:ascii="Times New Roman" w:hAnsi="Times New Roman" w:cs="Times New Roman"/>
          <w:noProof/>
          <w:sz w:val="24"/>
          <w:szCs w:val="24"/>
        </w:rPr>
      </w:pPr>
      <w:r>
        <w:rPr>
          <w:rFonts w:ascii="Times New Roman" w:hAnsi="Times New Roman"/>
          <w:noProof/>
        </w:rPr>
        <w:t xml:space="preserve">Více než třetina emisí, na které se vztahuje rozhodnutí o „sdílení úsilí“ pochází z </w:t>
      </w:r>
      <w:r>
        <w:rPr>
          <w:rFonts w:ascii="Times New Roman" w:hAnsi="Times New Roman"/>
          <w:b/>
          <w:noProof/>
        </w:rPr>
        <w:t>dopravy</w:t>
      </w:r>
      <w:r>
        <w:rPr>
          <w:rFonts w:ascii="Times New Roman" w:hAnsi="Times New Roman"/>
          <w:noProof/>
        </w:rPr>
        <w:t xml:space="preserve">. Po poklesu emisí mezi lety 2007 a 2013 se emise z dopravy v posledních pěti letech každoročně zvyšovaly a jsou nyní pouze o 3 % nižší než v roce 2005. Členské státy předpokládají, že při provádění stávajících opatření bude do roku 2030  dosaženo mírného snížení (o 7 % oproti roku 2005). Předpokládají však, že při provedení plánovaných politik a opatření se emise z dopravy do roku 2030 sníží oproti roku 2005 o 18 %. </w:t>
      </w:r>
    </w:p>
    <w:p>
      <w:pPr>
        <w:jc w:val="both"/>
        <w:rPr>
          <w:rFonts w:ascii="Times New Roman" w:hAnsi="Times New Roman" w:cs="Times New Roman"/>
          <w:noProof/>
          <w:sz w:val="24"/>
          <w:szCs w:val="24"/>
        </w:rPr>
      </w:pPr>
      <w:r>
        <w:rPr>
          <w:rFonts w:ascii="Times New Roman" w:hAnsi="Times New Roman"/>
          <w:noProof/>
        </w:rPr>
        <w:t>Klíčovými faktory pro snižování emisí ze silniční dopravy jsou normy pro emise CO</w:t>
      </w:r>
      <w:r>
        <w:rPr>
          <w:rFonts w:ascii="Times New Roman" w:hAnsi="Times New Roman"/>
          <w:noProof/>
          <w:vertAlign w:val="subscript"/>
        </w:rPr>
        <w:t>2</w:t>
      </w:r>
      <w:r>
        <w:rPr>
          <w:rFonts w:ascii="Times New Roman" w:hAnsi="Times New Roman"/>
          <w:noProof/>
        </w:rPr>
        <w:t xml:space="preserve"> pro nové automobily a dodávky. Ačkoli jsou průměrné emise CO</w:t>
      </w:r>
      <w:r>
        <w:rPr>
          <w:rFonts w:ascii="Times New Roman" w:hAnsi="Times New Roman"/>
          <w:noProof/>
          <w:vertAlign w:val="subscript"/>
        </w:rPr>
        <w:t>2</w:t>
      </w:r>
      <w:r>
        <w:rPr>
          <w:rFonts w:ascii="Times New Roman" w:hAnsi="Times New Roman"/>
          <w:noProof/>
        </w:rPr>
        <w:t xml:space="preserve"> na kilometr u nových osobních automobilů a dodávek nižší než stávající platné cíle, jak je znázorněno na obrázku 7 níže, předběžné údaje za rok 2018 ukazují, že oproti roku 2017 se emise zvýšily. Aby mohly být nadcházející cíle pro rok 2020 a 2021 splněny, budou muset výrobci vozidel výrazně snížit emise vyráběných vozidel, v průměru přibližně o 25 g CO</w:t>
      </w:r>
      <w:r>
        <w:rPr>
          <w:rFonts w:ascii="Times New Roman" w:hAnsi="Times New Roman"/>
          <w:noProof/>
          <w:vertAlign w:val="subscript"/>
        </w:rPr>
        <w:t>2</w:t>
      </w:r>
      <w:r>
        <w:rPr>
          <w:rFonts w:ascii="Times New Roman" w:hAnsi="Times New Roman"/>
          <w:noProof/>
        </w:rPr>
        <w:t>/km u osobních automobilů a o 11 g CO</w:t>
      </w:r>
      <w:r>
        <w:rPr>
          <w:rFonts w:ascii="Times New Roman" w:hAnsi="Times New Roman"/>
          <w:noProof/>
          <w:vertAlign w:val="subscript"/>
        </w:rPr>
        <w:t>2</w:t>
      </w:r>
      <w:r>
        <w:rPr>
          <w:rFonts w:ascii="Times New Roman" w:hAnsi="Times New Roman"/>
          <w:noProof/>
        </w:rPr>
        <w:t>/km u dodávek.</w:t>
      </w:r>
    </w:p>
    <w:p>
      <w:pPr>
        <w:keepNext/>
        <w:jc w:val="both"/>
        <w:rPr>
          <w:noProof/>
        </w:rPr>
      </w:pPr>
      <w:r>
        <w:rPr>
          <w:noProof/>
          <w:lang w:val="en-GB" w:eastAsia="en-GB"/>
        </w:rPr>
        <w:drawing>
          <wp:inline distT="0" distB="0" distL="0" distR="0">
            <wp:extent cx="5731510" cy="4161492"/>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161492"/>
                    </a:xfrm>
                    <a:prstGeom prst="rect">
                      <a:avLst/>
                    </a:prstGeom>
                    <a:noFill/>
                    <a:ln>
                      <a:noFill/>
                    </a:ln>
                  </pic:spPr>
                </pic:pic>
              </a:graphicData>
            </a:graphic>
          </wp:inline>
        </w:drawing>
      </w:r>
    </w:p>
    <w:p>
      <w:pPr>
        <w:pStyle w:val="Caption"/>
        <w:rPr>
          <w:rFonts w:ascii="Times New Roman" w:hAnsi="Times New Roman"/>
          <w:noProof/>
          <w:sz w:val="24"/>
          <w:szCs w:val="24"/>
        </w:rPr>
      </w:pPr>
      <w:r>
        <w:rPr>
          <w:noProof/>
        </w:rPr>
        <w:t xml:space="preserve">Obrázek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Průměrné emise CO</w:t>
      </w:r>
      <w:r>
        <w:rPr>
          <w:noProof/>
          <w:vertAlign w:val="subscript"/>
        </w:rPr>
        <w:t>2</w:t>
      </w:r>
      <w:r>
        <w:rPr>
          <w:noProof/>
        </w:rPr>
        <w:t xml:space="preserve"> na kilometr u nových osobních automobilů a dodávek </w:t>
      </w:r>
    </w:p>
    <w:p>
      <w:pPr>
        <w:jc w:val="both"/>
        <w:rPr>
          <w:rFonts w:ascii="Times New Roman" w:eastAsia="Times New Roman" w:hAnsi="Times New Roman" w:cs="Times New Roman"/>
          <w:noProof/>
          <w:sz w:val="24"/>
          <w:szCs w:val="24"/>
        </w:rPr>
      </w:pPr>
      <w:r>
        <w:rPr>
          <w:rFonts w:ascii="Times New Roman" w:hAnsi="Times New Roman"/>
          <w:noProof/>
        </w:rPr>
        <w:t xml:space="preserve">Ke snížení emisí skleníkových plynů z dopravy přispívá směrnice o jakosti paliv. Ukládá členským státům povinnost požadovat, aby dodavatelé paliv snížili intenzitu emisí skleníkových plynů během životního cyklu dodávaných paliv o 6 % do roku 2020 ve srovnání s rokem 2010. Průměrná intenzita emisí skleníkových plynů z paliv dodávaných v roce 2017 byla o 3,4 % nižší než v roce 2010 (na základě údajů z 22 členských států, které byly poprvé oznámeny v roce 2019). Jak je znázorněno na obrázku 8, dosažený pokrok se v jednotlivých členských státech značně liší, ale téměř všechny by měly urychleně přijmout další opatření, aby bylo zajištěno splnění cíle stanoveného pro rok 2020. </w:t>
      </w:r>
    </w:p>
    <w:p>
      <w:pPr>
        <w:rPr>
          <w:noProof/>
        </w:rPr>
      </w:pPr>
    </w:p>
    <w:p>
      <w:pPr>
        <w:jc w:val="both"/>
        <w:rPr>
          <w:b/>
          <w:noProof/>
          <w:sz w:val="20"/>
          <w:szCs w:val="20"/>
        </w:rPr>
      </w:pPr>
      <w:r>
        <w:rPr>
          <w:noProof/>
          <w:lang w:val="en-GB" w:eastAsia="en-GB"/>
        </w:rPr>
        <w:drawing>
          <wp:inline distT="0" distB="0" distL="0" distR="0">
            <wp:extent cx="5731510" cy="339872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398724"/>
                    </a:xfrm>
                    <a:prstGeom prst="rect">
                      <a:avLst/>
                    </a:prstGeom>
                    <a:noFill/>
                    <a:ln>
                      <a:noFill/>
                    </a:ln>
                  </pic:spPr>
                </pic:pic>
              </a:graphicData>
            </a:graphic>
          </wp:inline>
        </w:drawing>
      </w:r>
    </w:p>
    <w:p>
      <w:pPr>
        <w:jc w:val="both"/>
        <w:rPr>
          <w:b/>
          <w:noProof/>
          <w:sz w:val="20"/>
          <w:szCs w:val="20"/>
        </w:rPr>
      </w:pPr>
      <w:r>
        <w:rPr>
          <w:b/>
          <w:noProof/>
          <w:sz w:val="20"/>
          <w:szCs w:val="20"/>
        </w:rPr>
        <w:t xml:space="preserve">Obrázek </w:t>
      </w:r>
      <w:r>
        <w:rPr>
          <w:rFonts w:ascii="Calibri" w:eastAsia="Calibri" w:hAnsi="Calibri" w:cs="Times New Roman"/>
          <w:b/>
          <w:noProof/>
          <w:sz w:val="20"/>
          <w:szCs w:val="20"/>
        </w:rPr>
        <w:fldChar w:fldCharType="begin"/>
      </w:r>
      <w:r>
        <w:rPr>
          <w:b/>
          <w:noProof/>
          <w:sz w:val="20"/>
          <w:szCs w:val="20"/>
        </w:rPr>
        <w:instrText xml:space="preserve"> SEQ Figure \* ARABIC </w:instrText>
      </w:r>
      <w:r>
        <w:rPr>
          <w:rFonts w:ascii="Calibri" w:eastAsia="Calibri" w:hAnsi="Calibri" w:cs="Times New Roman"/>
          <w:b/>
          <w:noProof/>
          <w:sz w:val="20"/>
          <w:szCs w:val="20"/>
        </w:rPr>
        <w:fldChar w:fldCharType="separate"/>
      </w:r>
      <w:r>
        <w:rPr>
          <w:b/>
          <w:noProof/>
          <w:sz w:val="20"/>
          <w:szCs w:val="20"/>
        </w:rPr>
        <w:t>8</w:t>
      </w:r>
      <w:r>
        <w:rPr>
          <w:rFonts w:ascii="Calibri" w:eastAsia="Calibri" w:hAnsi="Calibri" w:cs="Times New Roman"/>
          <w:b/>
          <w:noProof/>
          <w:sz w:val="20"/>
          <w:szCs w:val="20"/>
        </w:rPr>
        <w:fldChar w:fldCharType="end"/>
      </w:r>
      <w:r>
        <w:rPr>
          <w:b/>
          <w:noProof/>
          <w:sz w:val="20"/>
          <w:szCs w:val="20"/>
        </w:rPr>
        <w:t xml:space="preserve">: Snížení intenzity emisí skleníkových plynů z paliv dosažené dodavateli paliv v EU ve 22 členských státech, na základě jejich zpráv předložených v letech 2010–2017 </w:t>
      </w:r>
    </w:p>
    <w:p>
      <w:pPr>
        <w:jc w:val="both"/>
        <w:rPr>
          <w:rFonts w:ascii="Times New Roman" w:hAnsi="Times New Roman" w:cs="Times New Roman"/>
          <w:noProof/>
          <w:sz w:val="24"/>
          <w:szCs w:val="24"/>
        </w:rPr>
      </w:pPr>
      <w:r>
        <w:rPr>
          <w:rFonts w:ascii="Times New Roman" w:hAnsi="Times New Roman"/>
          <w:noProof/>
        </w:rPr>
        <w:t xml:space="preserve">Emise z </w:t>
      </w:r>
      <w:r>
        <w:rPr>
          <w:rFonts w:ascii="Times New Roman" w:hAnsi="Times New Roman"/>
          <w:b/>
          <w:noProof/>
        </w:rPr>
        <w:t>využívání energie v budovách</w:t>
      </w:r>
      <w:r>
        <w:rPr>
          <w:rFonts w:ascii="Times New Roman" w:hAnsi="Times New Roman"/>
          <w:noProof/>
        </w:rPr>
        <w:t xml:space="preserve"> vykazují určité meziroční variace kvůli změnám v poptávce po vytápění souvisejícím s počasím. V dlouhodobějším horizontu emise vykazují sestupný trend, který má do roku 2030 pokračovat. Předpokládané snížení emisí odráží dostupnost obchodovatelných technologií, které snižují poptávku po energii a zlepšují integraci obnovitelných zdrojů. Členské státy naplánovaly nové politiky, které mohou snížit emise rychleji. </w:t>
      </w:r>
    </w:p>
    <w:p>
      <w:pPr>
        <w:jc w:val="both"/>
        <w:rPr>
          <w:rFonts w:ascii="Times New Roman" w:hAnsi="Times New Roman" w:cs="Times New Roman"/>
          <w:noProof/>
          <w:sz w:val="24"/>
          <w:szCs w:val="24"/>
        </w:rPr>
      </w:pPr>
      <w:r>
        <w:rPr>
          <w:rFonts w:ascii="Times New Roman" w:hAnsi="Times New Roman"/>
          <w:noProof/>
        </w:rPr>
        <w:t>Emise (jiných skleníkových plynů než CO</w:t>
      </w:r>
      <w:r>
        <w:rPr>
          <w:rFonts w:ascii="Times New Roman" w:hAnsi="Times New Roman"/>
          <w:noProof/>
          <w:vertAlign w:val="subscript"/>
        </w:rPr>
        <w:t>2</w:t>
      </w:r>
      <w:r>
        <w:rPr>
          <w:rFonts w:ascii="Times New Roman" w:hAnsi="Times New Roman"/>
          <w:noProof/>
        </w:rPr>
        <w:t xml:space="preserve">) ze </w:t>
      </w:r>
      <w:r>
        <w:rPr>
          <w:rFonts w:ascii="Times New Roman" w:hAnsi="Times New Roman"/>
          <w:b/>
          <w:noProof/>
        </w:rPr>
        <w:t>zemědělství</w:t>
      </w:r>
      <w:r>
        <w:rPr>
          <w:rFonts w:ascii="Times New Roman" w:hAnsi="Times New Roman"/>
          <w:noProof/>
        </w:rPr>
        <w:t xml:space="preserve"> byly v roce 2018 na podobné úrovni jako v roce 2005 a očekává se, že při zachování stávajících politik zůstanou v období do roku 2030 stabilní. I při provádění plánovaných politik se předpokládá pouze menší snížení. </w:t>
      </w:r>
    </w:p>
    <w:p>
      <w:pPr>
        <w:jc w:val="both"/>
        <w:rPr>
          <w:rFonts w:ascii="Times New Roman" w:hAnsi="Times New Roman" w:cs="Times New Roman"/>
          <w:noProof/>
          <w:sz w:val="24"/>
          <w:szCs w:val="24"/>
        </w:rPr>
      </w:pPr>
      <w:r>
        <w:rPr>
          <w:noProof/>
          <w:lang w:val="en-GB" w:eastAsia="en-GB"/>
        </w:rPr>
        <mc:AlternateContent>
          <mc:Choice Requires="wps">
            <w:drawing>
              <wp:inline distT="0" distB="0" distL="0" distR="0">
                <wp:extent cx="5695950" cy="5729844"/>
                <wp:effectExtent l="0" t="0" r="19050" b="23495"/>
                <wp:docPr id="8" name="Text Box 8"/>
                <wp:cNvGraphicFramePr/>
                <a:graphic xmlns:a="http://schemas.openxmlformats.org/drawingml/2006/main">
                  <a:graphicData uri="http://schemas.microsoft.com/office/word/2010/wordprocessingShape">
                    <wps:wsp>
                      <wps:cNvSpPr txBox="1"/>
                      <wps:spPr>
                        <a:xfrm>
                          <a:off x="0" y="0"/>
                          <a:ext cx="5695950" cy="5729844"/>
                        </a:xfrm>
                        <a:prstGeom prst="rect">
                          <a:avLst/>
                        </a:prstGeom>
                        <a:solidFill>
                          <a:schemeClr val="lt1"/>
                        </a:solidFill>
                        <a:ln w="6350">
                          <a:solidFill>
                            <a:prstClr val="black"/>
                          </a:solidFill>
                        </a:ln>
                      </wps:spPr>
                      <wps:txbx>
                        <w:txbxContent>
                          <w:p>
                            <w:pPr>
                              <w:jc w:val="both"/>
                              <w:rPr>
                                <w:rFonts w:ascii="Times New Roman" w:hAnsi="Times New Roman" w:cs="Times New Roman"/>
                                <w:b/>
                              </w:rPr>
                            </w:pPr>
                            <w:r>
                              <w:rPr>
                                <w:rFonts w:ascii="Times New Roman" w:hAnsi="Times New Roman"/>
                                <w:b/>
                              </w:rPr>
                              <w:t>Zařízení na výrobu bioplynu Verbiostraw*</w:t>
                            </w:r>
                          </w:p>
                          <w:p>
                            <w:pPr>
                              <w:jc w:val="both"/>
                              <w:rPr>
                                <w:rFonts w:ascii="Times New Roman" w:hAnsi="Times New Roman" w:cs="Times New Roman"/>
                                <w:sz w:val="24"/>
                                <w:szCs w:val="24"/>
                              </w:rPr>
                            </w:pPr>
                            <w:r>
                              <w:rPr>
                                <w:rFonts w:ascii="Times New Roman" w:hAnsi="Times New Roman"/>
                                <w:noProof/>
                                <w:lang w:val="en-GB" w:eastAsia="en-GB"/>
                              </w:rPr>
                              <w:drawing>
                                <wp:inline distT="0" distB="0" distL="0" distR="0">
                                  <wp:extent cx="4952390" cy="2823210"/>
                                  <wp:effectExtent l="0" t="0" r="635" b="0"/>
                                  <wp:docPr id="10" name="Content Placeholder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pic:cNvPr>
                                          <pic:cNvPicPr>
                                            <a:picLocks noGrp="1" noChangeAspect="1"/>
                                          </pic:cNvPicPr>
                                        </pic:nvPicPr>
                                        <pic:blipFill>
                                          <a:blip r:embed="rId24"/>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pPr>
                              <w:jc w:val="both"/>
                              <w:rPr>
                                <w:rFonts w:ascii="Times New Roman" w:hAnsi="Times New Roman" w:cs="Times New Roman"/>
                                <w:sz w:val="24"/>
                                <w:szCs w:val="24"/>
                              </w:rPr>
                            </w:pPr>
                            <w:r>
                              <w:rPr>
                                <w:rFonts w:ascii="Times New Roman" w:hAnsi="Times New Roman"/>
                              </w:rPr>
                              <w:t xml:space="preserve">Verbiostraw je zařízení na výrobu bioplynu. Produkuje fermentací slámy biomethan, který se dodává do místní sítě pro rozvod zemního plynu. Současná kapacita zařízení činí 8 MW a má být rozšířena až na 16,5 MW, kdy se ročně vyrobí až 140 GWh biomethanu.  </w:t>
                            </w:r>
                          </w:p>
                          <w:p>
                            <w:pPr>
                              <w:jc w:val="both"/>
                              <w:rPr>
                                <w:rFonts w:ascii="Times New Roman" w:hAnsi="Times New Roman" w:cs="Times New Roman"/>
                                <w:sz w:val="24"/>
                                <w:szCs w:val="24"/>
                              </w:rPr>
                            </w:pPr>
                            <w:r>
                              <w:rPr>
                                <w:rFonts w:ascii="Times New Roman" w:hAnsi="Times New Roman"/>
                              </w:rPr>
                              <w:t xml:space="preserve">Verbiostraw je první projekt svého druhu, který demonstruje vyspělé technologie na výrobu bioplynu ve velkém měřítku. Závod využívá inovativní technologii monofermentace slámy k výrobě biomethanu pouze ze slámy. Projekt je ukázkou toho, že k výrobě biopaliv lze použít nejen potravinové suroviny, ale také zbytkové materiály ze zemědělství. </w:t>
                            </w:r>
                          </w:p>
                          <w:p>
                            <w:pPr>
                              <w:jc w:val="both"/>
                              <w:rPr>
                                <w:rFonts w:ascii="Times New Roman" w:hAnsi="Times New Roman" w:cs="Times New Roman"/>
                                <w:sz w:val="24"/>
                                <w:szCs w:val="24"/>
                              </w:rPr>
                            </w:pPr>
                            <w:r>
                              <w:rPr>
                                <w:rFonts w:ascii="Times New Roman" w:hAnsi="Times New Roman"/>
                              </w:rPr>
                              <w:t>Projekt, který se nachází v braniborském městě Schwedt (Německo), získal 22,3 milionu EUR z rezervy pro nové účastníky na trhu (NER300).</w:t>
                            </w:r>
                          </w:p>
                          <w:p>
                            <w:pPr>
                              <w:jc w:val="both"/>
                              <w:rPr>
                                <w:rFonts w:ascii="Times New Roman" w:hAnsi="Times New Roman" w:cs="Times New Roman"/>
                                <w:sz w:val="20"/>
                                <w:szCs w:val="24"/>
                              </w:rPr>
                            </w:pPr>
                            <w:r>
                              <w:rPr>
                                <w:rFonts w:ascii="Times New Roman" w:hAnsi="Times New Roman"/>
                                <w:sz w:val="20"/>
                              </w:rPr>
                              <w:t xml:space="preserve">* Projekt je příkladem toho, jak fondy EU přispívají k inovacím v odvětvích, na něž se vztahují právní předpisy o „sdílení úsilí“. </w:t>
                            </w:r>
                          </w:p>
                          <w:p>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 o:spid="_x0000_s1028" type="#_x0000_t202" style="width:448.5pt;height:4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" fillcolor="white [3201]" strokeweight=".5pt">
                <v:textbox>
                  <w:txbxContent>
                    <w:p>
                      <w:pPr>
                        <w:jc w:val="both"/>
                        <w:rPr>
                          <w:rFonts w:ascii="Times New Roman" w:hAnsi="Times New Roman" w:cs="Times New Roman"/>
                          <w:b/>
                        </w:rPr>
                      </w:pPr>
                      <w:r>
                        <w:rPr>
                          <w:rFonts w:ascii="Times New Roman" w:hAnsi="Times New Roman"/>
                          <w:b/>
                        </w:rPr>
                        <w:t>Zařízení na výrobu bioplynu Verbiostraw*</w:t>
                      </w:r>
                    </w:p>
                    <w:p>
                      <w:pPr>
                        <w:jc w:val="both"/>
                        <w:rPr>
                          <w:rFonts w:ascii="Times New Roman" w:hAnsi="Times New Roman" w:cs="Times New Roman"/>
                          <w:sz w:val="24"/>
                          <w:szCs w:val="24"/>
                        </w:rPr>
                      </w:pPr>
                      <w:r>
                        <w:rPr>
                          <w:rFonts w:ascii="Times New Roman" w:hAnsi="Times New Roman"/>
                          <w:noProof/>
                          <w:lang w:val="en-GB" w:eastAsia="en-GB"/>
                        </w:rPr>
                        <w:drawing>
                          <wp:inline distT="0" distB="0" distL="0" distR="0">
                            <wp:extent cx="4952390" cy="2823210"/>
                            <wp:effectExtent l="0" t="0" r="635" b="0"/>
                            <wp:docPr id="10" name="Content Placeholder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pic:cNvPr>
                                    <pic:cNvPicPr>
                                      <a:picLocks noGrp="1" noChangeAspect="1"/>
                                    </pic:cNvPicPr>
                                  </pic:nvPicPr>
                                  <pic:blipFill>
                                    <a:blip r:embed="rId24"/>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pPr>
                        <w:jc w:val="both"/>
                        <w:rPr>
                          <w:rFonts w:ascii="Times New Roman" w:hAnsi="Times New Roman" w:cs="Times New Roman"/>
                          <w:sz w:val="24"/>
                          <w:szCs w:val="24"/>
                        </w:rPr>
                      </w:pPr>
                      <w:r>
                        <w:rPr>
                          <w:rFonts w:ascii="Times New Roman" w:hAnsi="Times New Roman"/>
                        </w:rPr>
                        <w:t xml:space="preserve">Verbiostraw je zařízení na výrobu bioplynu. Produkuje fermentací slámy biomethan, který se dodává do místní sítě pro rozvod zemního plynu. Současná kapacita zařízení činí 8 MW a má být rozšířena až na 16,5 MW, kdy se ročně vyrobí až 140 GWh biomethanu.  </w:t>
                      </w:r>
                    </w:p>
                    <w:p>
                      <w:pPr>
                        <w:jc w:val="both"/>
                        <w:rPr>
                          <w:rFonts w:ascii="Times New Roman" w:hAnsi="Times New Roman" w:cs="Times New Roman"/>
                          <w:sz w:val="24"/>
                          <w:szCs w:val="24"/>
                        </w:rPr>
                      </w:pPr>
                      <w:r>
                        <w:rPr>
                          <w:rFonts w:ascii="Times New Roman" w:hAnsi="Times New Roman"/>
                        </w:rPr>
                        <w:t xml:space="preserve">Verbiostraw je první projekt svého druhu, který demonstruje vyspělé technologie na výrobu bioplynu ve velkém měřítku. Závod využívá inovativní technologii monofermentace slámy k výrobě biomethanu pouze ze slámy. Projekt je ukázkou toho, že k výrobě biopaliv lze použít nejen potravinové suroviny, ale také zbytkové materiály ze zemědělství. </w:t>
                      </w:r>
                    </w:p>
                    <w:p>
                      <w:pPr>
                        <w:jc w:val="both"/>
                        <w:rPr>
                          <w:rFonts w:ascii="Times New Roman" w:hAnsi="Times New Roman" w:cs="Times New Roman"/>
                          <w:sz w:val="24"/>
                          <w:szCs w:val="24"/>
                        </w:rPr>
                      </w:pPr>
                      <w:r>
                        <w:rPr>
                          <w:rFonts w:ascii="Times New Roman" w:hAnsi="Times New Roman"/>
                        </w:rPr>
                        <w:t>Projekt, který se nachází v braniborském městě Schwedt (Německo), získal 22,3 milionu EUR z rezervy pro nové účastníky na trhu (NER300).</w:t>
                      </w:r>
                    </w:p>
                    <w:p>
                      <w:pPr>
                        <w:jc w:val="both"/>
                        <w:rPr>
                          <w:rFonts w:ascii="Times New Roman" w:hAnsi="Times New Roman" w:cs="Times New Roman"/>
                          <w:sz w:val="20"/>
                          <w:szCs w:val="24"/>
                        </w:rPr>
                      </w:pPr>
                      <w:r>
                        <w:rPr>
                          <w:rFonts w:ascii="Times New Roman" w:hAnsi="Times New Roman"/>
                          <w:sz w:val="20"/>
                        </w:rPr>
                        <w:t xml:space="preserve">* Projekt je příkladem toho, jak fondy EU přispívají k inovacím v odvětvích, na něž se vztahují právní předpisy o „sdílení úsilí“. </w:t>
                      </w:r>
                    </w:p>
                    <w:p>
                      <w:pPr>
                        <w:rPr>
                          <w:sz w:val="20"/>
                        </w:rPr>
                      </w:pPr>
                    </w:p>
                  </w:txbxContent>
                </v:textbox>
                <w10:anchorlock/>
              </v:shape>
            </w:pict>
          </mc:Fallback>
        </mc:AlternateContent>
      </w:r>
    </w:p>
    <w:p>
      <w:pPr>
        <w:jc w:val="both"/>
        <w:rPr>
          <w:rFonts w:ascii="Times New Roman" w:hAnsi="Times New Roman" w:cs="Times New Roman"/>
          <w:noProof/>
          <w:sz w:val="24"/>
          <w:szCs w:val="24"/>
        </w:rPr>
      </w:pPr>
      <w:r>
        <w:rPr>
          <w:rFonts w:ascii="Times New Roman" w:hAnsi="Times New Roman"/>
          <w:noProof/>
        </w:rPr>
        <w:t xml:space="preserve">Emise z </w:t>
      </w:r>
      <w:r>
        <w:rPr>
          <w:rFonts w:ascii="Times New Roman" w:hAnsi="Times New Roman"/>
          <w:b/>
          <w:noProof/>
        </w:rPr>
        <w:t>nakládání s odpady</w:t>
      </w:r>
      <w:r>
        <w:rPr>
          <w:rFonts w:ascii="Times New Roman" w:hAnsi="Times New Roman"/>
          <w:noProof/>
        </w:rPr>
        <w:t xml:space="preserve"> se mezi lety 2005 a 2018 snížily o 33 % a tento prudký pokles má dále pokračovat. </w:t>
      </w:r>
    </w:p>
    <w:p>
      <w:pPr>
        <w:pStyle w:val="NormalWeb"/>
        <w:spacing w:after="200" w:line="276" w:lineRule="auto"/>
        <w:jc w:val="both"/>
        <w:rPr>
          <w:noProof/>
        </w:rPr>
      </w:pPr>
      <w:r>
        <w:rPr>
          <w:noProof/>
        </w:rPr>
        <w:t xml:space="preserve">Emise z </w:t>
      </w:r>
      <w:r>
        <w:rPr>
          <w:b/>
          <w:noProof/>
        </w:rPr>
        <w:t>průmyslu a dalších odvětví</w:t>
      </w:r>
      <w:r>
        <w:rPr>
          <w:noProof/>
        </w:rPr>
        <w:t>, na něž se vztahuje rozhodnutí o sdílení úsilí, byly v roce 2017 o 12 % nižší než v roce 2005 a má se za to, že budou dále klesat. V této souvislosti se v případě mnoha látek poškozujících ozonovou vrstvu jedná zároveň o silné skleníkové plyny. EU již plní své mezinárodní závazky, pokud jde o ukončení spotřeby látek poškozujících ozonovou vrstvu do roku 2020, jak to vyžaduje Montrealský protokol. S výjimkou roku 2012 byla spotřeba těchto látek v EU ve smyslu Montrealského protokolu</w:t>
      </w:r>
      <w:r>
        <w:rPr>
          <w:rStyle w:val="FootnoteReference"/>
          <w:noProof/>
        </w:rPr>
        <w:footnoteReference w:id="15"/>
      </w:r>
      <w:r>
        <w:rPr>
          <w:noProof/>
        </w:rPr>
        <w:t xml:space="preserve"> od roku 2010 záporná. Spotřeba v roce 2017 byla vypočtena na –4 080 metrických tun. Záporná spotřeba znamená, že více látek poškozujících ozonovou vrstvu je zničeno nebo vyvezeno, než bylo vyrobeno nebo dovezeno. Tyto výsledky ukazují, že pokud existují alternativy, které jsou šetrnější k životnímu prostředí, látky poškozující ozonovou vrstvu se znovu nepoužívají. </w:t>
      </w:r>
    </w:p>
    <w:p>
      <w:pPr>
        <w:pStyle w:val="NormalWeb"/>
        <w:spacing w:line="276" w:lineRule="auto"/>
        <w:jc w:val="both"/>
        <w:rPr>
          <w:noProof/>
        </w:rPr>
      </w:pPr>
      <w:r>
        <w:rPr>
          <w:noProof/>
        </w:rPr>
        <w:t>Komise vyhodnotila nařízení o látkách poškozujících ozonovou vrstvu</w:t>
      </w:r>
      <w:r>
        <w:rPr>
          <w:rStyle w:val="FootnoteReference"/>
          <w:noProof/>
        </w:rPr>
        <w:footnoteReference w:id="16"/>
      </w:r>
      <w:r>
        <w:rPr>
          <w:noProof/>
        </w:rPr>
        <w:t xml:space="preserve"> v roce 2019. Hodnocení ukazuje, že i když je nařízení při dosahování svých cílů velmi účinné, je možné těchto výsledků dosáhnout účinnějším způsobem. </w:t>
      </w:r>
    </w:p>
    <w:p>
      <w:pPr>
        <w:pStyle w:val="NormalWeb"/>
        <w:spacing w:after="200" w:line="276" w:lineRule="auto"/>
        <w:jc w:val="both"/>
        <w:rPr>
          <w:noProof/>
        </w:rPr>
      </w:pPr>
      <w:r>
        <w:rPr>
          <w:noProof/>
        </w:rPr>
        <w:t>Fluorované plyny (F-plyny) patří do skupiny plynů, které se často používají jako náhražka látek poškozujících ozonovou vrstvu. F-plyny jsou však silné skleníkové plyny. Nařízení o fluorovaných skleníkových plynech</w:t>
      </w:r>
      <w:r>
        <w:rPr>
          <w:rStyle w:val="FootnoteReference"/>
          <w:noProof/>
        </w:rPr>
        <w:footnoteReference w:id="17"/>
      </w:r>
      <w:r>
        <w:rPr>
          <w:noProof/>
        </w:rPr>
        <w:t xml:space="preserve"> upravuje postupné celounijní ukončování používání hydrofluoruhlovodíků (HFC) od roku 2015 a další opatření zaměřená na emise F-plynů s cílem snížit emise do roku 2030 o dvě třetiny ve srovnání s rokem 2014. Na HFC se rovněž vztahuje kigalská změna Montrealského protokolu, která vstoupila v platnost dne 1. ledna 2019. </w:t>
      </w:r>
    </w:p>
    <w:p>
      <w:pPr>
        <w:jc w:val="both"/>
        <w:rPr>
          <w:rFonts w:ascii="Times New Roman" w:hAnsi="Times New Roman" w:cs="Times New Roman"/>
          <w:noProof/>
          <w:sz w:val="24"/>
          <w:szCs w:val="24"/>
        </w:rPr>
      </w:pPr>
      <w:r>
        <w:rPr>
          <w:rFonts w:ascii="Times New Roman" w:hAnsi="Times New Roman"/>
          <w:noProof/>
        </w:rPr>
        <w:t>Údaje za rok 2017 ukazují, že dodávka F-plynů se  z hlediska dopadu na klima (v ekvivalentech CO</w:t>
      </w:r>
      <w:r>
        <w:rPr>
          <w:rFonts w:ascii="Times New Roman" w:hAnsi="Times New Roman"/>
          <w:noProof/>
          <w:vertAlign w:val="subscript"/>
        </w:rPr>
        <w:t>2</w:t>
      </w:r>
      <w:r>
        <w:rPr>
          <w:rFonts w:ascii="Times New Roman" w:hAnsi="Times New Roman"/>
          <w:noProof/>
        </w:rPr>
        <w:t>) snížila o 2 %, avšak z hlediska množství se ve srovnání s rokem 2016 zvýšila o 3 %. V roce 2017 bylo celkové množství uvedené na trh v rámci režimu kvót o 0,4 % nižší než maximální povolené množství</w:t>
      </w:r>
      <w:r>
        <w:rPr>
          <w:rStyle w:val="FootnoteReference"/>
          <w:rFonts w:ascii="Times New Roman" w:hAnsi="Times New Roman" w:cs="Times New Roman"/>
          <w:noProof/>
        </w:rPr>
        <w:footnoteReference w:id="18"/>
      </w:r>
      <w:r>
        <w:rPr>
          <w:rFonts w:ascii="Times New Roman" w:hAnsi="Times New Roman"/>
          <w:noProof/>
        </w:rPr>
        <w:t>. Tento úspěch odráží posun směrem k plynům s nižším potenciálem globálního oteplování a ukazuje, že nařízení efektivně snižuje emise fluorovaných plynů.</w:t>
      </w:r>
    </w:p>
    <w:p>
      <w:pPr>
        <w:pStyle w:val="Heading2"/>
        <w:rPr>
          <w:noProof/>
        </w:rPr>
      </w:pPr>
    </w:p>
    <w:p>
      <w:pPr>
        <w:pStyle w:val="Heading2"/>
        <w:spacing w:after="120"/>
        <w:rPr>
          <w:noProof/>
        </w:rPr>
      </w:pPr>
      <w:r>
        <w:rPr>
          <w:noProof/>
        </w:rPr>
        <w:t>Plnění povinností plynoucích z rozhodnutí o sdílení úsilí členskými státy</w:t>
      </w:r>
    </w:p>
    <w:p>
      <w:pPr>
        <w:spacing w:line="276" w:lineRule="auto"/>
        <w:jc w:val="both"/>
        <w:rPr>
          <w:rFonts w:ascii="Times New Roman" w:hAnsi="Times New Roman" w:cs="Times New Roman"/>
          <w:noProof/>
          <w:sz w:val="24"/>
          <w:szCs w:val="24"/>
        </w:rPr>
      </w:pPr>
      <w:r>
        <w:rPr>
          <w:rFonts w:ascii="Times New Roman" w:hAnsi="Times New Roman"/>
          <w:noProof/>
        </w:rPr>
        <w:t>Všech 28 členských států splnilo v letech 2013–2016 své povinnosti plynoucí z rozhodnutí o sdílení úsilí.</w:t>
      </w:r>
      <w:r>
        <w:rPr>
          <w:noProof/>
        </w:rPr>
        <w:t xml:space="preserve"> </w:t>
      </w:r>
      <w:r>
        <w:rPr>
          <w:rFonts w:ascii="Times New Roman" w:hAnsi="Times New Roman"/>
          <w:b/>
          <w:noProof/>
        </w:rPr>
        <w:t>Malta</w:t>
      </w:r>
      <w:r>
        <w:rPr>
          <w:rFonts w:ascii="Times New Roman" w:hAnsi="Times New Roman"/>
          <w:noProof/>
        </w:rPr>
        <w:t xml:space="preserve"> v každém dotčeném roce překročila své roční emisní příděly, avšak deficit pokryla nákupem ročních emisních přídělů od Bulharska. </w:t>
      </w:r>
      <w:r>
        <w:rPr>
          <w:rFonts w:ascii="Times New Roman" w:hAnsi="Times New Roman"/>
          <w:b/>
          <w:noProof/>
        </w:rPr>
        <w:t>Finsko, Polsko, Irsko, Německo</w:t>
      </w:r>
      <w:r>
        <w:rPr>
          <w:rFonts w:ascii="Times New Roman" w:hAnsi="Times New Roman"/>
          <w:noProof/>
        </w:rPr>
        <w:t xml:space="preserve"> a </w:t>
      </w:r>
      <w:r>
        <w:rPr>
          <w:rFonts w:ascii="Times New Roman" w:hAnsi="Times New Roman"/>
          <w:b/>
          <w:noProof/>
        </w:rPr>
        <w:t>Belgie</w:t>
      </w:r>
      <w:r>
        <w:rPr>
          <w:rFonts w:ascii="Times New Roman" w:hAnsi="Times New Roman"/>
          <w:noProof/>
        </w:rPr>
        <w:t xml:space="preserve"> překročily své roční emisní příděly v roce 2016, ale byly schopny vyrovnat schodek prostřednictvím přebytku ročních emisních přídělů převedených z předchozích let. </w:t>
      </w:r>
      <w:r>
        <w:rPr>
          <w:rFonts w:ascii="Times New Roman" w:hAnsi="Times New Roman"/>
          <w:b/>
          <w:noProof/>
        </w:rPr>
        <w:t>Švédsko</w:t>
      </w:r>
      <w:r>
        <w:rPr>
          <w:rFonts w:ascii="Times New Roman" w:hAnsi="Times New Roman"/>
          <w:noProof/>
        </w:rPr>
        <w:t xml:space="preserve"> svůj plný příděl nevyužilo a přebytek povolenek ze svých ročních emisních přídělů od roku 2013 do roku 2016 smazalo s cílem posílit environmentální vyváženost systému. Všechny ostatní členské státy započítaly přebytek svých přídělů pro případné využití v pozdějších letech. Pro splnění povinností plynoucích z rozhodnutí o sdílení úsilí nebyly použity žádné mezinárodní kredity z mechanismu čistého rozvoje nebo společného provádění.</w:t>
      </w:r>
    </w:p>
    <w:p>
      <w:pPr>
        <w:jc w:val="both"/>
        <w:rPr>
          <w:rFonts w:ascii="Times New Roman" w:hAnsi="Times New Roman" w:cs="Times New Roman"/>
          <w:noProof/>
          <w:sz w:val="24"/>
          <w:szCs w:val="24"/>
        </w:rPr>
      </w:pPr>
      <w:r>
        <w:rPr>
          <w:rFonts w:ascii="Times New Roman" w:hAnsi="Times New Roman"/>
          <w:noProof/>
        </w:rPr>
        <w:t xml:space="preserve">Cyklus plnění povinností pro rok 2017 probíhá. V roce 2017 překročila </w:t>
      </w:r>
      <w:r>
        <w:rPr>
          <w:rFonts w:ascii="Times New Roman" w:hAnsi="Times New Roman"/>
          <w:b/>
          <w:noProof/>
        </w:rPr>
        <w:t>Malta</w:t>
      </w:r>
      <w:r>
        <w:rPr>
          <w:rFonts w:ascii="Times New Roman" w:hAnsi="Times New Roman"/>
          <w:noProof/>
        </w:rPr>
        <w:t xml:space="preserve"> svůj roční emisní příděl o 23 procentních bodů. Malta proto bude muset opět nakupovat roční emisní příděly a/nebo kredity z mezinárodních projektů. Emise v </w:t>
      </w:r>
      <w:r>
        <w:rPr>
          <w:rFonts w:ascii="Times New Roman" w:hAnsi="Times New Roman"/>
          <w:b/>
          <w:noProof/>
        </w:rPr>
        <w:t>Německu, Polsku, Irsku, Estonsku, Rakousku, Bulharsku</w:t>
      </w:r>
      <w:r>
        <w:rPr>
          <w:rFonts w:ascii="Times New Roman" w:hAnsi="Times New Roman"/>
          <w:noProof/>
        </w:rPr>
        <w:t xml:space="preserve"> a na </w:t>
      </w:r>
      <w:r>
        <w:rPr>
          <w:rFonts w:ascii="Times New Roman" w:hAnsi="Times New Roman"/>
          <w:b/>
          <w:noProof/>
        </w:rPr>
        <w:t>Kypru</w:t>
      </w:r>
      <w:r>
        <w:rPr>
          <w:rFonts w:ascii="Times New Roman" w:hAnsi="Times New Roman"/>
          <w:noProof/>
        </w:rPr>
        <w:t xml:space="preserve"> překročily roční emisní příděly na rok 2017 o 2–7 procentních bodů. Rovněž </w:t>
      </w:r>
      <w:r>
        <w:rPr>
          <w:rFonts w:ascii="Times New Roman" w:hAnsi="Times New Roman"/>
          <w:b/>
          <w:noProof/>
        </w:rPr>
        <w:t>Litva</w:t>
      </w:r>
      <w:r>
        <w:rPr>
          <w:rFonts w:ascii="Times New Roman" w:hAnsi="Times New Roman"/>
          <w:noProof/>
        </w:rPr>
        <w:t xml:space="preserve"> a </w:t>
      </w:r>
      <w:r>
        <w:rPr>
          <w:rFonts w:ascii="Times New Roman" w:hAnsi="Times New Roman"/>
          <w:b/>
          <w:noProof/>
        </w:rPr>
        <w:t>Lucembursko</w:t>
      </w:r>
      <w:r>
        <w:rPr>
          <w:rFonts w:ascii="Times New Roman" w:hAnsi="Times New Roman"/>
          <w:noProof/>
        </w:rPr>
        <w:t xml:space="preserve"> emisemi mírně překročily své roční emisní příděly. Tyto členské státy mají přebytky ročních emisních přídělů převedené z předchozích let, které lze použít k zajištění souladu. </w:t>
      </w:r>
    </w:p>
    <w:p>
      <w:pPr>
        <w:jc w:val="both"/>
        <w:rPr>
          <w:rFonts w:ascii="Times New Roman" w:hAnsi="Times New Roman" w:cs="Times New Roman"/>
          <w:noProof/>
          <w:sz w:val="24"/>
          <w:szCs w:val="24"/>
        </w:rPr>
      </w:pPr>
      <w:r>
        <w:rPr>
          <w:rFonts w:ascii="Times New Roman" w:hAnsi="Times New Roman"/>
          <w:noProof/>
        </w:rPr>
        <w:t xml:space="preserve">Kumulativní přebytek ročních emisních přídělů na jednotlivé členské státy v období 2013–2017 je znázorněn na obrázku 9. </w:t>
      </w:r>
    </w:p>
    <w:p>
      <w:pPr>
        <w:jc w:val="both"/>
        <w:rPr>
          <w:noProof/>
        </w:rPr>
      </w:pPr>
    </w:p>
    <w:p>
      <w:pPr>
        <w:pStyle w:val="Caption"/>
        <w:jc w:val="both"/>
        <w:rPr>
          <w:noProof/>
        </w:rPr>
      </w:pPr>
      <w:r>
        <w:rPr>
          <w:noProof/>
          <w:lang w:val="en-GB" w:eastAsia="en-GB"/>
        </w:rPr>
        <w:drawing>
          <wp:inline distT="0" distB="0" distL="0" distR="0">
            <wp:extent cx="4733925" cy="5857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3925" cy="5857875"/>
                    </a:xfrm>
                    <a:prstGeom prst="rect">
                      <a:avLst/>
                    </a:prstGeom>
                    <a:noFill/>
                    <a:ln>
                      <a:noFill/>
                    </a:ln>
                  </pic:spPr>
                </pic:pic>
              </a:graphicData>
            </a:graphic>
          </wp:inline>
        </w:drawing>
      </w:r>
    </w:p>
    <w:p>
      <w:pPr>
        <w:pStyle w:val="Caption"/>
        <w:jc w:val="both"/>
        <w:rPr>
          <w:noProof/>
        </w:rPr>
      </w:pPr>
      <w:r>
        <w:rPr>
          <w:noProof/>
        </w:rPr>
        <w:t xml:space="preserve">Obrázek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Kumulativní přebytek ročních emisních přídělů za období 2013–2017 vyjádřený jako procentuální poměr k emisím v základním roce 2005</w:t>
      </w:r>
    </w:p>
    <w:p>
      <w:pPr>
        <w:jc w:val="both"/>
        <w:rPr>
          <w:rFonts w:ascii="Times New Roman" w:hAnsi="Times New Roman" w:cs="Times New Roman"/>
          <w:noProof/>
          <w:sz w:val="24"/>
        </w:rPr>
      </w:pPr>
      <w:r>
        <w:rPr>
          <w:rFonts w:ascii="Times New Roman" w:hAnsi="Times New Roman"/>
          <w:noProof/>
        </w:rPr>
        <w:t xml:space="preserve">Předběžné údaje za rok 2018 ukazují, že situace je podobná jako v roce 2017. </w:t>
      </w:r>
      <w:r>
        <w:rPr>
          <w:rFonts w:ascii="Times New Roman" w:hAnsi="Times New Roman"/>
          <w:b/>
          <w:noProof/>
        </w:rPr>
        <w:t>Malta</w:t>
      </w:r>
      <w:r>
        <w:rPr>
          <w:rFonts w:ascii="Times New Roman" w:hAnsi="Times New Roman"/>
          <w:noProof/>
        </w:rPr>
        <w:t xml:space="preserve"> překročila svůj roční emisní příděl o 27 procentních bodů, </w:t>
      </w:r>
      <w:r>
        <w:rPr>
          <w:rFonts w:ascii="Times New Roman" w:hAnsi="Times New Roman"/>
          <w:b/>
          <w:noProof/>
        </w:rPr>
        <w:t>Irsko</w:t>
      </w:r>
      <w:r>
        <w:rPr>
          <w:rFonts w:ascii="Times New Roman" w:hAnsi="Times New Roman"/>
          <w:noProof/>
        </w:rPr>
        <w:t xml:space="preserve"> o 12 procentních bodů a </w:t>
      </w:r>
      <w:r>
        <w:rPr>
          <w:rFonts w:ascii="Times New Roman" w:hAnsi="Times New Roman"/>
          <w:b/>
          <w:noProof/>
        </w:rPr>
        <w:t>Polsko</w:t>
      </w:r>
      <w:r>
        <w:rPr>
          <w:rFonts w:ascii="Times New Roman" w:hAnsi="Times New Roman"/>
          <w:noProof/>
        </w:rPr>
        <w:t xml:space="preserve"> o 9 procentních bodů. Také </w:t>
      </w:r>
      <w:r>
        <w:rPr>
          <w:rFonts w:ascii="Times New Roman" w:hAnsi="Times New Roman"/>
          <w:b/>
          <w:noProof/>
        </w:rPr>
        <w:t>Estonsko, Lucembursko, Německo, Rakousko, Bulharsko, Kypr, Finsko</w:t>
      </w:r>
      <w:r>
        <w:rPr>
          <w:rFonts w:ascii="Times New Roman" w:hAnsi="Times New Roman"/>
          <w:noProof/>
        </w:rPr>
        <w:t xml:space="preserve"> a </w:t>
      </w:r>
      <w:r>
        <w:rPr>
          <w:rFonts w:ascii="Times New Roman" w:hAnsi="Times New Roman"/>
          <w:b/>
          <w:noProof/>
        </w:rPr>
        <w:t>Belgie</w:t>
      </w:r>
      <w:r>
        <w:rPr>
          <w:rFonts w:ascii="Times New Roman" w:hAnsi="Times New Roman"/>
          <w:noProof/>
        </w:rPr>
        <w:t xml:space="preserve"> měly vyšší emise než je jejich roční emisní příděl.  Všechny tyto členské státy již překročily své roční emisní příděly v roce 2016, 2017 nebo v obou letech. </w:t>
      </w:r>
    </w:p>
    <w:p>
      <w:pPr>
        <w:jc w:val="both"/>
        <w:rPr>
          <w:rFonts w:ascii="Times New Roman" w:hAnsi="Times New Roman" w:cs="Times New Roman"/>
          <w:noProof/>
          <w:sz w:val="24"/>
        </w:rPr>
      </w:pPr>
      <w:r>
        <w:rPr>
          <w:rFonts w:ascii="Times New Roman" w:hAnsi="Times New Roman"/>
          <w:noProof/>
        </w:rPr>
        <w:t>V roce 2018 by s výjimkou Malty měly být všechny členské státy schopny splnit své povinnosti převedením přebytků ročních emisních přídělů z předchozích let. V letech 2019 a 2020 však některé členské státy již nemusí mít dostatečný přebytek z předchozích let, aby mohly pokrýt svůj potenciální schodek. Z odhadů vyplývá, že u </w:t>
      </w:r>
      <w:r>
        <w:rPr>
          <w:rFonts w:ascii="Times New Roman" w:hAnsi="Times New Roman"/>
          <w:b/>
          <w:noProof/>
        </w:rPr>
        <w:t>Malty</w:t>
      </w:r>
      <w:r>
        <w:rPr>
          <w:rFonts w:ascii="Times New Roman" w:hAnsi="Times New Roman"/>
          <w:noProof/>
        </w:rPr>
        <w:t xml:space="preserve">, </w:t>
      </w:r>
      <w:r>
        <w:rPr>
          <w:rFonts w:ascii="Times New Roman" w:hAnsi="Times New Roman"/>
          <w:b/>
          <w:noProof/>
        </w:rPr>
        <w:t>Německa</w:t>
      </w:r>
      <w:r>
        <w:rPr>
          <w:rFonts w:ascii="Times New Roman" w:hAnsi="Times New Roman"/>
          <w:noProof/>
        </w:rPr>
        <w:t xml:space="preserve">, </w:t>
      </w:r>
      <w:r>
        <w:rPr>
          <w:rFonts w:ascii="Times New Roman" w:hAnsi="Times New Roman"/>
          <w:b/>
          <w:noProof/>
        </w:rPr>
        <w:t>Irska</w:t>
      </w:r>
      <w:r>
        <w:rPr>
          <w:rFonts w:ascii="Times New Roman" w:hAnsi="Times New Roman"/>
          <w:noProof/>
        </w:rPr>
        <w:t xml:space="preserve"> a </w:t>
      </w:r>
      <w:r>
        <w:rPr>
          <w:rFonts w:ascii="Times New Roman" w:hAnsi="Times New Roman"/>
          <w:b/>
          <w:noProof/>
        </w:rPr>
        <w:t>Rakouska</w:t>
      </w:r>
      <w:r>
        <w:rPr>
          <w:rFonts w:ascii="Times New Roman" w:hAnsi="Times New Roman"/>
          <w:noProof/>
        </w:rPr>
        <w:t xml:space="preserve"> lze v období 2013–2020 očekávat čistý schodek ročních emisních přídělů. V případě čistého schodku budou členské státy muset použít mechanismy flexibility uvedené v rozhodnutí o sdílení úsilí (nad rámec započtení a vypůjčení emisních přídělů).</w:t>
      </w:r>
    </w:p>
    <w:p>
      <w:pPr>
        <w:pStyle w:val="Heading1"/>
        <w:spacing w:after="240"/>
        <w:ind w:left="714" w:hanging="357"/>
        <w:jc w:val="both"/>
        <w:rPr>
          <w:noProof/>
        </w:rPr>
      </w:pPr>
      <w:r>
        <w:rPr>
          <w:noProof/>
        </w:rPr>
        <w:t>VYUŽÍVÁNÍ PŮDY, ZMĚNY VE VYUŽÍVÁNÍ PŮDY A LESNICTVÍ</w:t>
      </w:r>
    </w:p>
    <w:p>
      <w:pPr>
        <w:jc w:val="both"/>
        <w:rPr>
          <w:rFonts w:ascii="Times New Roman" w:hAnsi="Times New Roman" w:cs="Times New Roman"/>
          <w:noProof/>
          <w:sz w:val="24"/>
        </w:rPr>
      </w:pPr>
      <w:r>
        <w:rPr>
          <w:rFonts w:ascii="Times New Roman" w:hAnsi="Times New Roman"/>
          <w:noProof/>
        </w:rPr>
        <w:t>Při využívání půdy a v lesnictví mohou emise CO</w:t>
      </w:r>
      <w:r>
        <w:rPr>
          <w:rFonts w:ascii="Times New Roman" w:hAnsi="Times New Roman"/>
          <w:noProof/>
          <w:vertAlign w:val="subscript"/>
        </w:rPr>
        <w:t>2</w:t>
      </w:r>
      <w:r>
        <w:rPr>
          <w:rFonts w:ascii="Times New Roman" w:hAnsi="Times New Roman"/>
          <w:noProof/>
        </w:rPr>
        <w:t xml:space="preserve"> vznikat, ale mohou být také z ovzduší pohlcovány. Členské státy EU se zavázaly, že od roku 2013 do roku 2020 zajistí, aby emise skleníkových plynů a jejich pohlcování díky dodatečným opatřením v tomto odvětví byly započítány do jejich cíle pro snížení emisí podle Kjótského protokolu. Tyto emise a jejich pohlcování se však nezapočítávají do cíle EU snížit domácí emise do roku 2020 o 20 %.</w:t>
      </w:r>
    </w:p>
    <w:p>
      <w:pPr>
        <w:keepNext/>
        <w:jc w:val="both"/>
        <w:rPr>
          <w:noProof/>
        </w:rPr>
      </w:pPr>
      <w:r>
        <w:rPr>
          <w:noProof/>
          <w:lang w:val="en-GB" w:eastAsia="en-GB"/>
        </w:rPr>
        <w:drawing>
          <wp:inline distT="0" distB="0" distL="0" distR="0">
            <wp:extent cx="5229225" cy="27146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9225" cy="2714625"/>
                    </a:xfrm>
                    <a:prstGeom prst="rect">
                      <a:avLst/>
                    </a:prstGeom>
                    <a:noFill/>
                    <a:ln>
                      <a:noFill/>
                    </a:ln>
                  </pic:spPr>
                </pic:pic>
              </a:graphicData>
            </a:graphic>
          </wp:inline>
        </w:drawing>
      </w:r>
    </w:p>
    <w:p>
      <w:pPr>
        <w:pStyle w:val="Caption"/>
        <w:rPr>
          <w:rFonts w:ascii="Times New Roman" w:hAnsi="Times New Roman"/>
          <w:noProof/>
        </w:rPr>
      </w:pPr>
      <w:r>
        <w:rPr>
          <w:noProof/>
        </w:rPr>
        <w:t xml:space="preserve">Obrázek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rFonts w:asciiTheme="minorHAnsi" w:hAnsiTheme="minorHAnsi"/>
          <w:noProof/>
          <w:szCs w:val="22"/>
        </w:rPr>
        <w:t>: Předběžně započítané emise a jejich pohlcování související s činnostmi vykazovanými podle Kjótského protokolu ve druhém kontrolním období, EU-28</w:t>
      </w:r>
      <w:r>
        <w:rPr>
          <w:rStyle w:val="FootnoteReference"/>
          <w:rFonts w:asciiTheme="minorHAnsi" w:hAnsiTheme="minorHAnsi" w:cstheme="minorHAnsi"/>
          <w:noProof/>
          <w:szCs w:val="22"/>
        </w:rPr>
        <w:footnoteReference w:id="19"/>
      </w:r>
      <w:r>
        <w:rPr>
          <w:rFonts w:ascii="Times New Roman" w:hAnsi="Times New Roman"/>
          <w:noProof/>
          <w:szCs w:val="22"/>
        </w:rPr>
        <w:t xml:space="preserve"> </w:t>
      </w:r>
    </w:p>
    <w:p>
      <w:pPr>
        <w:jc w:val="both"/>
        <w:rPr>
          <w:rFonts w:ascii="Times New Roman" w:eastAsia="Times New Roman" w:hAnsi="Times New Roman" w:cs="Times New Roman"/>
          <w:noProof/>
          <w:color w:val="000000"/>
          <w:sz w:val="24"/>
          <w:szCs w:val="24"/>
        </w:rPr>
      </w:pPr>
      <w:r>
        <w:rPr>
          <w:rFonts w:ascii="Times New Roman" w:hAnsi="Times New Roman"/>
          <w:noProof/>
        </w:rPr>
        <w:t>„Započítané“ debetní a kreditní položky EU související s jednotlivými činnostmi za období 2013–2017 vytvářejí průměrný propad –111,9 mil. tun ekvivalentu CO</w:t>
      </w:r>
      <w:r>
        <w:rPr>
          <w:rFonts w:ascii="Times New Roman" w:hAnsi="Times New Roman"/>
          <w:noProof/>
          <w:vertAlign w:val="subscript"/>
        </w:rPr>
        <w:t>2</w:t>
      </w:r>
      <w:r>
        <w:rPr>
          <w:rStyle w:val="FootnoteReference"/>
          <w:rFonts w:ascii="Times New Roman" w:eastAsia="Times New Roman" w:hAnsi="Times New Roman" w:cs="Times New Roman"/>
          <w:noProof/>
        </w:rPr>
        <w:footnoteReference w:id="20"/>
      </w:r>
      <w:r>
        <w:rPr>
          <w:rFonts w:ascii="Times New Roman" w:hAnsi="Times New Roman"/>
          <w:noProof/>
        </w:rPr>
        <w:t>. V letech 2013 až 2017 klesly započítané čisté kredity z –133,9 na –80,5 mil. tun ekvivalentu CO</w:t>
      </w:r>
      <w:r>
        <w:rPr>
          <w:rFonts w:ascii="Times New Roman" w:hAnsi="Times New Roman"/>
          <w:noProof/>
          <w:vertAlign w:val="subscript"/>
        </w:rPr>
        <w:t>2</w:t>
      </w:r>
      <w:r>
        <w:rPr>
          <w:rFonts w:ascii="Times New Roman" w:hAnsi="Times New Roman"/>
          <w:noProof/>
        </w:rPr>
        <w:t>. Tato množství pro EU zahrnují jak „povinné“ (zalesňování/opětovné zalesňování, odlesňování a obhospodařování lesů), tak „volitelné“ činnosti v rámci Kjótského protokolu</w:t>
      </w:r>
      <w:r>
        <w:rPr>
          <w:rStyle w:val="FootnoteReference"/>
          <w:rFonts w:ascii="Times New Roman" w:eastAsia="Times New Roman" w:hAnsi="Times New Roman" w:cs="Times New Roman"/>
          <w:noProof/>
        </w:rPr>
        <w:footnoteReference w:id="21"/>
      </w:r>
      <w:r>
        <w:rPr>
          <w:rFonts w:ascii="Times New Roman" w:hAnsi="Times New Roman"/>
          <w:noProof/>
        </w:rPr>
        <w:t xml:space="preserve">. </w:t>
      </w:r>
    </w:p>
    <w:p>
      <w:pPr>
        <w:jc w:val="both"/>
        <w:rPr>
          <w:rFonts w:ascii="Times New Roman" w:eastAsia="Times New Roman" w:hAnsi="Times New Roman" w:cs="Times New Roman"/>
          <w:noProof/>
          <w:color w:val="000000"/>
          <w:sz w:val="24"/>
          <w:szCs w:val="24"/>
        </w:rPr>
      </w:pPr>
      <w:r>
        <w:rPr>
          <w:rFonts w:ascii="Times New Roman" w:hAnsi="Times New Roman"/>
          <w:noProof/>
        </w:rPr>
        <w:t xml:space="preserve">Výše popsané snížení čistých kreditů je do velké míry výsledkem klesání kreditů nebo přeměnou kreditů v debety po úhradách za lesní hospodářství v Chorvatsku, Česku, Dánsku, Francii, Itálii, Litvě, Portugalsku, Slovinsku a Spojeném království.  Hlavním důvodem je nárůst těžby, který je důsledkem zejména výrazného nárůstu poptávky po dřevu a vnitrostátních politik, a v menší míře i toho, že více lesů dosahuje tzv. mýtného věku, např. v Dánsku a Francii. K vyšším emisím přispěly i přírodní škodliví činitelé. Například emise z lesních požárů v roce 2017 v Itálii a Portugalsku patřily mezi nejvyšší kdy zaznamenané.  V Litvě, Slovinsku a Česku lesy dramaticky poškodili škůdci a větrné bouře. </w:t>
      </w:r>
    </w:p>
    <w:p>
      <w:pPr>
        <w:jc w:val="both"/>
        <w:rPr>
          <w:rFonts w:ascii="Times New Roman" w:eastAsia="Times New Roman" w:hAnsi="Times New Roman" w:cs="Times New Roman"/>
          <w:noProof/>
          <w:color w:val="000000"/>
          <w:sz w:val="24"/>
          <w:szCs w:val="24"/>
        </w:rPr>
      </w:pPr>
      <w:r>
        <w:rPr>
          <w:rFonts w:ascii="Times New Roman" w:hAnsi="Times New Roman"/>
          <w:noProof/>
        </w:rPr>
        <w:t>Není jisté, zda tento trend bude pokračovat. V souvislosti se změnou klimatu však lze předpokládat, že události způsobené přírodními škodlivými činiteli budou stále častější. Vývoj trhu bude záviset především na hospodářském kontextu. Očekává se, že v důsledku politik, které vstoupí v platnost v roce 2021, bude přibývat iniciativ týkajících se nahrazování materiálů a používání dřeva jako zdroje energie a rovněž programů zalesňování a obnovy lesů.</w:t>
      </w:r>
    </w:p>
    <w:p>
      <w:pPr>
        <w:jc w:val="both"/>
        <w:rPr>
          <w:rFonts w:ascii="Times New Roman" w:eastAsia="Times New Roman" w:hAnsi="Times New Roman" w:cs="Times New Roman"/>
          <w:noProof/>
          <w:color w:val="000000"/>
          <w:sz w:val="24"/>
          <w:szCs w:val="24"/>
        </w:rPr>
      </w:pPr>
      <w:r>
        <w:rPr>
          <w:rFonts w:ascii="Times New Roman" w:hAnsi="Times New Roman"/>
          <w:noProof/>
        </w:rPr>
        <w:t xml:space="preserve">Podle účetních pravidel pro druhé kontrolní období Kjótského protokolu vykazují Kypr, Česko, Finsko, Francie, Itálie, Lotyšsko, Litva, Nizozemsko, Portugalsko a Slovinsko alespoň za jeden rok tohoto předběžného účetního období čistý debet. </w:t>
      </w:r>
    </w:p>
    <w:p>
      <w:pPr>
        <w:jc w:val="both"/>
        <w:rPr>
          <w:rFonts w:ascii="Times New Roman" w:hAnsi="Times New Roman" w:cs="Times New Roman"/>
          <w:noProof/>
          <w:sz w:val="24"/>
          <w:szCs w:val="24"/>
        </w:rPr>
      </w:pPr>
      <w:r>
        <w:rPr>
          <w:rFonts w:ascii="Times New Roman" w:hAnsi="Times New Roman"/>
          <w:noProof/>
        </w:rPr>
        <w:t>Rámec politiky v oblasti klimatu a energetiky do roku 2030 poprvé integruje emise a jejich pohlcování v důsledku využívání půdy.  Od roku 2021 požaduje nařízení o LULUCF</w:t>
      </w:r>
      <w:r>
        <w:rPr>
          <w:rStyle w:val="FootnoteReference"/>
          <w:rFonts w:ascii="Times New Roman" w:hAnsi="Times New Roman" w:cs="Times New Roman"/>
          <w:noProof/>
        </w:rPr>
        <w:footnoteReference w:id="22"/>
      </w:r>
      <w:r>
        <w:rPr>
          <w:rFonts w:ascii="Times New Roman" w:hAnsi="Times New Roman"/>
          <w:noProof/>
        </w:rPr>
        <w:t>, aby každý členský stát zajistil, že započtené emise z využívání půdy budou zcela kompenzovány rovnocenným ekvivalentem pohlcení CO</w:t>
      </w:r>
      <w:r>
        <w:rPr>
          <w:rFonts w:ascii="Times New Roman" w:hAnsi="Times New Roman"/>
          <w:noProof/>
          <w:vertAlign w:val="subscript"/>
        </w:rPr>
        <w:t>2</w:t>
      </w:r>
      <w:r>
        <w:rPr>
          <w:rFonts w:ascii="Times New Roman" w:hAnsi="Times New Roman"/>
          <w:noProof/>
        </w:rPr>
        <w:t xml:space="preserve"> z atmosféry prostřednictvím opatření v této oblasti. Toto „pravidlo nulového pasivního zůstatku“ znamená, že členské státy musejí kompenzovat emise z odlesňování například ekvivalentními propady uhlíku v důsledku zalesňování nebo zlepšení udržitelného řízení stávajících lesů. </w:t>
      </w:r>
    </w:p>
    <w:p>
      <w:pPr>
        <w:jc w:val="both"/>
        <w:rPr>
          <w:rFonts w:ascii="Times New Roman" w:hAnsi="Times New Roman" w:cs="Times New Roman"/>
          <w:noProof/>
          <w:sz w:val="24"/>
          <w:szCs w:val="24"/>
        </w:rPr>
      </w:pPr>
      <w:r>
        <w:rPr>
          <w:rFonts w:ascii="Times New Roman" w:hAnsi="Times New Roman"/>
          <w:noProof/>
        </w:rPr>
        <w:t>Členské státy předložily vnitrostátní plány započítávání pro lesnictví, včetně navrhovaných referenčních úrovní pro lesy. Odborná skupina návrhy posoudila po technické stránce</w:t>
      </w:r>
      <w:r>
        <w:rPr>
          <w:rStyle w:val="FootnoteReference"/>
          <w:rFonts w:ascii="Times New Roman" w:hAnsi="Times New Roman" w:cs="Times New Roman"/>
          <w:noProof/>
        </w:rPr>
        <w:footnoteReference w:id="23"/>
      </w:r>
      <w:r>
        <w:rPr>
          <w:rFonts w:ascii="Times New Roman" w:hAnsi="Times New Roman"/>
          <w:noProof/>
        </w:rPr>
        <w:t xml:space="preserve"> a Evropská komise vydala technická doporučení pro zlepšení těchto vnitrostátních plánů</w:t>
      </w:r>
      <w:r>
        <w:rPr>
          <w:rStyle w:val="FootnoteReference"/>
          <w:rFonts w:ascii="Times New Roman" w:hAnsi="Times New Roman" w:cs="Times New Roman"/>
          <w:noProof/>
        </w:rPr>
        <w:footnoteReference w:id="24"/>
      </w:r>
      <w:r>
        <w:rPr>
          <w:rFonts w:ascii="Times New Roman" w:hAnsi="Times New Roman"/>
          <w:noProof/>
        </w:rPr>
        <w:t>.  Na základě toho by členské státy měly své plány do 31. prosince 2019 revidovat.</w:t>
      </w:r>
    </w:p>
    <w:p>
      <w:pPr>
        <w:jc w:val="both"/>
        <w:rPr>
          <w:rFonts w:ascii="Times New Roman" w:hAnsi="Times New Roman" w:cs="Times New Roman"/>
          <w:noProof/>
          <w:sz w:val="24"/>
          <w:szCs w:val="24"/>
        </w:rPr>
      </w:pPr>
      <w:r>
        <w:rPr>
          <w:rFonts w:ascii="Times New Roman" w:hAnsi="Times New Roman"/>
          <w:noProof/>
        </w:rPr>
        <w:t>Emisemi a jejich pohlcováním v oblasti LULUCF se rovněž zabývalo sdělení Komise „Čistá planeta pro všechny“</w:t>
      </w:r>
      <w:r>
        <w:rPr>
          <w:rStyle w:val="FootnoteReference"/>
          <w:rFonts w:ascii="Times New Roman" w:hAnsi="Times New Roman" w:cs="Times New Roman"/>
          <w:noProof/>
        </w:rPr>
        <w:footnoteReference w:id="25"/>
      </w:r>
      <w:r>
        <w:rPr>
          <w:rFonts w:ascii="Times New Roman" w:hAnsi="Times New Roman"/>
          <w:noProof/>
        </w:rPr>
        <w:t xml:space="preserve">. V současnosti půdy v EU ukládají více emisí, než při jejich využívání vzniká. I když se předpokládá, že se tento propad bude zmírňovat, bude muset spolu s dalšími technologickými řešeními hrát větší úlohu, aby bylo možné zbývající emise z jiných odvětví vyrovnat a dosáhnout nulových čistých emisí do roku 2050, jak je znázorněno na obrázku 1. </w:t>
      </w:r>
    </w:p>
    <w:p>
      <w:pPr>
        <w:jc w:val="both"/>
        <w:rPr>
          <w:rFonts w:ascii="Times New Roman" w:hAnsi="Times New Roman"/>
          <w:noProof/>
          <w:sz w:val="24"/>
          <w:szCs w:val="24"/>
        </w:rPr>
      </w:pPr>
    </w:p>
    <w:p>
      <w:pPr>
        <w:pStyle w:val="Heading1"/>
        <w:spacing w:after="240"/>
        <w:ind w:left="714" w:hanging="357"/>
        <w:jc w:val="both"/>
        <w:rPr>
          <w:noProof/>
        </w:rPr>
      </w:pPr>
      <w:r>
        <w:rPr>
          <w:noProof/>
        </w:rPr>
        <w:t>VÝVOJ POLITIKY OD ŘÍJNA 2018</w:t>
      </w:r>
    </w:p>
    <w:p>
      <w:pPr>
        <w:jc w:val="both"/>
        <w:rPr>
          <w:rFonts w:ascii="Times New Roman" w:hAnsi="Times New Roman" w:cs="Times New Roman"/>
          <w:noProof/>
          <w:sz w:val="24"/>
        </w:rPr>
      </w:pPr>
      <w:r>
        <w:rPr>
          <w:rFonts w:ascii="Times New Roman" w:hAnsi="Times New Roman"/>
          <w:noProof/>
        </w:rPr>
        <w:t xml:space="preserve">EU dále vyvíjí svůj politický rámec pro snižování emisí skleníkových plynů a přizpůsobování se změně klimatu. V posledním roce došlo k významnému pokroku ve snižování emisí ze silniční dopravy a při podpoře udržitelného financování. </w:t>
      </w:r>
    </w:p>
    <w:p>
      <w:pPr>
        <w:pStyle w:val="Heading2"/>
        <w:spacing w:after="120"/>
        <w:rPr>
          <w:noProof/>
        </w:rPr>
      </w:pPr>
      <w:r>
        <w:rPr>
          <w:noProof/>
        </w:rPr>
        <w:t xml:space="preserve">Silniční doprava </w:t>
      </w:r>
    </w:p>
    <w:p>
      <w:pPr>
        <w:jc w:val="both"/>
        <w:rPr>
          <w:rFonts w:ascii="Times New Roman" w:hAnsi="Times New Roman" w:cs="Times New Roman"/>
          <w:noProof/>
          <w:sz w:val="24"/>
          <w:szCs w:val="24"/>
        </w:rPr>
      </w:pPr>
      <w:r>
        <w:rPr>
          <w:rFonts w:ascii="Times New Roman" w:hAnsi="Times New Roman"/>
          <w:noProof/>
        </w:rPr>
        <w:t>Nařízení přijaté dne 17. dubna 2019</w:t>
      </w:r>
      <w:r>
        <w:rPr>
          <w:rStyle w:val="FootnoteReference"/>
          <w:rFonts w:ascii="Times New Roman" w:hAnsi="Times New Roman" w:cs="Times New Roman"/>
          <w:noProof/>
        </w:rPr>
        <w:footnoteReference w:id="26"/>
      </w:r>
      <w:r>
        <w:rPr>
          <w:rFonts w:ascii="Times New Roman" w:hAnsi="Times New Roman"/>
          <w:noProof/>
        </w:rPr>
        <w:t xml:space="preserve"> stanoví nové emisní normy pro osobní automobily a dodávky od roku 2020. Do roku 2025 budou muset být průměrné emise z nových osobních automobilů o 15 % nižší a do roku 2030 o 37,5 % nižší než v roce 2021, u dodávek se bude požadovat snížení o 15% do roku 2025 a 31 % do roku 2030 oproti roku 2021.</w:t>
      </w:r>
    </w:p>
    <w:p>
      <w:pPr>
        <w:jc w:val="both"/>
        <w:rPr>
          <w:rFonts w:ascii="Times New Roman" w:hAnsi="Times New Roman" w:cs="Times New Roman"/>
          <w:noProof/>
          <w:sz w:val="24"/>
          <w:szCs w:val="24"/>
        </w:rPr>
      </w:pPr>
      <w:r>
        <w:rPr>
          <w:rFonts w:ascii="Times New Roman" w:hAnsi="Times New Roman"/>
          <w:noProof/>
        </w:rPr>
        <w:t>Emisní normy CO</w:t>
      </w:r>
      <w:r>
        <w:rPr>
          <w:rFonts w:ascii="Times New Roman" w:hAnsi="Times New Roman"/>
          <w:noProof/>
          <w:vertAlign w:val="subscript"/>
        </w:rPr>
        <w:t>2</w:t>
      </w:r>
      <w:r>
        <w:rPr>
          <w:rFonts w:ascii="Times New Roman" w:hAnsi="Times New Roman"/>
          <w:noProof/>
        </w:rPr>
        <w:t xml:space="preserve"> pro těžká vozidla v EU byly poprvé stanoveny nařízením</w:t>
      </w:r>
      <w:r>
        <w:rPr>
          <w:rStyle w:val="FootnoteReference"/>
          <w:rFonts w:ascii="Times New Roman" w:hAnsi="Times New Roman" w:cs="Times New Roman"/>
          <w:noProof/>
        </w:rPr>
        <w:footnoteReference w:id="27"/>
      </w:r>
      <w:r>
        <w:rPr>
          <w:rFonts w:ascii="Times New Roman" w:hAnsi="Times New Roman"/>
          <w:noProof/>
        </w:rPr>
        <w:t xml:space="preserve"> přijatým dne 20. června 2019.  Emise z nákladních automobilů nově uváděných na trh v EU budou muset být do roku 2025 v průměru o 15 % a do roku 2030 o 30 % nižší než v roce 2019. . </w:t>
      </w:r>
    </w:p>
    <w:p>
      <w:pPr>
        <w:jc w:val="both"/>
        <w:rPr>
          <w:rFonts w:ascii="Times New Roman" w:hAnsi="Times New Roman" w:cs="Times New Roman"/>
          <w:noProof/>
          <w:sz w:val="24"/>
          <w:szCs w:val="24"/>
        </w:rPr>
      </w:pPr>
      <w:r>
        <w:rPr>
          <w:rFonts w:ascii="Times New Roman" w:hAnsi="Times New Roman"/>
          <w:noProof/>
        </w:rPr>
        <w:t xml:space="preserve">Obě nařízení stanoví počínaje rokem 2025 mechanismy motivující k zavádění vozidel s nulovými a nízkými emisemi na základě referenčních hodnot. Zahrnují rovněž nová ustanovení s cílem zajistit reprezentativnost monitorovaných emisí v reálném provozu. </w:t>
      </w:r>
    </w:p>
    <w:p>
      <w:pPr>
        <w:jc w:val="both"/>
        <w:rPr>
          <w:rFonts w:ascii="Times New Roman" w:hAnsi="Times New Roman" w:cs="Times New Roman"/>
          <w:noProof/>
          <w:sz w:val="24"/>
          <w:szCs w:val="24"/>
        </w:rPr>
      </w:pPr>
      <w:r>
        <w:rPr>
          <w:rFonts w:ascii="Times New Roman" w:hAnsi="Times New Roman"/>
          <w:noProof/>
        </w:rPr>
        <w:t>Dále byla dne 20. června 2019 přijata revize směrnice o čistých vozidlech</w:t>
      </w:r>
      <w:r>
        <w:rPr>
          <w:rStyle w:val="FootnoteReference"/>
          <w:rFonts w:ascii="Times New Roman" w:hAnsi="Times New Roman" w:cs="Times New Roman"/>
          <w:noProof/>
        </w:rPr>
        <w:footnoteReference w:id="28"/>
      </w:r>
      <w:r>
        <w:rPr>
          <w:rFonts w:ascii="Times New Roman" w:hAnsi="Times New Roman"/>
          <w:noProof/>
        </w:rPr>
        <w:t xml:space="preserve"> s cílem podpořit řešení v oblasti čisté mobility v rámci zadávání veřejných zakázek. </w:t>
      </w:r>
    </w:p>
    <w:p>
      <w:pPr>
        <w:jc w:val="both"/>
        <w:rPr>
          <w:rFonts w:ascii="Times New Roman" w:hAnsi="Times New Roman" w:cs="Times New Roman"/>
          <w:noProof/>
          <w:sz w:val="24"/>
          <w:szCs w:val="24"/>
        </w:rPr>
      </w:pPr>
      <w:r>
        <w:rPr>
          <w:rFonts w:ascii="Times New Roman" w:hAnsi="Times New Roman"/>
          <w:noProof/>
        </w:rPr>
        <w:t>V neposlední řadě je třeba zmínit jednání mezi Evropským parlamentem a Radou o revizi i) směrnice o euroznámce</w:t>
      </w:r>
      <w:r>
        <w:rPr>
          <w:rStyle w:val="FootnoteReference"/>
          <w:rFonts w:ascii="Times New Roman" w:hAnsi="Times New Roman" w:cs="Times New Roman"/>
          <w:noProof/>
        </w:rPr>
        <w:footnoteReference w:id="29"/>
      </w:r>
      <w:r>
        <w:rPr>
          <w:rFonts w:ascii="Times New Roman" w:hAnsi="Times New Roman"/>
          <w:noProof/>
        </w:rPr>
        <w:t>, která má podpořit inteligentnější zpoplatnění silniční infrastruktury, a ii) směrnice o kombinované přepravě</w:t>
      </w:r>
      <w:r>
        <w:rPr>
          <w:rStyle w:val="FootnoteReference"/>
          <w:rFonts w:ascii="Times New Roman" w:hAnsi="Times New Roman" w:cs="Times New Roman"/>
          <w:noProof/>
        </w:rPr>
        <w:footnoteReference w:id="30"/>
      </w:r>
      <w:r>
        <w:rPr>
          <w:rFonts w:ascii="Times New Roman" w:hAnsi="Times New Roman"/>
          <w:noProof/>
        </w:rPr>
        <w:t xml:space="preserve"> na podporu kombinovaného využívání různých druhů dopravy (např. nákladních vozidel a vlaků) při přepravě zboží.</w:t>
      </w:r>
    </w:p>
    <w:p>
      <w:pPr>
        <w:pStyle w:val="Heading2"/>
        <w:spacing w:after="120"/>
        <w:rPr>
          <w:noProof/>
        </w:rPr>
      </w:pPr>
      <w:r>
        <w:rPr>
          <w:noProof/>
        </w:rPr>
        <w:t>Udržitelné financování</w:t>
      </w:r>
    </w:p>
    <w:p>
      <w:pPr>
        <w:spacing w:line="276" w:lineRule="auto"/>
        <w:jc w:val="both"/>
        <w:rPr>
          <w:rFonts w:ascii="Times New Roman" w:eastAsia="Times New Roman" w:hAnsi="Times New Roman" w:cs="Times New Roman"/>
          <w:noProof/>
          <w:sz w:val="24"/>
          <w:szCs w:val="24"/>
        </w:rPr>
      </w:pPr>
      <w:r>
        <w:rPr>
          <w:rFonts w:ascii="Times New Roman" w:hAnsi="Times New Roman"/>
          <w:noProof/>
        </w:rPr>
        <w:t>Pro dosažení cílů EU v oblasti klimatu je nutná změna struktury investic. V rámci legislativního prostředí přizpůsobuje EU svůj rámec pro finanční a kapitálové trhy výzvám, které přináší změna klimatu. V březnu 2018 navrhla Komise komplexní akční plán pro integraci udržitelnosti na kapitálových trzích</w:t>
      </w:r>
      <w:r>
        <w:rPr>
          <w:rStyle w:val="FootnoteReference"/>
          <w:rFonts w:ascii="Times New Roman" w:eastAsia="Times New Roman" w:hAnsi="Times New Roman" w:cs="Times New Roman"/>
          <w:noProof/>
        </w:rPr>
        <w:footnoteReference w:id="31"/>
      </w:r>
      <w:r>
        <w:rPr>
          <w:rFonts w:ascii="Times New Roman" w:hAnsi="Times New Roman"/>
          <w:noProof/>
        </w:rPr>
        <w:t xml:space="preserve"> se třemi hlavními cíli: přesměrovat kapitálové toky směrem k udržitelným investicím, řídit finanční rizika vyplývající ze změny klimatu, zhoršování životního prostředí a sociálních otázek a podporovat transparentnost a dlouhodobý charakter finančních a hospodářských činností. </w:t>
      </w:r>
    </w:p>
    <w:p>
      <w:pPr>
        <w:pStyle w:val="NormalWeb"/>
        <w:spacing w:line="276" w:lineRule="auto"/>
        <w:jc w:val="both"/>
        <w:rPr>
          <w:noProof/>
        </w:rPr>
      </w:pPr>
      <w:r>
        <w:rPr>
          <w:noProof/>
        </w:rPr>
        <w:t>V květnu 2018 navrhla Evropská komise první legislativní balíček opatření</w:t>
      </w:r>
      <w:r>
        <w:rPr>
          <w:rStyle w:val="FootnoteReference"/>
          <w:noProof/>
        </w:rPr>
        <w:footnoteReference w:id="32"/>
      </w:r>
      <w:r>
        <w:rPr>
          <w:noProof/>
        </w:rPr>
        <w:t xml:space="preserve"> pro provádění tohoto akčního plánu. Spolunormotvůrci se dohodli na nařízení o zveřejňování informací ohledně udržitelných investic a rizik týkajících se udržitelnosti a na nařízení o referenčních hodnotách pro nízkouhlíkové investice a pro investice s pozitivním uhlíkovým dopadem. Komise vydala pokyny pro podniky k vykazování informací týkajících se klimatu podle směrnice o vykazování nefinančních informací</w:t>
      </w:r>
      <w:r>
        <w:rPr>
          <w:rStyle w:val="FootnoteReference"/>
          <w:noProof/>
        </w:rPr>
        <w:footnoteReference w:id="33"/>
      </w:r>
      <w:r>
        <w:rPr>
          <w:noProof/>
        </w:rPr>
        <w:t>. Probíhají jednání o návrhu nařízení o zřízení rámce pro usnadnění udržitelného investování (prostřednictvím tzv. taxonomie). Pokračují rovněž přípravné a nelegislativní práce na dalších prvcích akčního plánu.</w:t>
      </w:r>
    </w:p>
    <w:p>
      <w:pPr>
        <w:pStyle w:val="Heading1"/>
        <w:spacing w:after="240"/>
        <w:ind w:left="714" w:hanging="357"/>
        <w:jc w:val="both"/>
        <w:rPr>
          <w:noProof/>
        </w:rPr>
      </w:pPr>
      <w:r>
        <w:rPr>
          <w:noProof/>
        </w:rPr>
        <w:t>FINANCOVÁNÍ OPATŘENÍ V OBLASTI KLIMATU</w:t>
      </w:r>
    </w:p>
    <w:p>
      <w:pPr>
        <w:pStyle w:val="Heading2"/>
        <w:spacing w:after="120"/>
        <w:rPr>
          <w:noProof/>
        </w:rPr>
      </w:pPr>
      <w:r>
        <w:rPr>
          <w:noProof/>
        </w:rPr>
        <w:t xml:space="preserve">Začleňování politik v oblasti klimatu do rozpočtu EU </w:t>
      </w:r>
    </w:p>
    <w:p>
      <w:pPr>
        <w:jc w:val="both"/>
        <w:rPr>
          <w:rFonts w:ascii="Times New Roman" w:hAnsi="Times New Roman" w:cs="Times New Roman"/>
          <w:noProof/>
          <w:sz w:val="24"/>
          <w:szCs w:val="24"/>
        </w:rPr>
      </w:pPr>
      <w:r>
        <w:rPr>
          <w:rFonts w:ascii="Times New Roman" w:hAnsi="Times New Roman"/>
          <w:noProof/>
        </w:rPr>
        <w:t>EU se zavázala vyčlenit na výdaje související s klimatem v období 2014–2020 v průměru nejméně 20 % svého rozpočtu. Poslední dostupné údaje ukazují, že takové výdaje v roce 2018 představovaly 20,7 % rozpočtu</w:t>
      </w:r>
      <w:r>
        <w:rPr>
          <w:rFonts w:ascii="Times New Roman" w:hAnsi="Times New Roman" w:cs="Times New Roman"/>
          <w:noProof/>
          <w:vertAlign w:val="superscript"/>
        </w:rPr>
        <w:footnoteReference w:id="34"/>
      </w:r>
      <w:r>
        <w:rPr>
          <w:rFonts w:ascii="Times New Roman" w:hAnsi="Times New Roman"/>
          <w:noProof/>
        </w:rPr>
        <w:t xml:space="preserve">. Podle rozpočtového trendu by se v současném víceletém finančním rámci na tyto účely vynaložilo v průměru 209 miliard EUR (tedy 19,7 % rozpočtu). </w:t>
      </w:r>
    </w:p>
    <w:p>
      <w:pPr>
        <w:jc w:val="both"/>
        <w:rPr>
          <w:rFonts w:ascii="Times New Roman" w:hAnsi="Times New Roman" w:cs="Times New Roman"/>
          <w:noProof/>
          <w:sz w:val="24"/>
          <w:szCs w:val="24"/>
          <w:vertAlign w:val="superscript"/>
        </w:rPr>
      </w:pPr>
      <w:r>
        <w:rPr>
          <w:rFonts w:ascii="Times New Roman" w:hAnsi="Times New Roman"/>
          <w:noProof/>
        </w:rPr>
        <w:t>Na základě tohoto úspěchu navrhla Komise dne 2. května 2018 ambicióznější cíl, podle něhož by v dalším víceletém rozpočtovém rámci (2021–2017) měly výdaje přispívající k dosažení cílů v oblasti klimatu představovat 25 % všech výdajů.</w:t>
      </w:r>
      <w:r>
        <w:rPr>
          <w:rFonts w:ascii="Times New Roman" w:hAnsi="Times New Roman"/>
          <w:noProof/>
          <w:vertAlign w:val="superscript"/>
        </w:rPr>
        <w:t xml:space="preserve"> </w:t>
      </w:r>
      <w:r>
        <w:rPr>
          <w:rFonts w:ascii="Times New Roman" w:hAnsi="Times New Roman" w:cs="Times New Roman"/>
          <w:noProof/>
          <w:vertAlign w:val="superscript"/>
        </w:rPr>
        <w:footnoteReference w:id="35"/>
      </w:r>
    </w:p>
    <w:p>
      <w:pPr>
        <w:jc w:val="both"/>
        <w:rPr>
          <w:rFonts w:ascii="Times New Roman" w:hAnsi="Times New Roman" w:cs="Times New Roman"/>
          <w:noProof/>
          <w:sz w:val="24"/>
          <w:szCs w:val="24"/>
          <w:vertAlign w:val="superscript"/>
        </w:rPr>
      </w:pPr>
    </w:p>
    <w:p>
      <w:pPr>
        <w:jc w:val="both"/>
        <w:rPr>
          <w:rFonts w:ascii="Times New Roman" w:hAnsi="Times New Roman" w:cs="Times New Roman"/>
          <w:noProof/>
          <w:sz w:val="24"/>
          <w:szCs w:val="24"/>
        </w:rPr>
      </w:pPr>
      <w:r>
        <w:rPr>
          <w:noProof/>
          <w:lang w:val="en-GB" w:eastAsia="en-GB"/>
        </w:rPr>
        <w:drawing>
          <wp:inline distT="0" distB="0" distL="0" distR="0">
            <wp:extent cx="5419725" cy="3800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9725" cy="3800475"/>
                    </a:xfrm>
                    <a:prstGeom prst="rect">
                      <a:avLst/>
                    </a:prstGeom>
                    <a:noFill/>
                    <a:ln>
                      <a:noFill/>
                    </a:ln>
                  </pic:spPr>
                </pic:pic>
              </a:graphicData>
            </a:graphic>
          </wp:inline>
        </w:drawing>
      </w:r>
    </w:p>
    <w:p>
      <w:pPr>
        <w:pStyle w:val="Caption"/>
        <w:rPr>
          <w:rFonts w:ascii="Times New Roman" w:hAnsi="Times New Roman"/>
          <w:noProof/>
          <w:sz w:val="22"/>
          <w:szCs w:val="24"/>
        </w:rPr>
      </w:pPr>
      <w:r>
        <w:rPr>
          <w:noProof/>
        </w:rPr>
        <w:t xml:space="preserve">Obrázek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Výdaje z rozpočtu EU související s klimatem, 2014–2020 (v milionech EUR a procentních podílech rozpočtu EU)</w:t>
      </w:r>
    </w:p>
    <w:p>
      <w:pPr>
        <w:pStyle w:val="Heading2"/>
        <w:rPr>
          <w:noProof/>
        </w:rPr>
      </w:pPr>
    </w:p>
    <w:p>
      <w:pPr>
        <w:pStyle w:val="Heading2"/>
        <w:spacing w:after="120"/>
        <w:rPr>
          <w:noProof/>
        </w:rPr>
      </w:pPr>
      <w:r>
        <w:rPr>
          <w:noProof/>
        </w:rPr>
        <w:t>Využívání příjmů z dražeb povolenek v rámci systému EU pro obchodování s povolenkami</w:t>
      </w:r>
    </w:p>
    <w:p>
      <w:pPr>
        <w:jc w:val="both"/>
        <w:rPr>
          <w:rFonts w:ascii="Times New Roman" w:hAnsi="Times New Roman" w:cs="Times New Roman"/>
          <w:noProof/>
          <w:sz w:val="24"/>
        </w:rPr>
      </w:pPr>
      <w:r>
        <w:rPr>
          <w:rFonts w:ascii="Times New Roman" w:hAnsi="Times New Roman"/>
          <w:noProof/>
        </w:rPr>
        <w:t>V důsledku vyšších cen uhlíku vydělaly v roce 2018 členské státy na dražbách povolenek v systému EU ETS 13,6 miliardy EUR, což je o 8 miliard EUR více než v roce 2017. V roce 2018 bylo téměř 70 % těchto příjmů využito nebo se plánuje, že bude využito v oblasti klimatu a energetiky.</w:t>
      </w:r>
      <w:r>
        <w:rPr>
          <w:rFonts w:ascii="Times New Roman" w:hAnsi="Times New Roman"/>
          <w:i/>
          <w:noProof/>
        </w:rPr>
        <w:t xml:space="preserve"> </w:t>
      </w:r>
      <w:r>
        <w:rPr>
          <w:rFonts w:ascii="Times New Roman" w:hAnsi="Times New Roman"/>
          <w:noProof/>
        </w:rPr>
        <w:t xml:space="preserve">V období 2013–2018 se tak využilo téměř 80 % příjmů nebo se jejich použití pro tyto účely plánuje. Většina z těchto příjmů se vynakládá na vnitrostátní a unijní účely, zatímco menší objem je určen pro klimatické a energetické účely na mezinárodní úrovni. Obrázek 12 ukazuje celkové příjmy ze systému EU pro obchodování s emisemi a jejich využití v oblasti klimatu a energetiky. </w:t>
      </w:r>
    </w:p>
    <w:p>
      <w:pPr>
        <w:jc w:val="both"/>
        <w:rPr>
          <w:rFonts w:ascii="Times New Roman" w:hAnsi="Times New Roman" w:cs="Times New Roman"/>
          <w:noProof/>
          <w:sz w:val="24"/>
        </w:rPr>
      </w:pPr>
    </w:p>
    <w:p>
      <w:pPr>
        <w:pStyle w:val="Caption"/>
        <w:rPr>
          <w:noProof/>
        </w:rPr>
      </w:pPr>
      <w:r>
        <w:rPr>
          <w:noProof/>
          <w:lang w:val="en-GB" w:eastAsia="en-GB"/>
        </w:rPr>
        <w:drawing>
          <wp:inline distT="0" distB="0" distL="0" distR="0">
            <wp:extent cx="4962525" cy="27146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2525" cy="2714625"/>
                    </a:xfrm>
                    <a:prstGeom prst="rect">
                      <a:avLst/>
                    </a:prstGeom>
                    <a:noFill/>
                    <a:ln>
                      <a:noFill/>
                    </a:ln>
                  </pic:spPr>
                </pic:pic>
              </a:graphicData>
            </a:graphic>
          </wp:inline>
        </w:drawing>
      </w:r>
    </w:p>
    <w:p>
      <w:pPr>
        <w:pStyle w:val="Caption"/>
        <w:rPr>
          <w:rFonts w:ascii="Times New Roman" w:hAnsi="Times New Roman"/>
          <w:noProof/>
          <w:sz w:val="24"/>
        </w:rPr>
      </w:pPr>
      <w:r>
        <w:rPr>
          <w:noProof/>
        </w:rPr>
        <w:t xml:space="preserve">Obrázek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Využití příjmů z dražeb povolenek v rámci systému ETS, 2013–2018 (v miliardách EUR)</w:t>
      </w:r>
    </w:p>
    <w:p>
      <w:pPr>
        <w:jc w:val="both"/>
        <w:rPr>
          <w:rFonts w:ascii="Times New Roman" w:hAnsi="Times New Roman" w:cs="Times New Roman"/>
          <w:noProof/>
          <w:sz w:val="24"/>
        </w:rPr>
      </w:pPr>
      <w:r>
        <w:rPr>
          <w:rFonts w:ascii="Times New Roman" w:hAnsi="Times New Roman"/>
          <w:noProof/>
        </w:rPr>
        <w:t xml:space="preserve">V případě příjmů, které byly využity vnitrostátně, byly nejvyšší částky vynaloženy na energii z obnovitelných zdrojů, energetickou účinnost a udržitelnou dopravu. Obrázek 13 ukazuje domácí využití příjmů z dražeb. </w:t>
      </w:r>
    </w:p>
    <w:p>
      <w:pPr>
        <w:jc w:val="both"/>
        <w:rPr>
          <w:rFonts w:ascii="Times New Roman" w:hAnsi="Times New Roman" w:cs="Times New Roman"/>
          <w:noProof/>
          <w:sz w:val="24"/>
        </w:rPr>
      </w:pPr>
      <w:r>
        <w:rPr>
          <w:noProof/>
          <w:lang w:val="en-GB" w:eastAsia="en-GB"/>
        </w:rPr>
        <w:drawing>
          <wp:inline distT="0" distB="0" distL="0" distR="0">
            <wp:extent cx="4181475" cy="27336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1475" cy="2733675"/>
                    </a:xfrm>
                    <a:prstGeom prst="rect">
                      <a:avLst/>
                    </a:prstGeom>
                    <a:noFill/>
                    <a:ln>
                      <a:noFill/>
                    </a:ln>
                  </pic:spPr>
                </pic:pic>
              </a:graphicData>
            </a:graphic>
          </wp:inline>
        </w:drawing>
      </w:r>
    </w:p>
    <w:p>
      <w:pPr>
        <w:pStyle w:val="Caption"/>
        <w:rPr>
          <w:rFonts w:ascii="Times New Roman" w:hAnsi="Times New Roman"/>
          <w:noProof/>
          <w:sz w:val="24"/>
        </w:rPr>
      </w:pPr>
      <w:r>
        <w:rPr>
          <w:noProof/>
        </w:rPr>
        <w:t xml:space="preserve">Obrázek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Domácí využití příjmů z dražeb povolenek v rámci systému ETS, 2013–2018 (v miliardách EUR)</w:t>
      </w:r>
    </w:p>
    <w:p>
      <w:pPr>
        <w:spacing w:after="120"/>
        <w:ind w:right="57"/>
        <w:jc w:val="both"/>
        <w:rPr>
          <w:b/>
          <w:noProof/>
          <w:color w:val="000000" w:themeColor="text1"/>
          <w:szCs w:val="24"/>
        </w:rPr>
      </w:pPr>
    </w:p>
    <w:p>
      <w:pPr>
        <w:pStyle w:val="Heading2"/>
        <w:spacing w:after="120"/>
        <w:rPr>
          <w:noProof/>
        </w:rPr>
      </w:pPr>
      <w:r>
        <w:rPr>
          <w:noProof/>
        </w:rPr>
        <w:t>Rezerva pro nové účastníky na trhu (nástroj NER300)</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rPr>
        <w:t xml:space="preserve">NER300 je jedním z největších světových programů pro financování demonstračních projektů zaměřených na výrobu energie za pomoci inovativních nízkouhlíkových technologií. Je financován ze zpeněžení 300 milionů emisních povolenek v rámci systému EU ETS. </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rPr>
        <w:t xml:space="preserve">V návaznosti na dvě výzvy k předkládání návrhů bylo ve 20 členských státech EU poskytnuto financování pro 38 projektů v oblasti energie z obnovitelných zdrojů a jeden projekt na zachycování a ukládání uhlíku, celková výše těchto investic dosáhla 2,1 miliardy EUR. Sedm projektů je již v provozu a do konce roku 2019 bude zprovozněno dalších pět. Čtyři projekty pokračují v přípravné fázi a zahájí provoz nejpozději do 30. června 2021. </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rPr>
        <w:t>Vzhledem k náročným hospodářským a politickým podmínkám od návrhu programu NER300 nebylo 19 projektů, které byly vybrány pro financování, schopno získat dostatečnou dodatečnou finanční podporu a bylo do července 2019 staženo.</w:t>
      </w:r>
      <w:r>
        <w:rPr>
          <w:noProof/>
        </w:rPr>
        <w:t xml:space="preserve"> </w:t>
      </w:r>
      <w:r>
        <w:rPr>
          <w:rFonts w:ascii="Times New Roman" w:hAnsi="Times New Roman"/>
          <w:noProof/>
        </w:rPr>
        <w:t xml:space="preserve">Čtyři další projekty se nacházejí v různých fázích vývoje. Ze stažených projektů z obou výzev k předkládání návrhů se uvolnilo celkem 1,358 miliardy EUR, které mají být znovu investovány do stávajících finančních nástrojů (623 milionů EUR ze stažených projektů z první výzvy) a do inovačního fondu (735,5 milionu EUR z druhé výzvy) (viz rámeček). </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lang w:val="en-GB" w:eastAsia="en-GB"/>
        </w:rPr>
        <mc:AlternateContent>
          <mc:Choice Requires="wps">
            <w:drawing>
              <wp:inline distT="0" distB="0" distL="0" distR="0">
                <wp:extent cx="5759533" cy="6893626"/>
                <wp:effectExtent l="0" t="0" r="12700" b="21590"/>
                <wp:docPr id="25" name="Text Box 25"/>
                <wp:cNvGraphicFramePr/>
                <a:graphic xmlns:a="http://schemas.openxmlformats.org/drawingml/2006/main">
                  <a:graphicData uri="http://schemas.microsoft.com/office/word/2010/wordprocessingShape">
                    <wps:wsp>
                      <wps:cNvSpPr txBox="1"/>
                      <wps:spPr>
                        <a:xfrm>
                          <a:off x="0" y="0"/>
                          <a:ext cx="5759533" cy="6893626"/>
                        </a:xfrm>
                        <a:prstGeom prst="rect">
                          <a:avLst/>
                        </a:prstGeom>
                        <a:solidFill>
                          <a:schemeClr val="lt1"/>
                        </a:solidFill>
                        <a:ln w="6350">
                          <a:solidFill>
                            <a:prstClr val="black"/>
                          </a:solidFill>
                        </a:ln>
                      </wps:spPr>
                      <wps:txbx>
                        <w:txbxContent>
                          <w:p>
                            <w:pPr>
                              <w:spacing w:after="120" w:line="276" w:lineRule="auto"/>
                              <w:ind w:right="57"/>
                              <w:rPr>
                                <w:rFonts w:ascii="Times New Roman" w:hAnsi="Times New Roman" w:cs="Times New Roman"/>
                                <w:b/>
                                <w:color w:val="000000" w:themeColor="text1"/>
                                <w:sz w:val="24"/>
                                <w:szCs w:val="24"/>
                              </w:rPr>
                            </w:pPr>
                            <w:r>
                              <w:rPr>
                                <w:rFonts w:ascii="Times New Roman" w:hAnsi="Times New Roman"/>
                                <w:b/>
                              </w:rPr>
                              <w:t>Demonstrační projekty v oblasti energetiky InnovFin</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Uvolněné prostředky ze zrušených projektů z první výzvy k předkládání návrhů (doposud 623 milionů EUR) jsou opětovně investovány do demonstračních projektů v oblasti energetiky InnovFin a dluhového nástroje v rámci Nástroje pro propojení Evropy, které jsou spravovány Evropskou investiční bankou. </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Dosud byly vybrány tři projekty, které by měly využít nevyčerpané finanční prostředky z NER300 v rámci iniciativy InnovFin EDP ve výši přibližně 73 milionů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Wave Roller: příspěvek z NER300 bude činit 10 milionů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Windfloat: projekt je podporován financováním z nástroje InnovFin EDP ve výši 60 milionů EUR z prostředků NER300, které nebyly využity. Windfloat rovněž čerpá prostředky z grantu v rámci původního programu NER300 ve výši téměř 30 milionů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Greenway EV Charging Network: projekt získal financování z EIB v rámci InnovFin EDP ve výši 17 milionů EUR, z čehož téměř 3 miliony EUR pocházejí z nevyčerpaných prostředků programu NER300.</w:t>
                            </w:r>
                          </w:p>
                          <w:p>
                            <w:pPr>
                              <w:spacing w:after="0" w:line="276" w:lineRule="auto"/>
                              <w:ind w:left="720"/>
                              <w:rPr>
                                <w:rFonts w:ascii="Times New Roman" w:eastAsia="Calibri" w:hAnsi="Times New Roman" w:cs="Times New Roman"/>
                                <w:color w:val="000000" w:themeColor="text1"/>
                                <w:sz w:val="24"/>
                                <w:szCs w:val="24"/>
                              </w:rPr>
                            </w:pP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Pomoc na rozvoj projektů financovanou z nevyužitých prostředků programu NER300 využily i další čtyři projekty. </w:t>
                            </w:r>
                          </w:p>
                          <w:p>
                            <w:r>
                              <w:rPr>
                                <w:noProof/>
                                <w:lang w:val="en-GB" w:eastAsia="en-GB"/>
                              </w:rPr>
                              <w:drawing>
                                <wp:inline distT="0" distB="0" distL="0" distR="0">
                                  <wp:extent cx="4785995" cy="2737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pPr>
                              <w:rPr>
                                <w:b/>
                                <w:sz w:val="20"/>
                              </w:rPr>
                            </w:pPr>
                            <w:r>
                              <w:rPr>
                                <w:b/>
                                <w:sz w:val="20"/>
                              </w:rPr>
                              <w:t>Projekt Windfloat, Portugalsko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 o:spid="_x0000_s1029" type="#_x0000_t202" style="width:453.5pt;height:5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" fillcolor="white [3201]" strokeweight=".5pt">
                <v:textbox>
                  <w:txbxContent>
                    <w:p>
                      <w:pPr>
                        <w:spacing w:after="120" w:line="276" w:lineRule="auto"/>
                        <w:ind w:right="57"/>
                        <w:rPr>
                          <w:rFonts w:ascii="Times New Roman" w:hAnsi="Times New Roman" w:cs="Times New Roman"/>
                          <w:b/>
                          <w:color w:val="000000" w:themeColor="text1"/>
                          <w:sz w:val="24"/>
                          <w:szCs w:val="24"/>
                        </w:rPr>
                      </w:pPr>
                      <w:r>
                        <w:rPr>
                          <w:rFonts w:ascii="Times New Roman" w:hAnsi="Times New Roman"/>
                          <w:b/>
                        </w:rPr>
                        <w:t>Demonstrační projekty v oblasti energetiky InnovFin</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Uvolněné prostředky ze zrušených projektů z první výzvy k předkládání návrhů (doposud 623 milionů EUR) jsou opětovně investovány do demonstračních projektů v oblasti energetiky InnovFin a dluhového nástroje v rámci Nástroje pro propojení Evropy, které jsou spravovány Evropskou investiční bankou. </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Dosud byly vybrány tři projekty, které by měly využít nevyčerpané finanční prostředky z NER300 v rámci iniciativy InnovFin EDP ve výši přibližně 73 milionů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Wave Roller: příspěvek z NER300 bude činit 10 milionů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Windfloat: projekt je podporován financováním z nástroje InnovFin EDP ve výši 60 milionů EUR z prostředků NER300, které nebyly využity. Windfloat rovněž čerpá prostředky z grantu v rámci původního programu NER300 ve výši téměř 30 milionů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Greenway EV Charging Network: projekt získal financování z EIB v rámci InnovFin EDP ve výši 17 milionů EUR, z čehož téměř 3 miliony EUR pocházejí z nevyčerpaných prostředků programu NER300.</w:t>
                      </w:r>
                    </w:p>
                    <w:p>
                      <w:pPr>
                        <w:spacing w:after="0" w:line="276" w:lineRule="auto"/>
                        <w:ind w:left="720"/>
                        <w:rPr>
                          <w:rFonts w:ascii="Times New Roman" w:eastAsia="Calibri" w:hAnsi="Times New Roman" w:cs="Times New Roman"/>
                          <w:color w:val="000000" w:themeColor="text1"/>
                          <w:sz w:val="24"/>
                          <w:szCs w:val="24"/>
                        </w:rPr>
                      </w:pP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Pomoc na rozvoj projektů financovanou z nevyužitých prostředků programu NER300 využily i další čtyři projekty. </w:t>
                      </w:r>
                    </w:p>
                    <w:p>
                      <w:r>
                        <w:rPr>
                          <w:noProof/>
                          <w:lang w:val="en-GB" w:eastAsia="en-GB"/>
                        </w:rPr>
                        <w:drawing>
                          <wp:inline distT="0" distB="0" distL="0" distR="0">
                            <wp:extent cx="4785995" cy="2737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pPr>
                        <w:rPr>
                          <w:b/>
                          <w:sz w:val="20"/>
                        </w:rPr>
                      </w:pPr>
                      <w:r>
                        <w:rPr>
                          <w:b/>
                          <w:sz w:val="20"/>
                        </w:rPr>
                        <w:t>Projekt Windfloat, Portugalsko</w:t>
                      </w:r>
                    </w:p>
                  </w:txbxContent>
                </v:textbox>
                <w10:anchorlock/>
              </v:shape>
            </w:pict>
          </mc:Fallback>
        </mc:AlternateContent>
      </w:r>
    </w:p>
    <w:p>
      <w:pPr>
        <w:pStyle w:val="Heading2"/>
        <w:spacing w:after="120"/>
        <w:rPr>
          <w:noProof/>
        </w:rPr>
      </w:pPr>
      <w:r>
        <w:rPr>
          <w:noProof/>
        </w:rPr>
        <w:t>Inovační fond</w:t>
      </w:r>
    </w:p>
    <w:p>
      <w:pPr>
        <w:spacing w:line="276" w:lineRule="auto"/>
        <w:jc w:val="both"/>
        <w:rPr>
          <w:rFonts w:ascii="Times New Roman" w:hAnsi="Times New Roman" w:cs="Times New Roman"/>
          <w:noProof/>
          <w:color w:val="000000" w:themeColor="text1"/>
          <w:sz w:val="24"/>
          <w:szCs w:val="24"/>
        </w:rPr>
      </w:pPr>
      <w:r>
        <w:rPr>
          <w:rFonts w:ascii="Times New Roman" w:hAnsi="Times New Roman"/>
          <w:noProof/>
        </w:rPr>
        <w:t>Inovační fond byl zřízen revidovanou směrnicí o ETS</w:t>
      </w:r>
      <w:r>
        <w:rPr>
          <w:rStyle w:val="FootnoteReference"/>
          <w:rFonts w:ascii="Times New Roman" w:hAnsi="Times New Roman" w:cs="Times New Roman"/>
          <w:noProof/>
        </w:rPr>
        <w:footnoteReference w:id="36"/>
      </w:r>
      <w:r>
        <w:rPr>
          <w:rFonts w:ascii="Times New Roman" w:hAnsi="Times New Roman"/>
          <w:noProof/>
        </w:rPr>
        <w:t>. Při ceně uhlíku ve výši 20 EUR/tCO</w:t>
      </w:r>
      <w:r>
        <w:rPr>
          <w:rFonts w:ascii="Times New Roman" w:hAnsi="Times New Roman"/>
          <w:noProof/>
          <w:vertAlign w:val="subscript"/>
        </w:rPr>
        <w:t>2</w:t>
      </w:r>
      <w:r>
        <w:rPr>
          <w:rFonts w:ascii="Times New Roman" w:hAnsi="Times New Roman"/>
          <w:noProof/>
        </w:rPr>
        <w:t xml:space="preserve"> by se uvolnilo 10 miliard EUR na podporu demonstrací inovativních technologií a průlomových inovací v odvětvích, na něž se vztahuje systém EU ETS, na konkurenčním základě. Nařízení v přenesené pravomoci o fungování inovačního fondu vstoupilo v platnost v květnu 2019</w:t>
      </w:r>
      <w:r>
        <w:rPr>
          <w:rStyle w:val="FootnoteReference"/>
          <w:rFonts w:ascii="Times New Roman" w:hAnsi="Times New Roman" w:cs="Times New Roman"/>
          <w:noProof/>
        </w:rPr>
        <w:footnoteReference w:id="37"/>
      </w:r>
      <w:r>
        <w:rPr>
          <w:rFonts w:ascii="Times New Roman" w:hAnsi="Times New Roman"/>
          <w:noProof/>
        </w:rPr>
        <w:t>. V průběhu roku 2019 se Komise aktivně zapojila do informačních činností s průmyslem a s členskými státy s cílem zvýšit povědomí o inovačním fondu a projednat klíčové otázky související s výběrem a prováděním projektů v každém odvětví. První výzva k předkládání návrhů má být zahájena v polovině roku 2020 a následně se budou konat pravidelné výzvy až do roku 2030</w:t>
      </w:r>
      <w:r>
        <w:rPr>
          <w:rStyle w:val="FootnoteReference"/>
          <w:rFonts w:ascii="Times New Roman" w:hAnsi="Times New Roman" w:cs="Times New Roman"/>
          <w:noProof/>
        </w:rPr>
        <w:footnoteReference w:id="38"/>
      </w:r>
      <w:r>
        <w:rPr>
          <w:rFonts w:ascii="Times New Roman" w:hAnsi="Times New Roman"/>
          <w:noProof/>
        </w:rPr>
        <w:t xml:space="preserve">. </w:t>
      </w:r>
    </w:p>
    <w:p>
      <w:pPr>
        <w:pStyle w:val="Heading2"/>
        <w:spacing w:after="120"/>
        <w:rPr>
          <w:noProof/>
        </w:rPr>
      </w:pPr>
      <w:r>
        <w:rPr>
          <w:noProof/>
        </w:rPr>
        <w:t>Modernizační fond</w:t>
      </w:r>
    </w:p>
    <w:p>
      <w:pPr>
        <w:spacing w:line="276" w:lineRule="auto"/>
        <w:jc w:val="both"/>
        <w:rPr>
          <w:rFonts w:ascii="Times New Roman" w:hAnsi="Times New Roman" w:cs="Times New Roman"/>
          <w:b/>
          <w:noProof/>
          <w:sz w:val="24"/>
          <w:szCs w:val="24"/>
        </w:rPr>
      </w:pPr>
      <w:r>
        <w:rPr>
          <w:rFonts w:ascii="Times New Roman" w:hAnsi="Times New Roman"/>
          <w:noProof/>
        </w:rPr>
        <w:t>Modernizační fond bude podporovat nízkouhlíkové investice do energetických systémů v deseti členských státech EU s nízkými příjmy</w:t>
      </w:r>
      <w:r>
        <w:rPr>
          <w:rStyle w:val="FootnoteReference"/>
          <w:rFonts w:ascii="Times New Roman" w:hAnsi="Times New Roman" w:cs="Times New Roman"/>
          <w:noProof/>
        </w:rPr>
        <w:footnoteReference w:id="39"/>
      </w:r>
      <w:r>
        <w:rPr>
          <w:rFonts w:ascii="Times New Roman" w:hAnsi="Times New Roman"/>
          <w:noProof/>
        </w:rPr>
        <w:t>, které jsou předem stanoveny ve směrnici o systému EU ETS. Při ceně uhlíku ve výši 20 EUR/tCO</w:t>
      </w:r>
      <w:r>
        <w:rPr>
          <w:rFonts w:ascii="Times New Roman" w:hAnsi="Times New Roman"/>
          <w:noProof/>
          <w:vertAlign w:val="subscript"/>
        </w:rPr>
        <w:t>2</w:t>
      </w:r>
      <w:r>
        <w:rPr>
          <w:rFonts w:ascii="Times New Roman" w:hAnsi="Times New Roman"/>
          <w:noProof/>
        </w:rPr>
        <w:t xml:space="preserve"> vznikne v nadcházejícím desetiletí částka ve výši přibližně 14 miliard EUR. Díky rozhodnutí pěti členských států převést část svých povolenek určených na účely solidarity a/nebo přechodně přidělených bezplatných povolenek se velikost fondu více než zdvojnásobila.</w:t>
      </w:r>
      <w:r>
        <w:rPr>
          <w:rFonts w:ascii="Times New Roman" w:hAnsi="Times New Roman"/>
          <w:i/>
          <w:noProof/>
        </w:rPr>
        <w:t xml:space="preserve"> </w:t>
      </w:r>
      <w:r>
        <w:rPr>
          <w:rFonts w:ascii="Times New Roman" w:hAnsi="Times New Roman"/>
          <w:noProof/>
        </w:rPr>
        <w:t>Práce Evropské komise na zřízení modernizačního fondu byla zahájena řadou technických seminářů, které se konaly ve všech přijímajících členských státech od září 2018 do ledna 2019. Dále se připravuje prováděcí akt, k jehož přijetí by mělo dojít v první polovině roku 2020.</w:t>
      </w:r>
      <w:r>
        <w:rPr>
          <w:rFonts w:ascii="Times New Roman" w:hAnsi="Times New Roman"/>
          <w:b/>
          <w:noProof/>
        </w:rPr>
        <w:t xml:space="preserve"> </w:t>
      </w:r>
    </w:p>
    <w:p>
      <w:pPr>
        <w:pStyle w:val="Heading2"/>
        <w:spacing w:after="120"/>
        <w:rPr>
          <w:noProof/>
        </w:rPr>
      </w:pPr>
      <w:r>
        <w:rPr>
          <w:noProof/>
        </w:rPr>
        <w:t>LIFE – oblast klimatu</w:t>
      </w:r>
    </w:p>
    <w:p>
      <w:pPr>
        <w:jc w:val="both"/>
        <w:rPr>
          <w:rFonts w:ascii="Times New Roman" w:hAnsi="Times New Roman" w:cs="Times New Roman"/>
          <w:noProof/>
          <w:sz w:val="24"/>
          <w:szCs w:val="24"/>
        </w:rPr>
      </w:pPr>
      <w:r>
        <w:rPr>
          <w:rFonts w:ascii="Times New Roman" w:hAnsi="Times New Roman"/>
          <w:noProof/>
        </w:rPr>
        <w:t>Program LIFE je nástrojem EU pro financování opatření v oblasti životního prostředí a klimatu. Spolufinancuje projekty s evropskou přidanou hodnotou. Celkový rozpočet na financování projektů v letech 2014–2020 činí 2,5 miliardy EUR v rámci podprogramu pro životní prostředí a 0,86 miliardy EUR v rámci podprogramu pro oblast klimatu. Většina projektů v rámci programu LIFE pro životní prostředí nabízí rovněž vedlejší přínosy v oblasti klimatu.</w:t>
      </w:r>
    </w:p>
    <w:p>
      <w:pPr>
        <w:jc w:val="both"/>
        <w:rPr>
          <w:rFonts w:ascii="Times New Roman" w:hAnsi="Times New Roman" w:cs="Times New Roman"/>
          <w:noProof/>
          <w:sz w:val="24"/>
          <w:szCs w:val="24"/>
        </w:rPr>
      </w:pPr>
      <w:r>
        <w:rPr>
          <w:rFonts w:ascii="Times New Roman" w:hAnsi="Times New Roman"/>
          <w:noProof/>
        </w:rPr>
        <w:t>Opatření v oblasti klimatu v rámci programu LIFE podporují projekty v oblasti zmírňování změny klimatu a přizpůsobování se této změně i správy a informací v oblasti klimatu. V rámci výzvy k účasti v programu LIFE na rok 2018 byly pro financování doporučeny návrhy příjemců z 21 členských států, přičemž největší podíl připadá na Španělsko, Itálii a Německo.</w:t>
      </w:r>
    </w:p>
    <w:p>
      <w:pPr>
        <w:jc w:val="both"/>
        <w:rPr>
          <w:rFonts w:ascii="Times New Roman" w:eastAsia="Times New Roman" w:hAnsi="Times New Roman" w:cs="Times New Roman"/>
          <w:noProof/>
          <w:sz w:val="24"/>
          <w:szCs w:val="24"/>
        </w:rPr>
      </w:pPr>
      <w:r>
        <w:rPr>
          <w:rFonts w:ascii="Times New Roman" w:hAnsi="Times New Roman"/>
          <w:noProof/>
        </w:rPr>
        <w:t>Navrhovaný víceletý finanční rámec na období 2021–2027 zahrnuje větší rozpočet na program LIFE pro životní prostředí a oblast klimatu ve výši 5,45 miliardy EUR.</w:t>
      </w:r>
    </w:p>
    <w:p>
      <w:pPr>
        <w:jc w:val="both"/>
        <w:rPr>
          <w:rFonts w:ascii="Times New Roman" w:eastAsia="Times New Roman" w:hAnsi="Times New Roman" w:cs="Times New Roman"/>
          <w:noProof/>
        </w:rPr>
      </w:pPr>
      <w:r>
        <w:rPr>
          <w:rFonts w:ascii="Times New Roman" w:hAnsi="Times New Roman"/>
          <w:noProof/>
        </w:rPr>
        <w:t xml:space="preserve">V oblasti klimatu jsou plánovány dva podprogramy: „Zmírňování změny klimatu a přizpůsobování se této změně“ a „Přechod na čistou energii“. Očekává se, že rozpočet na opatření v oblasti klimatu bude v období 2021–2027 činit přibližně 1 miliardu EUR. Činnosti podprogramu Přechod na čistou energii jsou v současné době financovány z programu Horizont 2020 a budou financovány podobným rozpočtem. </w:t>
      </w:r>
    </w:p>
    <w:p>
      <w:pPr>
        <w:jc w:val="both"/>
        <w:rPr>
          <w:rFonts w:ascii="Times New Roman" w:eastAsia="Times New Roman" w:hAnsi="Times New Roman" w:cs="Times New Roman"/>
          <w:noProof/>
        </w:rPr>
      </w:pPr>
      <w:r>
        <w:rPr>
          <w:noProof/>
          <w:lang w:val="en-GB" w:eastAsia="en-GB"/>
        </w:rPr>
        <w:drawing>
          <wp:inline distT="0" distB="0" distL="0" distR="0">
            <wp:extent cx="5286375" cy="2733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6375" cy="2733675"/>
                    </a:xfrm>
                    <a:prstGeom prst="rect">
                      <a:avLst/>
                    </a:prstGeom>
                    <a:noFill/>
                    <a:ln>
                      <a:noFill/>
                    </a:ln>
                  </pic:spPr>
                </pic:pic>
              </a:graphicData>
            </a:graphic>
          </wp:inline>
        </w:drawing>
      </w:r>
    </w:p>
    <w:p>
      <w:pPr>
        <w:pStyle w:val="Caption"/>
        <w:jc w:val="both"/>
        <w:rPr>
          <w:noProof/>
        </w:rPr>
      </w:pPr>
      <w:r>
        <w:rPr>
          <w:noProof/>
        </w:rPr>
        <w:t xml:space="preserve">Obrázek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rPr>
          <w:noProof/>
        </w:rPr>
        <w:t>: Navrhované rozpočtové prostředky na program LIFE na období 2021–2027</w:t>
      </w:r>
    </w:p>
    <w:p>
      <w:pPr>
        <w:spacing w:after="0"/>
        <w:rPr>
          <w:rFonts w:asciiTheme="majorHAnsi" w:eastAsiaTheme="majorEastAsia" w:hAnsiTheme="majorHAnsi" w:cstheme="majorBidi"/>
          <w:noProof/>
          <w:color w:val="2E74B5" w:themeColor="accent1" w:themeShade="BF"/>
          <w:sz w:val="32"/>
          <w:szCs w:val="32"/>
        </w:rPr>
      </w:pPr>
    </w:p>
    <w:p>
      <w:pPr>
        <w:pStyle w:val="Heading1"/>
        <w:spacing w:before="0" w:after="240"/>
        <w:ind w:left="714" w:hanging="357"/>
        <w:jc w:val="both"/>
        <w:rPr>
          <w:noProof/>
        </w:rPr>
      </w:pPr>
      <w:r>
        <w:rPr>
          <w:noProof/>
        </w:rPr>
        <w:t xml:space="preserve">PŘIZPŮSOBENÍ SE ZMĚNĚ KLIMATU </w:t>
      </w:r>
    </w:p>
    <w:p>
      <w:pPr>
        <w:spacing w:after="120"/>
        <w:jc w:val="both"/>
        <w:rPr>
          <w:rFonts w:ascii="Times New Roman" w:hAnsi="Times New Roman" w:cs="Times New Roman"/>
          <w:noProof/>
          <w:sz w:val="24"/>
          <w:szCs w:val="24"/>
        </w:rPr>
      </w:pPr>
      <w:r>
        <w:rPr>
          <w:rFonts w:ascii="Times New Roman" w:hAnsi="Times New Roman"/>
          <w:noProof/>
        </w:rPr>
        <w:t xml:space="preserve">Za poslední rok bylo v provádění strategie EU pro přizpůsobení se změně klimatu, která byla přijata v roce 2013, aby se členské státy připravily na současné a budoucí dopady změny klimatu, dosaženo značného pokroku: </w:t>
      </w:r>
    </w:p>
    <w:p>
      <w:pPr>
        <w:pStyle w:val="ListParagraph"/>
        <w:numPr>
          <w:ilvl w:val="0"/>
          <w:numId w:val="3"/>
        </w:numPr>
        <w:spacing w:after="120" w:line="276" w:lineRule="auto"/>
        <w:ind w:left="850" w:hanging="425"/>
        <w:contextualSpacing w:val="0"/>
        <w:jc w:val="both"/>
        <w:rPr>
          <w:rFonts w:ascii="Times New Roman" w:hAnsi="Times New Roman" w:cs="Times New Roman"/>
          <w:noProof/>
          <w:sz w:val="24"/>
          <w:szCs w:val="24"/>
        </w:rPr>
      </w:pPr>
      <w:r>
        <w:rPr>
          <w:rFonts w:ascii="Times New Roman" w:hAnsi="Times New Roman"/>
          <w:noProof/>
        </w:rPr>
        <w:t>26 členských států již zavedlo vnitrostátní strategie pro přizpůsobení se změně klimatu, ostatní členské státy své strategie dokončují</w:t>
      </w:r>
      <w:r>
        <w:rPr>
          <w:rFonts w:ascii="Times New Roman" w:hAnsi="Times New Roman" w:cs="Times New Roman"/>
          <w:noProof/>
          <w:vertAlign w:val="superscript"/>
        </w:rPr>
        <w:footnoteReference w:id="40"/>
      </w:r>
      <w:r>
        <w:rPr>
          <w:rFonts w:ascii="Times New Roman" w:hAnsi="Times New Roman"/>
          <w:noProof/>
        </w:rPr>
        <w:t xml:space="preserve">; </w:t>
      </w:r>
    </w:p>
    <w:p>
      <w:pPr>
        <w:pStyle w:val="ListParagraph"/>
        <w:numPr>
          <w:ilvl w:val="0"/>
          <w:numId w:val="3"/>
        </w:numPr>
        <w:spacing w:after="200" w:line="276" w:lineRule="auto"/>
        <w:ind w:left="850" w:hanging="425"/>
        <w:contextualSpacing w:val="0"/>
        <w:jc w:val="both"/>
        <w:rPr>
          <w:rFonts w:ascii="Times New Roman" w:hAnsi="Times New Roman" w:cs="Times New Roman"/>
          <w:noProof/>
          <w:sz w:val="24"/>
          <w:szCs w:val="24"/>
        </w:rPr>
      </w:pPr>
      <w:r>
        <w:rPr>
          <w:rFonts w:ascii="Times New Roman" w:hAnsi="Times New Roman"/>
          <w:noProof/>
        </w:rPr>
        <w:t>více než 1 900 měst v Evropě se prostřednictvím Paktu starostů a primátorů zavázalo posílit svou odolnost vůči změně klimatu (tj. zvýšení o přibližně 900 od roku 2018);</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rPr>
        <w:t xml:space="preserve">několik návrhů vnitrostátních plánů v oblasti energetiky a klimatu obsahuje cíle v oblasti přizpůsobení; </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rPr>
        <w:t>byla vylepšena platforma CLIMATE-Adapt;</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rPr>
        <w:t>Evropská komise zveřejnila aktualizaci své studie PESETA</w:t>
      </w:r>
      <w:r>
        <w:rPr>
          <w:rStyle w:val="FootnoteReference"/>
          <w:rFonts w:ascii="Times New Roman" w:hAnsi="Times New Roman" w:cs="Times New Roman"/>
          <w:noProof/>
        </w:rPr>
        <w:footnoteReference w:id="41"/>
      </w:r>
      <w:r>
        <w:rPr>
          <w:rFonts w:ascii="Times New Roman" w:hAnsi="Times New Roman"/>
          <w:noProof/>
        </w:rPr>
        <w:t xml:space="preserve"> o řadě dopadů změny klimatu, včetně ekonomického posouzení;</w:t>
      </w:r>
    </w:p>
    <w:p>
      <w:pPr>
        <w:pStyle w:val="ListParagraph"/>
        <w:numPr>
          <w:ilvl w:val="0"/>
          <w:numId w:val="3"/>
        </w:numPr>
        <w:spacing w:after="200" w:line="276" w:lineRule="auto"/>
        <w:ind w:left="850" w:hanging="425"/>
        <w:contextualSpacing w:val="0"/>
        <w:jc w:val="both"/>
        <w:rPr>
          <w:rFonts w:ascii="Times New Roman" w:hAnsi="Times New Roman" w:cs="Times New Roman"/>
          <w:noProof/>
          <w:sz w:val="24"/>
          <w:szCs w:val="24"/>
        </w:rPr>
      </w:pPr>
      <w:r>
        <w:rPr>
          <w:rFonts w:ascii="Times New Roman" w:hAnsi="Times New Roman"/>
          <w:noProof/>
        </w:rPr>
        <w:t xml:space="preserve">program LIFE financuje projekty na přizpůsobení se změně klimatu v klíčových oblastech, jako jsou např. vodní zdroje. </w:t>
      </w:r>
    </w:p>
    <w:p>
      <w:pPr>
        <w:rPr>
          <w:rFonts w:ascii="Times New Roman" w:hAnsi="Times New Roman" w:cs="Times New Roman"/>
          <w:noProof/>
          <w:sz w:val="24"/>
          <w:szCs w:val="24"/>
        </w:rPr>
      </w:pPr>
      <w:r>
        <w:rPr>
          <w:noProof/>
        </w:rPr>
        <w:br w:type="page"/>
      </w:r>
    </w:p>
    <w:p>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cs="Times New Roman"/>
          <w:noProof/>
          <w:sz w:val="24"/>
          <w:szCs w:val="24"/>
        </w:rPr>
      </w:pPr>
      <w:r>
        <w:rPr>
          <w:rFonts w:ascii="Times New Roman" w:hAnsi="Times New Roman"/>
          <w:noProof/>
        </w:rPr>
        <w:t>Projekt AgroClimaWater</w:t>
      </w:r>
      <w:r>
        <w:rPr>
          <w:rStyle w:val="FootnoteReference"/>
          <w:rFonts w:ascii="Times New Roman" w:hAnsi="Times New Roman" w:cs="Times New Roman"/>
          <w:noProof/>
        </w:rPr>
        <w:footnoteReference w:id="42"/>
      </w:r>
      <w:r>
        <w:rPr>
          <w:rFonts w:ascii="Times New Roman" w:hAnsi="Times New Roman"/>
          <w:noProof/>
        </w:rPr>
        <w:t xml:space="preserve"> prosazuje efektivní využívání vody a podporuje přechod na zemědělství odolnější vůči změně klimatu ve středomořských zemích. Program LIFE poskytuje na tento projekt podporu ve výši 1,4 milionu EUR. </w:t>
      </w:r>
    </w:p>
    <w:p>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cs="Times New Roman"/>
          <w:noProof/>
          <w:sz w:val="24"/>
          <w:szCs w:val="24"/>
        </w:rPr>
      </w:pPr>
      <w:r>
        <w:rPr>
          <w:rFonts w:ascii="Times New Roman" w:hAnsi="Times New Roman"/>
          <w:noProof/>
        </w:rPr>
        <w:t>Pilotní akce projektu se zaměřují na olivy, citrusy a broskvoně. Zemědělci, kteří se ho účastní, upravují své metody tak, aby dosáhli co nejvyšších výnosů i přes nízkou či kolísavou dostupnost vody. Již po dvou letech provádění dosáhl projekt AgroClimaWater v rámci programu LIFE působivé výsledky, např. 15% snížení spotřeby vody a o 50 % nižší využívání živin v Itálii a 26% nárůst výnosu řeckých pilotních pozemků, a to i přes extrémní klimatické podmínky v roce 2018.</w:t>
      </w:r>
    </w:p>
    <w:p>
      <w:pPr>
        <w:jc w:val="both"/>
        <w:rPr>
          <w:rFonts w:ascii="Times New Roman" w:hAnsi="Times New Roman" w:cs="Times New Roman"/>
          <w:noProof/>
          <w:sz w:val="24"/>
          <w:szCs w:val="24"/>
        </w:rPr>
      </w:pPr>
      <w:r>
        <w:rPr>
          <w:rFonts w:ascii="Times New Roman" w:hAnsi="Times New Roman"/>
          <w:noProof/>
        </w:rPr>
        <w:t>Závěry hodnocení strategie EU pro přizpůsobení se změně klimatu provedeného v roce 2018 byly pozitivní</w:t>
      </w:r>
      <w:r>
        <w:rPr>
          <w:rStyle w:val="FootnoteReference"/>
          <w:rFonts w:ascii="Times New Roman" w:hAnsi="Times New Roman" w:cs="Times New Roman"/>
          <w:noProof/>
        </w:rPr>
        <w:footnoteReference w:id="43"/>
      </w:r>
      <w:r>
        <w:rPr>
          <w:rFonts w:ascii="Times New Roman" w:hAnsi="Times New Roman"/>
          <w:noProof/>
        </w:rPr>
        <w:t xml:space="preserve">. Některé </w:t>
      </w:r>
      <w:r>
        <w:rPr>
          <w:rFonts w:ascii="Times New Roman" w:hAnsi="Times New Roman"/>
          <w:b/>
          <w:bCs/>
          <w:noProof/>
        </w:rPr>
        <w:t>získané poznatky</w:t>
      </w:r>
      <w:r>
        <w:rPr>
          <w:rFonts w:ascii="Times New Roman" w:hAnsi="Times New Roman"/>
          <w:noProof/>
        </w:rPr>
        <w:t xml:space="preserve"> by mohly pomoci stanovit budoucí opatření pro přizpůsobení se změnám klimatu v Evropě, například:</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rPr>
        <w:t>V důsledku mezinárodního vývoje je nutné, aby EU sladila svá opatření v oblasti přizpůsobení se změnám klimatu s Pařížskou dohodou, sendajským rámcem pro snižování rizika katastrof a cíli udržitelného rozvoje.</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rPr>
        <w:t xml:space="preserve">Nutnost přizpůsobit se zrychlujícím se změnám klimatu je ještě větší než v době, kdy byla strategie přijata: musíme posílit infrastrukturu proti extrémním povětrnostním vlivům a dopadům změny klimatu. </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rPr>
        <w:t xml:space="preserve">Do hodnocení a výběru možností přizpůsobení se změně klimatu je třeba lépe začlenit </w:t>
      </w:r>
      <w:r>
        <w:rPr>
          <w:rFonts w:ascii="Times New Roman" w:hAnsi="Times New Roman"/>
          <w:b/>
          <w:bCs/>
          <w:noProof/>
        </w:rPr>
        <w:t>přístupy založené na ekosystémech</w:t>
      </w:r>
      <w:r>
        <w:rPr>
          <w:rFonts w:ascii="Times New Roman" w:hAnsi="Times New Roman"/>
          <w:noProof/>
        </w:rPr>
        <w:t>.</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rPr>
        <w:t xml:space="preserve">V rámci politiky a plánování v oblasti přizpůsobení se změnám klimatu by měla být větší pozornost věnována otázkám </w:t>
      </w:r>
      <w:r>
        <w:rPr>
          <w:rFonts w:ascii="Times New Roman" w:hAnsi="Times New Roman"/>
          <w:b/>
          <w:bCs/>
          <w:noProof/>
        </w:rPr>
        <w:t>veřejného zdraví</w:t>
      </w:r>
      <w:r>
        <w:rPr>
          <w:rFonts w:ascii="Times New Roman" w:hAnsi="Times New Roman"/>
          <w:noProof/>
        </w:rPr>
        <w:t xml:space="preserve">  </w:t>
      </w:r>
    </w:p>
    <w:p>
      <w:pPr>
        <w:jc w:val="both"/>
        <w:rPr>
          <w:rFonts w:ascii="Times New Roman" w:hAnsi="Times New Roman" w:cs="Times New Roman"/>
          <w:noProof/>
          <w:sz w:val="24"/>
          <w:szCs w:val="24"/>
        </w:rPr>
      </w:pPr>
      <w:r>
        <w:rPr>
          <w:rFonts w:ascii="Times New Roman" w:hAnsi="Times New Roman"/>
          <w:noProof/>
        </w:rPr>
        <w:t xml:space="preserve">V rámci programu </w:t>
      </w:r>
      <w:r>
        <w:rPr>
          <w:rFonts w:ascii="Times New Roman" w:hAnsi="Times New Roman"/>
          <w:b/>
          <w:bCs/>
          <w:noProof/>
        </w:rPr>
        <w:t>Horizont Evropa</w:t>
      </w:r>
      <w:r>
        <w:rPr>
          <w:rFonts w:ascii="Times New Roman" w:hAnsi="Times New Roman"/>
          <w:noProof/>
        </w:rPr>
        <w:t xml:space="preserve"> byla zahájena </w:t>
      </w:r>
      <w:r>
        <w:rPr>
          <w:rFonts w:ascii="Times New Roman" w:hAnsi="Times New Roman"/>
          <w:b/>
          <w:bCs/>
          <w:noProof/>
        </w:rPr>
        <w:t>mise zaměřená na přizpůsobení se změně klimatu a společenskou transformaci</w:t>
      </w:r>
      <w:r>
        <w:rPr>
          <w:rFonts w:ascii="Times New Roman" w:hAnsi="Times New Roman"/>
          <w:noProof/>
        </w:rPr>
        <w:t>. Výboru této mise předsedá paní Connie Hedegaardová. Mise programu Horizont Evropa budou zajišťovat a řídit výzkum a inovace a prostřednictvím ambiciózních a zprostředkovatelných milníků usilovat o podporu průmyslu a veřejnosti.</w:t>
      </w:r>
    </w:p>
    <w:p>
      <w:pPr>
        <w:jc w:val="both"/>
        <w:rPr>
          <w:rFonts w:ascii="Times New Roman" w:hAnsi="Times New Roman" w:cs="Times New Roman"/>
          <w:noProof/>
          <w:sz w:val="24"/>
          <w:szCs w:val="24"/>
        </w:rPr>
      </w:pPr>
    </w:p>
    <w:p>
      <w:pPr>
        <w:pStyle w:val="Heading1"/>
        <w:spacing w:before="360" w:after="240"/>
        <w:ind w:left="714" w:hanging="357"/>
        <w:jc w:val="both"/>
        <w:rPr>
          <w:noProof/>
        </w:rPr>
      </w:pPr>
      <w:r>
        <w:rPr>
          <w:noProof/>
        </w:rPr>
        <w:t>MEZINÁRODNÍ SPOLUPRÁCE V OBLATI KLIMATU</w:t>
      </w:r>
    </w:p>
    <w:p>
      <w:pPr>
        <w:pStyle w:val="Heading2"/>
        <w:spacing w:after="120"/>
        <w:rPr>
          <w:noProof/>
        </w:rPr>
      </w:pPr>
      <w:r>
        <w:rPr>
          <w:noProof/>
        </w:rPr>
        <w:t>Letectví</w:t>
      </w:r>
    </w:p>
    <w:p>
      <w:pPr>
        <w:spacing w:line="240" w:lineRule="auto"/>
        <w:jc w:val="both"/>
        <w:rPr>
          <w:rFonts w:ascii="Times New Roman" w:hAnsi="Times New Roman" w:cs="Times New Roman"/>
          <w:noProof/>
          <w:sz w:val="24"/>
          <w:szCs w:val="24"/>
        </w:rPr>
      </w:pPr>
      <w:r>
        <w:rPr>
          <w:rFonts w:ascii="Times New Roman" w:hAnsi="Times New Roman"/>
          <w:noProof/>
        </w:rPr>
        <w:t xml:space="preserve">V roce 2018 přijala Rada Mezinárodní organizace pro civilní letectví (ICAO) normy a doporučené postupy jako součást svého systému kompenzací a snižování emisí uhlíku v mezinárodním letectví (CORSIA). Cílem systému CORSIA je prostřednictvím kompenzací stabilizovat dopad emisí z mezinárodní letecké dopravy na úrovni roku 2020. </w:t>
      </w:r>
    </w:p>
    <w:p>
      <w:pPr>
        <w:jc w:val="both"/>
        <w:rPr>
          <w:rFonts w:ascii="Times New Roman" w:hAnsi="Times New Roman" w:cs="Times New Roman"/>
          <w:noProof/>
          <w:sz w:val="24"/>
          <w:szCs w:val="24"/>
        </w:rPr>
      </w:pPr>
      <w:r>
        <w:rPr>
          <w:rFonts w:ascii="Times New Roman" w:hAnsi="Times New Roman"/>
          <w:noProof/>
        </w:rPr>
        <w:t>Na úrovni ICAO provádění pokračuje, stále však není dokončeno. První monitorovací povinnosti platí od roku 2019 a pilotní fáze začne v roce 2021. Zatímco 81 zemí, které jsou odpovědné za 76,6 % celosvětových emisí, se již od roku 2021 chce dobrovolně účastnit, stále existují nejasnosti ohledně konečného pokrytí a spolehlivosti systému z důvodu neúčasti zemí s významnými aktivitami v oblasti letectví a v důsledku rozhodnutí, která mají být přijata o emisních jednotkách způsobilých k započtení / pro kompenzaci.</w:t>
      </w:r>
    </w:p>
    <w:p>
      <w:pPr>
        <w:jc w:val="both"/>
        <w:rPr>
          <w:rFonts w:ascii="Times New Roman" w:hAnsi="Times New Roman" w:cs="Times New Roman"/>
          <w:noProof/>
          <w:sz w:val="24"/>
          <w:szCs w:val="24"/>
        </w:rPr>
      </w:pPr>
      <w:r>
        <w:rPr>
          <w:rFonts w:ascii="Times New Roman" w:hAnsi="Times New Roman"/>
          <w:noProof/>
        </w:rPr>
        <w:t>Členské státy EU informovaly</w:t>
      </w:r>
      <w:r>
        <w:rPr>
          <w:rStyle w:val="FootnoteReference"/>
          <w:rFonts w:ascii="Times New Roman" w:hAnsi="Times New Roman" w:cs="Times New Roman"/>
          <w:noProof/>
        </w:rPr>
        <w:footnoteReference w:id="44"/>
      </w:r>
      <w:r>
        <w:rPr>
          <w:rFonts w:ascii="Times New Roman" w:hAnsi="Times New Roman"/>
          <w:noProof/>
        </w:rPr>
        <w:t xml:space="preserve"> ICAO o stávajících rozdílech mezi charakteristikami systému EU pro obchodování s emisemi v oblasti letectví a právně závaznými prvky systému CORSIA, které jsou v zájmu ochrany politického prostoru EU stanoveny v normách a doporučených postupech. </w:t>
      </w:r>
    </w:p>
    <w:p>
      <w:pPr>
        <w:pStyle w:val="Heading2"/>
        <w:spacing w:after="120"/>
        <w:rPr>
          <w:rFonts w:eastAsia="Times New Roman"/>
          <w:noProof/>
          <w:u w:color="000000"/>
          <w:bdr w:val="nil"/>
        </w:rPr>
      </w:pPr>
      <w:r>
        <w:rPr>
          <w:noProof/>
          <w:u w:color="000000"/>
          <w:bdr w:val="nil"/>
        </w:rPr>
        <w:t xml:space="preserve">Námořní oblast </w:t>
      </w:r>
    </w:p>
    <w:p>
      <w:pPr>
        <w:jc w:val="both"/>
        <w:rPr>
          <w:rFonts w:ascii="Times New Roman" w:hAnsi="Times New Roman" w:cs="Times New Roman"/>
          <w:noProof/>
          <w:sz w:val="24"/>
          <w:szCs w:val="24"/>
        </w:rPr>
      </w:pPr>
      <w:r>
        <w:rPr>
          <w:rFonts w:ascii="Times New Roman" w:hAnsi="Times New Roman"/>
          <w:noProof/>
        </w:rPr>
        <w:t xml:space="preserve">V roce 2018 přijala Mezinárodní námořní organizace (IMO) strategii pro snižování emisí skleníkových plynů z lodí, včetně mezinárodního závazku snížit emise do roku 2050 o nejméně 50 % ve srovnání s úrovněmi z roku 2008 (včetně průběžných cílů intenzity uhlíku). Jako členové Mezinárodní námořní organizace musí členské státy EU jednat v souladu s tímto závazkem. </w:t>
      </w:r>
    </w:p>
    <w:p>
      <w:pPr>
        <w:jc w:val="both"/>
        <w:rPr>
          <w:rFonts w:ascii="Times New Roman" w:hAnsi="Times New Roman" w:cs="Times New Roman"/>
          <w:noProof/>
          <w:sz w:val="24"/>
          <w:szCs w:val="24"/>
        </w:rPr>
      </w:pPr>
      <w:r>
        <w:rPr>
          <w:rFonts w:ascii="Times New Roman" w:hAnsi="Times New Roman"/>
          <w:noProof/>
        </w:rPr>
        <w:t>Strategie IMO obsahuje seznam možných krátkodobých, střednědobých a dlouhodobých opatření k dosažení cílů strategie, přičemž prioritou jsou opatření, která mohou přinést další snížení emisí již před rokem 2023, a to rovněž na základě stávajících opatření IMO, jako je index energeticky účinného designu a plán řízení energetické účinnosti lodí. Evropská komise je úzce zapojena do probíhajících jednání o konkrétních opatřeních v rámci IMO, včetně návrhů předložených členskými státy EU.</w:t>
      </w:r>
      <w:r>
        <w:rPr>
          <w:noProof/>
        </w:rPr>
        <w:t xml:space="preserve"> </w:t>
      </w:r>
    </w:p>
    <w:p>
      <w:pPr>
        <w:jc w:val="both"/>
        <w:rPr>
          <w:rFonts w:ascii="Times New Roman" w:hAnsi="Times New Roman" w:cs="Times New Roman"/>
          <w:noProof/>
          <w:sz w:val="24"/>
          <w:szCs w:val="24"/>
        </w:rPr>
      </w:pPr>
      <w:r>
        <w:rPr>
          <w:rFonts w:ascii="Times New Roman" w:hAnsi="Times New Roman"/>
          <w:noProof/>
        </w:rPr>
        <w:t>V roce 2018 začaly lodě vplouvající do přístavů v Evropském hospodářském prostoru sledovat a vykazovat své emise, přičemž první údaje o emisích byly zveřejněny dne 30. června 2019</w:t>
      </w:r>
      <w:r>
        <w:rPr>
          <w:rStyle w:val="FootnoteReference"/>
          <w:rFonts w:ascii="Times New Roman" w:hAnsi="Times New Roman" w:cs="Times New Roman"/>
          <w:noProof/>
        </w:rPr>
        <w:footnoteReference w:id="45"/>
      </w:r>
      <w:r>
        <w:rPr>
          <w:rFonts w:ascii="Times New Roman" w:hAnsi="Times New Roman"/>
          <w:noProof/>
        </w:rPr>
        <w:t>. Systém má poskytnout spolehlivé informace na podporu rozhodování při tvorbě politik a nezbytné transparentnosti s cílem stimulovat zavádění energeticky účinných technologií a chování prospěšné energetické účinnosti. Do konce roku 2019 dokončí Evropská komise zprávu o prvním roce fungování systému.</w:t>
      </w:r>
    </w:p>
    <w:p>
      <w:pPr>
        <w:jc w:val="both"/>
        <w:rPr>
          <w:rFonts w:ascii="Times New Roman" w:hAnsi="Times New Roman" w:cs="Times New Roman"/>
          <w:noProof/>
          <w:sz w:val="24"/>
          <w:szCs w:val="24"/>
        </w:rPr>
      </w:pPr>
      <w:r>
        <w:rPr>
          <w:rFonts w:ascii="Times New Roman" w:hAnsi="Times New Roman"/>
          <w:noProof/>
        </w:rPr>
        <w:t>V rámci Mezinárodní námořní organizace (IMO) bylo u lodí zahájeno dne 1. ledna 2019 sledování spotřeby paliva, přičemž první zprávy byly předloženy v roce 2020. V důsledku toho musí lodě vplouvající do přístavů EU podávat zprávy jak podle nařízení EU o monitorování, vykazování a ověřování, tak v rámci systému shromažďování údajů IMO.</w:t>
      </w:r>
    </w:p>
    <w:p>
      <w:pPr>
        <w:pStyle w:val="Heading2"/>
        <w:spacing w:after="120"/>
        <w:rPr>
          <w:noProof/>
        </w:rPr>
      </w:pPr>
      <w:r>
        <w:rPr>
          <w:noProof/>
        </w:rPr>
        <w:t xml:space="preserve">Podpora rozvojových zemí </w:t>
      </w:r>
    </w:p>
    <w:p>
      <w:pPr>
        <w:jc w:val="both"/>
        <w:rPr>
          <w:noProof/>
        </w:rPr>
      </w:pPr>
      <w:r>
        <w:rPr>
          <w:rFonts w:ascii="Times New Roman" w:hAnsi="Times New Roman"/>
          <w:noProof/>
        </w:rPr>
        <w:t>EU a její členské státy jsou stále největšími poskytovateli oficiální rozvojové pomoci rozvojovým zemím na světě – v roce 2018 poskytly 74,4 miliardy EUR. EU, její členské státy a Evropská investiční banka jsou rovněž největšími poskytovateli veřejných prostředků na financování opatření v oblasti klimatu, jejich příspěvek v roce 2017 dosáhl 20,4 miliardy EUR (nejnovější dostupný údaj)</w:t>
      </w:r>
      <w:r>
        <w:rPr>
          <w:rStyle w:val="FootnoteReference"/>
          <w:rFonts w:ascii="Times New Roman" w:eastAsia="Times New Roman" w:hAnsi="Times New Roman" w:cs="Times New Roman"/>
          <w:noProof/>
        </w:rPr>
        <w:footnoteReference w:id="46"/>
      </w:r>
      <w:r>
        <w:rPr>
          <w:rFonts w:ascii="Times New Roman" w:hAnsi="Times New Roman"/>
          <w:noProof/>
        </w:rPr>
        <w:t xml:space="preserve">. </w:t>
      </w:r>
    </w:p>
    <w:p>
      <w:pPr>
        <w:jc w:val="both"/>
        <w:rPr>
          <w:rFonts w:ascii="Times New Roman" w:eastAsia="Times New Roman" w:hAnsi="Times New Roman" w:cs="Times New Roman"/>
          <w:noProof/>
          <w:sz w:val="24"/>
          <w:szCs w:val="24"/>
        </w:rPr>
      </w:pPr>
      <w:r>
        <w:rPr>
          <w:rFonts w:ascii="Times New Roman" w:hAnsi="Times New Roman"/>
          <w:noProof/>
        </w:rPr>
        <w:t xml:space="preserve">Na Zelený klimatický fond (GCF) vyčlenily členské státy EU během počáteční mobilizace zdrojů pro tento fond celkem 4,7 miliardy USD, což je téměř polovina z celkově přislíbených prostředků ve výši 10,3 miliardy USD. Úloha Evropy v budoucnu pravděpodobně poroste. Německo a Norsko jsou prvními zeměmi, které oznámily zdvojnásobení příspěvků v probíhajícím kole doplňování zdrojů GCF.   </w:t>
      </w:r>
    </w:p>
    <w:p>
      <w:pPr>
        <w:jc w:val="both"/>
        <w:rPr>
          <w:noProof/>
        </w:rPr>
      </w:pPr>
      <w:r>
        <w:rPr>
          <w:rFonts w:ascii="Times New Roman" w:hAnsi="Times New Roman"/>
          <w:noProof/>
        </w:rPr>
        <w:t xml:space="preserve">Globální aliance pro boj proti změně klimatu + (GCCA+) je stěžejní iniciativou EU v oblasti klimatu. V období 2007–2020 poskytuje na opatření v oblasti klimatu a rozvoj kapacit v rozvojových zemích, zejména v nejméně rozvinutých zemích a malých ostrovních rozvojových státech granty ve výši 750 milionů EUR. V rámci současné aktualizace vnitrostátně stanovených příspěvků podle Pařížské dohody podporuje GCCA+ partnery při tvorbě politiky v oblasti klimatu a plánování ambiciózních opatření v oblasti zmírňování změny klimatu a přizpůsobování se této změně. </w:t>
      </w:r>
    </w:p>
    <w:p>
      <w:pPr>
        <w:jc w:val="both"/>
        <w:rPr>
          <w:noProof/>
        </w:rPr>
      </w:pPr>
      <w:r>
        <w:rPr>
          <w:rFonts w:ascii="Times New Roman" w:hAnsi="Times New Roman"/>
          <w:noProof/>
        </w:rPr>
        <w:t xml:space="preserve">Plán vnějších investic EU podporuje investice v rozvojových zemích v Africe a v zemích v sousedství EU. Dosud existuje osm záruk, které pomohou zavádět projekty v oblasti energie z obnovitelných zdrojů a konektivity a rozšířit je na miliony lidí v partnerských zemích. Například Evropská záruka za energii z obnovitelných zdrojů, kterou vedou čtyři evropské finanční instituce, by vedla k aktivaci až 3,4 miliardy EUR na projekty v subsaharské Africe. Tyto projekty by snížily emise uhlíku, snížily nedostatek energie, vytvořily až 12 000 pracovních míst a vytvořily dodatečné výrobní kapacity pro výrobu energie z obnovitelných zdrojů o objemu přibližně 2 GW.  </w:t>
      </w:r>
    </w:p>
    <w:p>
      <w:pPr>
        <w:jc w:val="both"/>
        <w:rPr>
          <w:rFonts w:ascii="Times New Roman" w:eastAsia="Times New Roman" w:hAnsi="Times New Roman" w:cs="Times New Roman"/>
          <w:noProof/>
          <w:sz w:val="24"/>
          <w:szCs w:val="24"/>
        </w:rPr>
      </w:pPr>
      <w:r>
        <w:rPr>
          <w:rFonts w:ascii="Times New Roman" w:hAnsi="Times New Roman"/>
          <w:noProof/>
        </w:rPr>
        <w:t>Dne 28. září 2018 byla zahájena jednání o novém partnerství mezi EU a regionem AKT (Afrika, Karibik a Tichomoří) po roce 2020. Plánovaná dohoda navazující na dohodu z Cotonou</w:t>
      </w:r>
      <w:r>
        <w:rPr>
          <w:rStyle w:val="FootnoteReference"/>
          <w:noProof/>
        </w:rPr>
        <w:footnoteReference w:id="47"/>
      </w:r>
      <w:r>
        <w:rPr>
          <w:rFonts w:ascii="Times New Roman" w:hAnsi="Times New Roman"/>
          <w:noProof/>
        </w:rPr>
        <w:t xml:space="preserve"> zahrnuje velký společný závazek vůči opatřením v oblasti klimatu. Kromě toho byla v roce 2018 vytvořena nová aliance mezi Afrikou a Evropou pro udržitelné investice a zaměstnanost, která mimo jiné usiluje o posílení ochrany životního prostředí a práce. </w:t>
      </w:r>
    </w:p>
    <w:p>
      <w:pPr>
        <w:jc w:val="both"/>
        <w:rPr>
          <w:rFonts w:ascii="Times New Roman" w:hAnsi="Times New Roman" w:cs="Times New Roman"/>
          <w:b/>
          <w:i/>
          <w:noProof/>
          <w:sz w:val="24"/>
        </w:rPr>
      </w:pPr>
      <w:r>
        <w:rPr>
          <w:rFonts w:ascii="Times New Roman" w:hAnsi="Times New Roman"/>
          <w:b/>
          <w:i/>
          <w:noProof/>
        </w:rPr>
        <w:t xml:space="preserve">Propojení systému obchodování s emisemi se Švýcarskem </w:t>
      </w:r>
    </w:p>
    <w:p>
      <w:pPr>
        <w:jc w:val="both"/>
        <w:rPr>
          <w:rFonts w:ascii="Times New Roman" w:hAnsi="Times New Roman" w:cs="Times New Roman"/>
          <w:noProof/>
          <w:sz w:val="24"/>
        </w:rPr>
      </w:pPr>
      <w:r>
        <w:rPr>
          <w:rFonts w:ascii="Times New Roman" w:hAnsi="Times New Roman"/>
          <w:noProof/>
        </w:rPr>
        <w:t>Parlament EU a parlament Švýcarska poté, co v listopadu 2017 dohodu o propojení svých systémů obchodování s emisemi podepsaly, tuto dohodu nyní schválily. V dalším kroku musí Švýcarsko a EU dohodu o propojení ratifikovat, aby se mohla od 1. ledna 2020 začít uplatňovat.</w:t>
      </w:r>
    </w:p>
    <w:p>
      <w:pPr>
        <w:jc w:val="both"/>
        <w:rPr>
          <w:noProof/>
        </w:rPr>
      </w:pPr>
    </w:p>
    <w:p>
      <w:pPr>
        <w:jc w:val="both"/>
        <w:rPr>
          <w:noProof/>
        </w:rPr>
      </w:pPr>
    </w:p>
    <w:sectPr>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C Square Sans Pro">
    <w:altName w:val="EC Square Sans Pro"/>
    <w:panose1 w:val="020B0506040000020004"/>
    <w:charset w:val="00"/>
    <w:family w:val="swiss"/>
    <w:pitch w:val="variable"/>
    <w:sig w:usb0="A00002BF" w:usb1="5000E0FB" w:usb2="00000000" w:usb3="00000000" w:csb0="0000019F" w:csb1="00000000"/>
  </w:font>
  <w:font w:name="EC Square Sans Pro Medium">
    <w:panose1 w:val="020B0500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CS</w:t>
    </w:r>
    <w:r>
      <w:rPr>
        <w:rFonts w:ascii="Arial" w:hAnsi="Arial" w:cs="Arial"/>
        <w:b/>
        <w:sz w:val="48"/>
      </w:rPr>
      <w:tab/>
    </w:r>
    <w:r>
      <w:rPr>
        <w:rFonts w:ascii="Arial" w:hAnsi="Arial" w:cs="Arial"/>
        <w:b/>
        <w:sz w:val="48"/>
      </w:rPr>
      <w:tab/>
    </w:r>
    <w:r>
      <w:tab/>
    </w:r>
    <w:r>
      <w:rPr>
        <w:rFonts w:ascii="Arial" w:hAnsi="Arial" w:cs="Arial"/>
        <w:b/>
        <w:sz w:val="48"/>
      </w:rPr>
      <w:t>CS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9006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COM(2018) 773 final: Čistá planeta pro všechny: Evropská dlouhodobá strategická vize prosperující, moderní, konkurenceschopné a klimaticky neutrální ekonomiky.</w:t>
      </w:r>
    </w:p>
  </w:footnote>
  <w:footnote w:id="2">
    <w:p>
      <w:pPr>
        <w:pStyle w:val="FootnoteText"/>
      </w:pPr>
      <w:r>
        <w:rPr>
          <w:rStyle w:val="FootnoteReference"/>
        </w:rPr>
        <w:footnoteRef/>
      </w:r>
      <w:r>
        <w:t xml:space="preserve">Zdroj: COM(2018) 773 final. </w:t>
      </w:r>
    </w:p>
  </w:footnote>
  <w:footnote w:id="3">
    <w:p>
      <w:pPr>
        <w:pStyle w:val="FootnoteText"/>
      </w:pPr>
      <w:r>
        <w:rPr>
          <w:rStyle w:val="FootnoteReference"/>
        </w:rPr>
        <w:footnoteRef/>
      </w:r>
      <w:r>
        <w:t xml:space="preserve">Kromě cíle EU v rámci UNFCCC se EU společně s Islandem zavázala k závaznému snížení emisí ve druhém kontrolním období Kjótského protokolu (2013–2020). Cílem je snížit emise ve srovnání se základním rokem emisí (z větší části 1990) o 20 %. Rozsah je mírně odlišný od rozsahu cíle UNFCCC. V roce 2017 snížila EU a Island emise ve srovnání s referenčním rokem o 26 %.  </w:t>
      </w:r>
    </w:p>
  </w:footnote>
  <w:footnote w:id="4">
    <w:p>
      <w:pPr>
        <w:pStyle w:val="FootnoteText"/>
      </w:pPr>
      <w:r>
        <w:rPr>
          <w:rStyle w:val="FootnoteReference"/>
        </w:rPr>
        <w:footnoteRef/>
      </w:r>
      <w:r>
        <w:t xml:space="preserve">Souhrn odhadů členských států. Stávající opatření jsou opatření, která členské státy již provádějí. Dodatečná opatření jsou opatření, která členské státy hodlají provést.  </w:t>
      </w:r>
    </w:p>
  </w:footnote>
  <w:footnote w:id="5">
    <w:p>
      <w:pPr>
        <w:pStyle w:val="FootnoteText"/>
      </w:pPr>
      <w:r>
        <w:rPr>
          <w:rStyle w:val="FootnoteReference"/>
        </w:rPr>
        <w:footnoteRef/>
      </w:r>
      <w:r>
        <w:t xml:space="preserve"> Tento údaj zahrnuje všech 31 zemí, které se účastní systému EU pro obchodování s emisemi. </w:t>
      </w:r>
    </w:p>
  </w:footnote>
  <w:footnote w:id="6">
    <w:p>
      <w:pPr>
        <w:pStyle w:val="FootnoteText"/>
      </w:pPr>
      <w:r>
        <w:rPr>
          <w:rStyle w:val="FootnoteReference"/>
        </w:rPr>
        <w:footnoteRef/>
      </w:r>
      <w:r>
        <w:t xml:space="preserve"> Požadavek obsažený v nařízení (EU) 2018/1999 o správě energetické unie a opatření v oblasti klimatu. </w:t>
      </w:r>
    </w:p>
  </w:footnote>
  <w:footnote w:id="7">
    <w:p>
      <w:pPr>
        <w:pStyle w:val="FootnoteText"/>
      </w:pPr>
      <w:r>
        <w:rPr>
          <w:rStyle w:val="FootnoteReference"/>
        </w:rPr>
        <w:footnoteRef/>
      </w:r>
      <w:r>
        <w:t xml:space="preserve"> </w:t>
      </w:r>
      <w:hyperlink r:id="rId1" w:history="1">
        <w:r>
          <w:rPr>
            <w:rStyle w:val="Hyperlink"/>
          </w:rPr>
          <w:t>https://ec.europa.eu/energy/en/topics/energy-strategy-and-energy-union/governance-energy-union/national-energy-climate-plans</w:t>
        </w:r>
      </w:hyperlink>
      <w:r>
        <w:t xml:space="preserve"> </w:t>
      </w:r>
    </w:p>
  </w:footnote>
  <w:footnote w:id="8">
    <w:p>
      <w:pPr>
        <w:pStyle w:val="FootnoteText"/>
      </w:pPr>
      <w:r>
        <w:rPr>
          <w:rStyle w:val="FootnoteReference"/>
        </w:rPr>
        <w:footnoteRef/>
      </w:r>
      <w:r>
        <w:t>Údaj ukazuje ověřené emise ETS s odvětvovým a zeměpisným rozsahem ETS v příslušném roce, a proto ho před rokem 2013 nelze číst jako časovou řadu. Letectví je zahrnuto do stropu na období 2012–2018.</w:t>
      </w:r>
    </w:p>
  </w:footnote>
  <w:footnote w:id="9">
    <w:p>
      <w:pPr>
        <w:pStyle w:val="FootnoteText"/>
      </w:pPr>
      <w:r>
        <w:rPr>
          <w:rStyle w:val="FootnoteReference"/>
        </w:rPr>
        <w:footnoteRef/>
      </w:r>
      <w:r>
        <w:t xml:space="preserve"> Přebytek odpovídá „celkovému počtu povolenek v oběhu“, jak je definován v rozhodnutí o zřízení rezervy tržní stability.</w:t>
      </w:r>
    </w:p>
  </w:footnote>
  <w:footnote w:id="10">
    <w:p>
      <w:pPr>
        <w:pStyle w:val="FootnoteText"/>
      </w:pPr>
      <w:r>
        <w:rPr>
          <w:rStyle w:val="FootnoteReference"/>
        </w:rPr>
        <w:footnoteRef/>
      </w:r>
      <w:r>
        <w:t xml:space="preserve"> C(2019) 3288 final: Zveřejnění celkového počtu povolenek v oběhu v roce 2018 pro účely </w:t>
      </w:r>
    </w:p>
    <w:p>
      <w:pPr>
        <w:pStyle w:val="FootnoteText"/>
      </w:pPr>
      <w:r>
        <w:t xml:space="preserve">rezervy tržní stability v rámci systému EU pro obchodování s emisemi. </w:t>
      </w:r>
    </w:p>
  </w:footnote>
  <w:footnote w:id="11">
    <w:p>
      <w:pPr>
        <w:pStyle w:val="FootnoteText"/>
        <w:rPr>
          <w:rFonts w:cstheme="minorHAnsi"/>
        </w:rPr>
      </w:pPr>
      <w:r>
        <w:rPr>
          <w:rStyle w:val="FootnoteReference"/>
          <w:rFonts w:ascii="Times New Roman" w:hAnsi="Times New Roman" w:cs="Times New Roman"/>
        </w:rPr>
        <w:footnoteRef/>
      </w:r>
      <w:r>
        <w:rPr>
          <w:rFonts w:ascii="Times New Roman" w:hAnsi="Times New Roman"/>
        </w:rPr>
        <w:t xml:space="preserve">  </w:t>
      </w:r>
      <w:r>
        <w:t>Rozhodnutí č. 406/2009/ES o úsilí členských států snížit emise skleníkových plynů, aby byly splněny závazky Společenství v oblasti snížení emisí skleníkových plynů do roku 2020.</w:t>
      </w:r>
    </w:p>
  </w:footnote>
  <w:footnote w:id="12">
    <w:p>
      <w:pPr>
        <w:pStyle w:val="FootnoteText"/>
        <w:spacing w:after="120"/>
        <w:ind w:left="426" w:hanging="426"/>
        <w:jc w:val="both"/>
        <w:rPr>
          <w:rFonts w:cstheme="minorHAnsi"/>
        </w:rPr>
      </w:pPr>
      <w:r>
        <w:rPr>
          <w:rStyle w:val="FootnoteReference"/>
          <w:rFonts w:cstheme="minorHAnsi"/>
        </w:rPr>
        <w:footnoteRef/>
      </w:r>
      <w:r>
        <w:t xml:space="preserve"> Nařízení (EU) 2018/842 o závazném každoročním snižování emisí skleníkových plynů členskými státy v období 2021–2030 přispívajícím k opatřením v oblasti klimatu za účelem splnění závazků podle Pařížské dohody.</w:t>
      </w:r>
    </w:p>
  </w:footnote>
  <w:footnote w:id="13">
    <w:p>
      <w:pPr>
        <w:pStyle w:val="FootnoteText"/>
      </w:pPr>
      <w:r>
        <w:rPr>
          <w:rStyle w:val="FootnoteReference"/>
        </w:rPr>
        <w:footnoteRef/>
      </w:r>
      <w:r>
        <w:t xml:space="preserve"> Odhady členských států při provedení „dodatečných opatření“, které byly předloženy v březnu 2019, naznačují snížení o 27 %, zatímco posouzení scénářů s dodatečnými opatřeními v rámci návrhů vnitrostátních plánů v oblasti energetiky a klimatu předpokládá 28% snížení. </w:t>
      </w:r>
    </w:p>
  </w:footnote>
  <w:footnote w:id="14">
    <w:p>
      <w:pPr>
        <w:pStyle w:val="FootnoteText"/>
      </w:pPr>
      <w:r>
        <w:rPr>
          <w:rStyle w:val="FootnoteReference"/>
        </w:rPr>
        <w:footnoteRef/>
      </w:r>
      <w:r>
        <w:t xml:space="preserve"> Cíle snížení emisí, na něž se nevztahuje systém ETS, zahrnují vnitrostátní cíle stanovené v rámci nařízení o „sdílení úsilí“ a závazek „nulového pasivního zůstatku“ podle nařízení o LULUCF (viz kapitola 4).  </w:t>
      </w:r>
    </w:p>
  </w:footnote>
  <w:footnote w:id="15">
    <w:p>
      <w:pPr>
        <w:pStyle w:val="FootnoteText"/>
      </w:pPr>
      <w:r>
        <w:rPr>
          <w:rStyle w:val="FootnoteReference"/>
        </w:rPr>
        <w:footnoteRef/>
      </w:r>
      <w:r>
        <w:t xml:space="preserve"> Jedná se o souhrnný ukazatel, který integruje dovoz, vývoz, výrobu a likvidaci látek poškozujících ozonovou vrstvu, s výjimkou těch, které se používají jako vstupní suroviny.</w:t>
      </w:r>
    </w:p>
  </w:footnote>
  <w:footnote w:id="16">
    <w:p>
      <w:pPr>
        <w:pStyle w:val="FootnoteText"/>
        <w:jc w:val="both"/>
      </w:pPr>
      <w:r>
        <w:rPr>
          <w:rStyle w:val="FootnoteReference"/>
        </w:rPr>
        <w:footnoteRef/>
      </w:r>
      <w:r>
        <w:t xml:space="preserve"> Nařízení (ES) č. 1005/2009 o látkách, které poškozují ozonovou vrstvu.</w:t>
      </w:r>
    </w:p>
  </w:footnote>
  <w:footnote w:id="17">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 xml:space="preserve">Nařízení (EU) č. 517/2014 o fluorovaných skleníkových plynech. </w:t>
      </w:r>
    </w:p>
  </w:footnote>
  <w:footnote w:id="18">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i/>
          <w:iCs/>
        </w:rPr>
        <w:t>Fluorované skleníkové plyny 2018 – údaje oznámené společnostmi o výrobě, dovozu, vývozu a likvidaci fluorovaných skleníkových plynů v Evropské unii, 2007– 2016</w:t>
      </w:r>
      <w:r>
        <w:rPr>
          <w:rFonts w:ascii="Times New Roman" w:hAnsi="Times New Roman"/>
        </w:rPr>
        <w:t>, Evropská agentura pro životní prostředí.</w:t>
      </w:r>
    </w:p>
  </w:footnote>
  <w:footnote w:id="19">
    <w:p>
      <w:pPr>
        <w:pStyle w:val="FootnoteText"/>
      </w:pPr>
      <w:r>
        <w:rPr>
          <w:rStyle w:val="FootnoteReference"/>
        </w:rPr>
        <w:footnoteRef/>
      </w:r>
      <w:r>
        <w:rPr>
          <w:rFonts w:ascii="Times New Roman" w:hAnsi="Times New Roman"/>
        </w:rPr>
        <w:t>Kredity pro obhospodařování lesů jsou limitované a prezentované jako roční průměry, pokud celkové kredity pro obhospodařování lesů v dotčeném období překračují simulovaný limit pro totéž období.</w:t>
      </w:r>
    </w:p>
  </w:footnote>
  <w:footnote w:id="20">
    <w:p>
      <w:pPr>
        <w:pStyle w:val="FootnoteText"/>
      </w:pPr>
      <w:r>
        <w:rPr>
          <w:rStyle w:val="FootnoteReference"/>
        </w:rPr>
        <w:footnoteRef/>
      </w:r>
      <w:r>
        <w:rPr>
          <w:rFonts w:ascii="Times New Roman" w:hAnsi="Times New Roman"/>
        </w:rPr>
        <w:t>Účetnictví je prostředkem k hodnocení politik a zvyšování ambicí pro další opatření, pokud jde o snižování emisí a zvyšování jejich pohlcování. Je nutno vzít v úvahu, že debetní a kreditní položky jsou předběžné a jsou simulovány, protože konečné účty budou k dispozici až po skončení závazkového období (prosinec 2020). V závislosti na činnosti platí různá účetní pravidla: započítávání metodou gross-net se základní hodnotou 0 pro zalesňování/opětovné zalesňování a odlesňování, započítávání hodnotou net-net oproti výchozí úrovni (většinou emise a pohlcení emisí pro rok 1990) pro obhospodařování pastvin, obhospodařování orné půdy a obnovu vegetace a rozdíl oproti referenční úrovni pro obhospodařování lesů v lesním hospodářství.</w:t>
      </w:r>
    </w:p>
  </w:footnote>
  <w:footnote w:id="21">
    <w:p>
      <w:pPr>
        <w:pStyle w:val="FootnoteText"/>
      </w:pPr>
      <w:r>
        <w:rPr>
          <w:rStyle w:val="FootnoteReference"/>
        </w:rPr>
        <w:footnoteRef/>
      </w:r>
      <w:r>
        <w:rPr>
          <w:rFonts w:ascii="Times New Roman" w:hAnsi="Times New Roman"/>
        </w:rPr>
        <w:t>Sedm členských států si zvolilo obhospodařování orné půdy, šest členských států obhospodařování pastvin, jeden členský stát si zvolil obnovu vegetace a jeden vysoušení a zavodňování mokřadů, ale musí ještě poskytnout vyčíslení.</w:t>
      </w:r>
      <w:r>
        <w:t xml:space="preserve"> </w:t>
      </w:r>
    </w:p>
  </w:footnote>
  <w:footnote w:id="22">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Nařízení (EU) 2018/841 o zahrnutí emisí skleníkových plynů a jejich pohlcování v důsledku využívání půdy, změn ve využívání půdy a lesnictví do rámce politiky v oblasti klimatu a energetiky do roku 2030.</w:t>
      </w:r>
    </w:p>
  </w:footnote>
  <w:footnote w:id="23">
    <w:p>
      <w:pPr>
        <w:pStyle w:val="FootnoteText"/>
      </w:pPr>
      <w:r>
        <w:rPr>
          <w:rStyle w:val="FootnoteReference"/>
        </w:rPr>
        <w:footnoteRef/>
      </w:r>
      <w:r>
        <w:t xml:space="preserve"> http://ec.europa.eu/transparency/regexpert/index.cfm?do=groupDetail.groupDetail&amp;groupID=3638&amp;news =1</w:t>
      </w:r>
    </w:p>
  </w:footnote>
  <w:footnote w:id="24">
    <w:p>
      <w:pPr>
        <w:pStyle w:val="FootnoteText"/>
      </w:pPr>
      <w:r>
        <w:rPr>
          <w:rStyle w:val="FootnoteReference"/>
        </w:rPr>
        <w:footnoteRef/>
      </w:r>
      <w:r>
        <w:t xml:space="preserve"> SWD(2019) 213 final.</w:t>
      </w:r>
    </w:p>
  </w:footnote>
  <w:footnote w:id="25">
    <w:p>
      <w:pPr>
        <w:pStyle w:val="FootnoteText"/>
      </w:pPr>
      <w:r>
        <w:rPr>
          <w:rStyle w:val="FootnoteReference"/>
        </w:rPr>
        <w:footnoteRef/>
      </w:r>
      <w:r>
        <w:t xml:space="preserve"> COM(2018) 773 final.</w:t>
      </w:r>
    </w:p>
  </w:footnote>
  <w:footnote w:id="26">
    <w:p>
      <w:pPr>
        <w:pStyle w:val="FootnoteText"/>
      </w:pPr>
      <w:r>
        <w:rPr>
          <w:rStyle w:val="FootnoteReference"/>
        </w:rPr>
        <w:footnoteRef/>
      </w:r>
      <w:r>
        <w:t xml:space="preserve"> Nařízení (EU) 2019/631, kterým se stanoví výkonnostní emisní normy CO</w:t>
      </w:r>
      <w:r>
        <w:rPr>
          <w:vertAlign w:val="subscript"/>
        </w:rPr>
        <w:t>2</w:t>
      </w:r>
      <w:r>
        <w:t xml:space="preserve"> pro nové osobní automobily a pro nová lehká užitková vozidla.</w:t>
      </w:r>
    </w:p>
  </w:footnote>
  <w:footnote w:id="27">
    <w:p>
      <w:pPr>
        <w:pStyle w:val="FootnoteText"/>
      </w:pPr>
      <w:r>
        <w:rPr>
          <w:rStyle w:val="FootnoteReference"/>
        </w:rPr>
        <w:footnoteRef/>
      </w:r>
      <w:r>
        <w:t xml:space="preserve"> Nařízení (EU) 2019/1242, kterým se stanoví výkonnostní emisní normy CO</w:t>
      </w:r>
      <w:r>
        <w:rPr>
          <w:vertAlign w:val="subscript"/>
        </w:rPr>
        <w:t>2</w:t>
      </w:r>
      <w:r>
        <w:t xml:space="preserve"> pro nová těžká vozidla.</w:t>
      </w:r>
    </w:p>
  </w:footnote>
  <w:footnote w:id="28">
    <w:p>
      <w:pPr>
        <w:pStyle w:val="FootnoteText"/>
      </w:pPr>
      <w:r>
        <w:rPr>
          <w:rStyle w:val="FootnoteReference"/>
        </w:rPr>
        <w:footnoteRef/>
      </w:r>
      <w:r>
        <w:t xml:space="preserve"> Směrnice (EU) 2019/1161 o podpoře čistých a energeticky účinných silničních vozidel.</w:t>
      </w:r>
    </w:p>
  </w:footnote>
  <w:footnote w:id="29">
    <w:p>
      <w:pPr>
        <w:pStyle w:val="FootnoteText"/>
      </w:pPr>
      <w:r>
        <w:rPr>
          <w:rStyle w:val="FootnoteReference"/>
        </w:rPr>
        <w:footnoteRef/>
      </w:r>
      <w:r>
        <w:t xml:space="preserve"> https://ec.europa.eu/transport/modes/road/news/2017-05-31-europe-on-the-move_en</w:t>
      </w:r>
    </w:p>
  </w:footnote>
  <w:footnote w:id="30">
    <w:p>
      <w:pPr>
        <w:pStyle w:val="FootnoteText"/>
      </w:pPr>
      <w:r>
        <w:rPr>
          <w:rStyle w:val="FootnoteReference"/>
        </w:rPr>
        <w:footnoteRef/>
      </w:r>
      <w:r>
        <w:t xml:space="preserve"> https://europa.eu/rapid/press-release_IP-17-4242_en.htm</w:t>
      </w:r>
    </w:p>
  </w:footnote>
  <w:footnote w:id="31">
    <w:p>
      <w:pPr>
        <w:pStyle w:val="FootnoteText"/>
      </w:pPr>
      <w:r>
        <w:rPr>
          <w:rStyle w:val="FootnoteReference"/>
        </w:rPr>
        <w:footnoteRef/>
      </w:r>
      <w:r>
        <w:t xml:space="preserve"> COM(2018) 097 final.</w:t>
      </w:r>
    </w:p>
  </w:footnote>
  <w:footnote w:id="32">
    <w:p>
      <w:pPr>
        <w:pStyle w:val="FootnoteText"/>
      </w:pPr>
      <w:r>
        <w:rPr>
          <w:rStyle w:val="FootnoteReference"/>
        </w:rPr>
        <w:footnoteRef/>
      </w:r>
      <w:r>
        <w:t xml:space="preserve"> </w:t>
      </w:r>
      <w:hyperlink r:id="rId2" w:history="1">
        <w:r>
          <w:rPr>
            <w:rStyle w:val="Hyperlink"/>
          </w:rPr>
          <w:t>https://ec.europa.eu/info/publications/180524-proposal-sustainable-finance_en</w:t>
        </w:r>
      </w:hyperlink>
      <w:r>
        <w:t xml:space="preserve"> </w:t>
      </w:r>
    </w:p>
  </w:footnote>
  <w:footnote w:id="33">
    <w:p>
      <w:pPr>
        <w:pStyle w:val="FootnoteText"/>
      </w:pPr>
      <w:r>
        <w:rPr>
          <w:rStyle w:val="FootnoteReference"/>
        </w:rPr>
        <w:footnoteRef/>
      </w:r>
      <w:r>
        <w:t xml:space="preserve"> </w:t>
      </w:r>
      <w:hyperlink r:id="rId3" w:anchor="climate" w:history="1">
        <w:r>
          <w:rPr>
            <w:rStyle w:val="Hyperlink"/>
          </w:rPr>
          <w:t>https://ec.europa.eu/info/publications/non-financial-reporting-guidelines_en#climate</w:t>
        </w:r>
      </w:hyperlink>
      <w:r>
        <w:t xml:space="preserve"> </w:t>
      </w:r>
    </w:p>
  </w:footnote>
  <w:footnote w:id="34">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https://ec.europa.eu/info/sites/info/files/about_the_european_commission/eu_budget/draft-budget-2020-wd-13-web-1.4_soe.pdf</w:t>
      </w:r>
    </w:p>
  </w:footnote>
  <w:footnote w:id="35">
    <w:p>
      <w:pPr>
        <w:pStyle w:val="FootnoteText"/>
        <w:spacing w:after="120"/>
        <w:ind w:left="426" w:hanging="426"/>
        <w:jc w:val="both"/>
        <w:rPr>
          <w:rFonts w:ascii="Times New Roman" w:hAnsi="Times New Roman" w:cs="Times New Roman"/>
          <w:b/>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r>
      <w:hyperlink r:id="rId4" w:history="1">
        <w:r>
          <w:rPr>
            <w:rStyle w:val="Hyperlink"/>
            <w:rFonts w:ascii="Times New Roman" w:hAnsi="Times New Roman"/>
          </w:rPr>
          <w:t>https://ec.europa.eu/commission/publications/factsheets-long-term-budget-proposals_en</w:t>
        </w:r>
      </w:hyperlink>
      <w:r>
        <w:rPr>
          <w:rFonts w:ascii="Times New Roman" w:hAnsi="Times New Roman"/>
          <w:b/>
        </w:rPr>
        <w:t xml:space="preserve"> </w:t>
      </w:r>
    </w:p>
  </w:footnote>
  <w:footnote w:id="36">
    <w:p>
      <w:pPr>
        <w:pStyle w:val="FootnoteText"/>
      </w:pPr>
      <w:r>
        <w:rPr>
          <w:rStyle w:val="FootnoteReference"/>
        </w:rPr>
        <w:footnoteRef/>
      </w:r>
      <w:r>
        <w:t xml:space="preserve"> Směrnice Evropského parlamentu Rady (EU) 2018/410 ze dne 14. března 2018, kterou se mění směrnice 2003/87/ES o vytvoření systému pro obchodování s povolenkami na emise skleníkových plynů v Unii, čl. 10a odst. 8.</w:t>
      </w:r>
    </w:p>
  </w:footnote>
  <w:footnote w:id="37">
    <w:p>
      <w:pPr>
        <w:pStyle w:val="FootnoteText"/>
      </w:pPr>
      <w:r>
        <w:rPr>
          <w:rStyle w:val="FootnoteReference"/>
        </w:rPr>
        <w:footnoteRef/>
      </w:r>
      <w:r>
        <w:t xml:space="preserve">    28/05/2019 – C(2019) 1492 – </w:t>
      </w:r>
      <w:hyperlink r:id="rId5" w:history="1">
        <w:r>
          <w:rPr>
            <w:rStyle w:val="Hyperlink"/>
          </w:rPr>
          <w:t xml:space="preserve">Nařízení Komise v přenesené pravomoci (EU) 2019/856, kterým se doplňuje směrnice 2003/87/ES, pokud jde o fungování inovačního fondu </w:t>
        </w:r>
      </w:hyperlink>
      <w:r>
        <w:t xml:space="preserve">  </w:t>
      </w:r>
    </w:p>
  </w:footnote>
  <w:footnote w:id="38">
    <w:p>
      <w:pPr>
        <w:pStyle w:val="FootnoteText"/>
      </w:pPr>
      <w:r>
        <w:rPr>
          <w:rStyle w:val="FootnoteReference"/>
        </w:rPr>
        <w:footnoteRef/>
      </w:r>
      <w:r>
        <w:t xml:space="preserve"> https://ec.europa.eu/clima/policies/innovation-fund_en</w:t>
      </w:r>
    </w:p>
  </w:footnote>
  <w:footnote w:id="39">
    <w:p>
      <w:pPr>
        <w:pStyle w:val="FootnoteText"/>
      </w:pPr>
      <w:r>
        <w:rPr>
          <w:rStyle w:val="FootnoteReference"/>
        </w:rPr>
        <w:footnoteRef/>
      </w:r>
      <w:r>
        <w:t xml:space="preserve"> </w:t>
      </w:r>
      <w:r>
        <w:tab/>
        <w:t>BG, CZ, EE, HR, LV, LT, HU, PL, RO a SK.</w:t>
      </w:r>
    </w:p>
  </w:footnote>
  <w:footnote w:id="40">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ab/>
        <w:t xml:space="preserve">Chorvatsko a Bulharsko na svých strategiích zatím ještě pracují. </w:t>
      </w:r>
    </w:p>
  </w:footnote>
  <w:footnote w:id="41">
    <w:p>
      <w:pPr>
        <w:pStyle w:val="FootnoteText"/>
      </w:pPr>
      <w:r>
        <w:rPr>
          <w:rStyle w:val="FootnoteReference"/>
        </w:rPr>
        <w:footnoteRef/>
      </w:r>
      <w:r>
        <w:t xml:space="preserve"> </w:t>
      </w:r>
      <w:hyperlink r:id="rId6" w:history="1">
        <w:r>
          <w:rPr>
            <w:rStyle w:val="Hyperlink"/>
          </w:rPr>
          <w:t>https://ec.europa.eu/jrc/en/peseta-iii</w:t>
        </w:r>
      </w:hyperlink>
      <w:r>
        <w:t xml:space="preserve"> </w:t>
      </w:r>
    </w:p>
  </w:footnote>
  <w:footnote w:id="42">
    <w:p>
      <w:pPr>
        <w:pStyle w:val="FootnoteText"/>
      </w:pPr>
      <w:r>
        <w:rPr>
          <w:rStyle w:val="FootnoteReference"/>
        </w:rPr>
        <w:footnoteRef/>
      </w:r>
      <w:r>
        <w:t xml:space="preserve"> </w:t>
      </w:r>
      <w:hyperlink r:id="rId7" w:history="1">
        <w:r>
          <w:rPr>
            <w:rStyle w:val="Hyperlink"/>
          </w:rPr>
          <w:t>http://www.lifeagroclimawater.eu/</w:t>
        </w:r>
      </w:hyperlink>
      <w:r>
        <w:t xml:space="preserve"> </w:t>
      </w:r>
    </w:p>
  </w:footnote>
  <w:footnote w:id="43">
    <w:p>
      <w:pPr>
        <w:pStyle w:val="FootnoteText"/>
      </w:pPr>
      <w:r>
        <w:rPr>
          <w:rStyle w:val="FootnoteReference"/>
        </w:rPr>
        <w:footnoteRef/>
      </w:r>
      <w:r>
        <w:t xml:space="preserve"> </w:t>
      </w:r>
      <w:hyperlink r:id="rId8" w:history="1">
        <w:r>
          <w:rPr>
            <w:rStyle w:val="Hyperlink"/>
          </w:rPr>
          <w:t>https://ec.europa.eu/clima/policies/adaptation/what_cs</w:t>
        </w:r>
      </w:hyperlink>
    </w:p>
  </w:footnote>
  <w:footnote w:id="44">
    <w:p>
      <w:pPr>
        <w:pStyle w:val="FootnoteText"/>
        <w:ind w:left="284" w:hanging="284"/>
        <w:jc w:val="both"/>
      </w:pPr>
      <w:r>
        <w:rPr>
          <w:rStyle w:val="FootnoteReference"/>
        </w:rPr>
        <w:footnoteRef/>
      </w:r>
      <w:r>
        <w:t xml:space="preserve"> </w:t>
      </w:r>
      <w:r>
        <w:tab/>
      </w:r>
      <w:hyperlink r:id="rId9" w:history="1">
        <w:r>
          <w:rPr>
            <w:rStyle w:val="Hyperlink"/>
            <w:rFonts w:ascii="Times New Roman" w:hAnsi="Times New Roman"/>
          </w:rPr>
          <w:t>https://eur-lex.europa.eu/legal-content/EN/TXT/?uri=CELEX:32018D2027</w:t>
        </w:r>
      </w:hyperlink>
      <w:r>
        <w:rPr>
          <w:rFonts w:ascii="Times New Roman" w:hAnsi="Times New Roman"/>
        </w:rPr>
        <w:t xml:space="preserve"> </w:t>
      </w:r>
    </w:p>
  </w:footnote>
  <w:footnote w:id="45">
    <w:p>
      <w:pPr>
        <w:pStyle w:val="FootnoteText"/>
      </w:pPr>
      <w:r>
        <w:rPr>
          <w:rStyle w:val="FootnoteReference"/>
        </w:rPr>
        <w:footnoteRef/>
      </w:r>
      <w:r>
        <w:t xml:space="preserve"> Nařízení (EU) 2015/757 o monitorování, vykazování a ověřování emisí CO</w:t>
      </w:r>
      <w:r>
        <w:rPr>
          <w:vertAlign w:val="subscript"/>
        </w:rPr>
        <w:t>2</w:t>
      </w:r>
      <w:r>
        <w:t>.</w:t>
      </w:r>
    </w:p>
  </w:footnote>
  <w:footnote w:id="46">
    <w:p>
      <w:pPr>
        <w:pStyle w:val="FootnoteText"/>
      </w:pPr>
      <w:r>
        <w:rPr>
          <w:rStyle w:val="FootnoteReference"/>
        </w:rPr>
        <w:footnoteRef/>
      </w:r>
      <w:r>
        <w:t xml:space="preserve"> Údaje o financování opatření EU v oblasti klimatu za rok 2018 budou zveřejněny na podzim roku 2019 v závěrech Rady o financování opatření v oblasti klimatu.</w:t>
      </w:r>
    </w:p>
  </w:footnote>
  <w:footnote w:id="47">
    <w:p>
      <w:pPr>
        <w:pStyle w:val="FootnoteText"/>
      </w:pPr>
      <w:r>
        <w:rPr>
          <w:rStyle w:val="FootnoteReference"/>
        </w:rPr>
        <w:footnoteRef/>
      </w:r>
      <w:r>
        <w:t>Dohoda z Cotonou je zastřešujícím rámcem pro vztahy EU se zeměmi AKT. Její platnost skončí v únoru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07C6"/>
    <w:multiLevelType w:val="hybridMultilevel"/>
    <w:tmpl w:val="E9C8391E"/>
    <w:lvl w:ilvl="0" w:tplc="E6A4CE56">
      <w:start w:val="1"/>
      <w:numFmt w:val="decimal"/>
      <w:pStyle w:val="Heading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8D0C91"/>
    <w:multiLevelType w:val="hybridMultilevel"/>
    <w:tmpl w:val="99DC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1059D8"/>
    <w:multiLevelType w:val="hybridMultilevel"/>
    <w:tmpl w:val="D0B07C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3991137"/>
    <w:multiLevelType w:val="hybridMultilevel"/>
    <w:tmpl w:val="4D260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DCF3F4A"/>
    <w:multiLevelType w:val="hybridMultilevel"/>
    <w:tmpl w:val="61A6A4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 w:numId="6">
    <w:abstractNumId w:val="5"/>
  </w:num>
  <w:num w:numId="7">
    <w:abstractNumId w:val="6"/>
  </w:num>
  <w:num w:numId="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813BFAA4-ADB5-41B7-A11C-50DA2AD11254"/>
    <w:docVar w:name="LW_COVERPAGE_TYPE" w:val="1"/>
    <w:docVar w:name="LW_CROSSREFERENCE" w:val="{SWD(2019) 396 final}"/>
    <w:docVar w:name="LW_DocType" w:val="NORMAL"/>
    <w:docVar w:name="LW_EMISSION" w:val="31.10.2019"/>
    <w:docVar w:name="LW_EMISSION_ISODATE" w:val="2019-10-31"/>
    <w:docVar w:name="LW_EMISSION_LOCATION" w:val="BRX"/>
    <w:docVar w:name="LW_EMISSION_PREFIX" w:val="V Bruselu dne "/>
    <w:docVar w:name="LW_EMISSION_SUFFIX" w:val=" "/>
    <w:docVar w:name="LW_ID_DOCTYPE_NONLW" w:val="CP-006"/>
    <w:docVar w:name="LW_LANGUE" w:val="CS"/>
    <w:docVar w:name="LW_LEVEL_OF_SENSITIVITY" w:val="Standard treatment"/>
    <w:docVar w:name="LW_NOM.INST" w:val="EVROPSKÁ KOMISE"/>
    <w:docVar w:name="LW_NOM.INST_JOINTDOC" w:val="&lt;EMPTY&gt;"/>
    <w:docVar w:name="LW_PART_NBR" w:val="1"/>
    <w:docVar w:name="LW_PART_NBR_TOTAL" w:val="1"/>
    <w:docVar w:name="LW_REF.INST.NEW" w:val="COM"/>
    <w:docVar w:name="LW_REF.INST.NEW_ADOPTED" w:val="final"/>
    <w:docVar w:name="LW_REF.INST.NEW_TEXT" w:val="(2019) 55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Vyvá\u345?ení p\u345?edpoklad\u367? pro zvý\u353?ení dlouhodobých ambicí_x000b__x000b_Zpráva o pokroku EU p\u345?i provád\u283?ní opat\u345?ení  v oblasti klimatu za rok 2019"/>
    <w:docVar w:name="LW_TYPE.DOC.CP" w:val="ZPRÁVA KOMISE EVROPSKÉMU PARLAMENTU A RAD\u282?"/>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04245">
      <w:bodyDiv w:val="1"/>
      <w:marLeft w:val="0"/>
      <w:marRight w:val="0"/>
      <w:marTop w:val="0"/>
      <w:marBottom w:val="0"/>
      <w:divBdr>
        <w:top w:val="none" w:sz="0" w:space="0" w:color="auto"/>
        <w:left w:val="none" w:sz="0" w:space="0" w:color="auto"/>
        <w:bottom w:val="none" w:sz="0" w:space="0" w:color="auto"/>
        <w:right w:val="none" w:sz="0" w:space="0" w:color="auto"/>
      </w:divBdr>
    </w:div>
    <w:div w:id="545069299">
      <w:bodyDiv w:val="1"/>
      <w:marLeft w:val="0"/>
      <w:marRight w:val="0"/>
      <w:marTop w:val="0"/>
      <w:marBottom w:val="0"/>
      <w:divBdr>
        <w:top w:val="none" w:sz="0" w:space="0" w:color="auto"/>
        <w:left w:val="none" w:sz="0" w:space="0" w:color="auto"/>
        <w:bottom w:val="none" w:sz="0" w:space="0" w:color="auto"/>
        <w:right w:val="none" w:sz="0" w:space="0" w:color="auto"/>
      </w:divBdr>
      <w:divsChild>
        <w:div w:id="1349285560">
          <w:marLeft w:val="547"/>
          <w:marRight w:val="0"/>
          <w:marTop w:val="96"/>
          <w:marBottom w:val="0"/>
          <w:divBdr>
            <w:top w:val="none" w:sz="0" w:space="0" w:color="auto"/>
            <w:left w:val="none" w:sz="0" w:space="0" w:color="auto"/>
            <w:bottom w:val="none" w:sz="0" w:space="0" w:color="auto"/>
            <w:right w:val="none" w:sz="0" w:space="0" w:color="auto"/>
          </w:divBdr>
        </w:div>
        <w:div w:id="492332153">
          <w:marLeft w:val="547"/>
          <w:marRight w:val="0"/>
          <w:marTop w:val="96"/>
          <w:marBottom w:val="0"/>
          <w:divBdr>
            <w:top w:val="none" w:sz="0" w:space="0" w:color="auto"/>
            <w:left w:val="none" w:sz="0" w:space="0" w:color="auto"/>
            <w:bottom w:val="none" w:sz="0" w:space="0" w:color="auto"/>
            <w:right w:val="none" w:sz="0" w:space="0" w:color="auto"/>
          </w:divBdr>
        </w:div>
      </w:divsChild>
    </w:div>
    <w:div w:id="622467042">
      <w:bodyDiv w:val="1"/>
      <w:marLeft w:val="0"/>
      <w:marRight w:val="0"/>
      <w:marTop w:val="0"/>
      <w:marBottom w:val="0"/>
      <w:divBdr>
        <w:top w:val="none" w:sz="0" w:space="0" w:color="auto"/>
        <w:left w:val="none" w:sz="0" w:space="0" w:color="auto"/>
        <w:bottom w:val="none" w:sz="0" w:space="0" w:color="auto"/>
        <w:right w:val="none" w:sz="0" w:space="0" w:color="auto"/>
      </w:divBdr>
      <w:divsChild>
        <w:div w:id="696614701">
          <w:marLeft w:val="0"/>
          <w:marRight w:val="0"/>
          <w:marTop w:val="0"/>
          <w:marBottom w:val="0"/>
          <w:divBdr>
            <w:top w:val="none" w:sz="0" w:space="0" w:color="auto"/>
            <w:left w:val="none" w:sz="0" w:space="0" w:color="auto"/>
            <w:bottom w:val="none" w:sz="0" w:space="0" w:color="auto"/>
            <w:right w:val="none" w:sz="0" w:space="0" w:color="auto"/>
          </w:divBdr>
        </w:div>
        <w:div w:id="486896805">
          <w:marLeft w:val="0"/>
          <w:marRight w:val="0"/>
          <w:marTop w:val="0"/>
          <w:marBottom w:val="0"/>
          <w:divBdr>
            <w:top w:val="none" w:sz="0" w:space="0" w:color="auto"/>
            <w:left w:val="none" w:sz="0" w:space="0" w:color="auto"/>
            <w:bottom w:val="none" w:sz="0" w:space="0" w:color="auto"/>
            <w:right w:val="none" w:sz="0" w:space="0" w:color="auto"/>
          </w:divBdr>
        </w:div>
        <w:div w:id="1995182714">
          <w:marLeft w:val="0"/>
          <w:marRight w:val="0"/>
          <w:marTop w:val="0"/>
          <w:marBottom w:val="0"/>
          <w:divBdr>
            <w:top w:val="none" w:sz="0" w:space="0" w:color="auto"/>
            <w:left w:val="none" w:sz="0" w:space="0" w:color="auto"/>
            <w:bottom w:val="none" w:sz="0" w:space="0" w:color="auto"/>
            <w:right w:val="none" w:sz="0" w:space="0" w:color="auto"/>
          </w:divBdr>
        </w:div>
        <w:div w:id="1403989712">
          <w:marLeft w:val="0"/>
          <w:marRight w:val="0"/>
          <w:marTop w:val="0"/>
          <w:marBottom w:val="0"/>
          <w:divBdr>
            <w:top w:val="none" w:sz="0" w:space="0" w:color="auto"/>
            <w:left w:val="none" w:sz="0" w:space="0" w:color="auto"/>
            <w:bottom w:val="none" w:sz="0" w:space="0" w:color="auto"/>
            <w:right w:val="none" w:sz="0" w:space="0" w:color="auto"/>
          </w:divBdr>
        </w:div>
        <w:div w:id="1739941987">
          <w:marLeft w:val="0"/>
          <w:marRight w:val="0"/>
          <w:marTop w:val="0"/>
          <w:marBottom w:val="0"/>
          <w:divBdr>
            <w:top w:val="none" w:sz="0" w:space="0" w:color="auto"/>
            <w:left w:val="none" w:sz="0" w:space="0" w:color="auto"/>
            <w:bottom w:val="none" w:sz="0" w:space="0" w:color="auto"/>
            <w:right w:val="none" w:sz="0" w:space="0" w:color="auto"/>
          </w:divBdr>
        </w:div>
        <w:div w:id="888491088">
          <w:marLeft w:val="0"/>
          <w:marRight w:val="0"/>
          <w:marTop w:val="0"/>
          <w:marBottom w:val="0"/>
          <w:divBdr>
            <w:top w:val="none" w:sz="0" w:space="0" w:color="auto"/>
            <w:left w:val="none" w:sz="0" w:space="0" w:color="auto"/>
            <w:bottom w:val="none" w:sz="0" w:space="0" w:color="auto"/>
            <w:right w:val="none" w:sz="0" w:space="0" w:color="auto"/>
          </w:divBdr>
        </w:div>
        <w:div w:id="1144933143">
          <w:marLeft w:val="0"/>
          <w:marRight w:val="0"/>
          <w:marTop w:val="0"/>
          <w:marBottom w:val="0"/>
          <w:divBdr>
            <w:top w:val="none" w:sz="0" w:space="0" w:color="auto"/>
            <w:left w:val="none" w:sz="0" w:space="0" w:color="auto"/>
            <w:bottom w:val="none" w:sz="0" w:space="0" w:color="auto"/>
            <w:right w:val="none" w:sz="0" w:space="0" w:color="auto"/>
          </w:divBdr>
        </w:div>
        <w:div w:id="1282147288">
          <w:marLeft w:val="0"/>
          <w:marRight w:val="0"/>
          <w:marTop w:val="0"/>
          <w:marBottom w:val="0"/>
          <w:divBdr>
            <w:top w:val="none" w:sz="0" w:space="0" w:color="auto"/>
            <w:left w:val="none" w:sz="0" w:space="0" w:color="auto"/>
            <w:bottom w:val="none" w:sz="0" w:space="0" w:color="auto"/>
            <w:right w:val="none" w:sz="0" w:space="0" w:color="auto"/>
          </w:divBdr>
        </w:div>
        <w:div w:id="2024939788">
          <w:marLeft w:val="0"/>
          <w:marRight w:val="0"/>
          <w:marTop w:val="0"/>
          <w:marBottom w:val="0"/>
          <w:divBdr>
            <w:top w:val="none" w:sz="0" w:space="0" w:color="auto"/>
            <w:left w:val="none" w:sz="0" w:space="0" w:color="auto"/>
            <w:bottom w:val="none" w:sz="0" w:space="0" w:color="auto"/>
            <w:right w:val="none" w:sz="0" w:space="0" w:color="auto"/>
          </w:divBdr>
        </w:div>
        <w:div w:id="1214152373">
          <w:marLeft w:val="0"/>
          <w:marRight w:val="0"/>
          <w:marTop w:val="0"/>
          <w:marBottom w:val="0"/>
          <w:divBdr>
            <w:top w:val="none" w:sz="0" w:space="0" w:color="auto"/>
            <w:left w:val="none" w:sz="0" w:space="0" w:color="auto"/>
            <w:bottom w:val="none" w:sz="0" w:space="0" w:color="auto"/>
            <w:right w:val="none" w:sz="0" w:space="0" w:color="auto"/>
          </w:divBdr>
        </w:div>
        <w:div w:id="236012128">
          <w:marLeft w:val="0"/>
          <w:marRight w:val="0"/>
          <w:marTop w:val="0"/>
          <w:marBottom w:val="0"/>
          <w:divBdr>
            <w:top w:val="none" w:sz="0" w:space="0" w:color="auto"/>
            <w:left w:val="none" w:sz="0" w:space="0" w:color="auto"/>
            <w:bottom w:val="none" w:sz="0" w:space="0" w:color="auto"/>
            <w:right w:val="none" w:sz="0" w:space="0" w:color="auto"/>
          </w:divBdr>
        </w:div>
        <w:div w:id="1933051928">
          <w:marLeft w:val="0"/>
          <w:marRight w:val="0"/>
          <w:marTop w:val="0"/>
          <w:marBottom w:val="0"/>
          <w:divBdr>
            <w:top w:val="none" w:sz="0" w:space="0" w:color="auto"/>
            <w:left w:val="none" w:sz="0" w:space="0" w:color="auto"/>
            <w:bottom w:val="none" w:sz="0" w:space="0" w:color="auto"/>
            <w:right w:val="none" w:sz="0" w:space="0" w:color="auto"/>
          </w:divBdr>
        </w:div>
        <w:div w:id="373431674">
          <w:marLeft w:val="0"/>
          <w:marRight w:val="0"/>
          <w:marTop w:val="0"/>
          <w:marBottom w:val="0"/>
          <w:divBdr>
            <w:top w:val="none" w:sz="0" w:space="0" w:color="auto"/>
            <w:left w:val="none" w:sz="0" w:space="0" w:color="auto"/>
            <w:bottom w:val="none" w:sz="0" w:space="0" w:color="auto"/>
            <w:right w:val="none" w:sz="0" w:space="0" w:color="auto"/>
          </w:divBdr>
        </w:div>
        <w:div w:id="1517188893">
          <w:marLeft w:val="0"/>
          <w:marRight w:val="0"/>
          <w:marTop w:val="0"/>
          <w:marBottom w:val="0"/>
          <w:divBdr>
            <w:top w:val="none" w:sz="0" w:space="0" w:color="auto"/>
            <w:left w:val="none" w:sz="0" w:space="0" w:color="auto"/>
            <w:bottom w:val="none" w:sz="0" w:space="0" w:color="auto"/>
            <w:right w:val="none" w:sz="0" w:space="0" w:color="auto"/>
          </w:divBdr>
        </w:div>
        <w:div w:id="1286816044">
          <w:marLeft w:val="0"/>
          <w:marRight w:val="0"/>
          <w:marTop w:val="0"/>
          <w:marBottom w:val="0"/>
          <w:divBdr>
            <w:top w:val="none" w:sz="0" w:space="0" w:color="auto"/>
            <w:left w:val="none" w:sz="0" w:space="0" w:color="auto"/>
            <w:bottom w:val="none" w:sz="0" w:space="0" w:color="auto"/>
            <w:right w:val="none" w:sz="0" w:space="0" w:color="auto"/>
          </w:divBdr>
        </w:div>
        <w:div w:id="1301885672">
          <w:marLeft w:val="0"/>
          <w:marRight w:val="0"/>
          <w:marTop w:val="0"/>
          <w:marBottom w:val="0"/>
          <w:divBdr>
            <w:top w:val="none" w:sz="0" w:space="0" w:color="auto"/>
            <w:left w:val="none" w:sz="0" w:space="0" w:color="auto"/>
            <w:bottom w:val="none" w:sz="0" w:space="0" w:color="auto"/>
            <w:right w:val="none" w:sz="0" w:space="0" w:color="auto"/>
          </w:divBdr>
        </w:div>
        <w:div w:id="183637867">
          <w:marLeft w:val="0"/>
          <w:marRight w:val="0"/>
          <w:marTop w:val="0"/>
          <w:marBottom w:val="0"/>
          <w:divBdr>
            <w:top w:val="none" w:sz="0" w:space="0" w:color="auto"/>
            <w:left w:val="none" w:sz="0" w:space="0" w:color="auto"/>
            <w:bottom w:val="none" w:sz="0" w:space="0" w:color="auto"/>
            <w:right w:val="none" w:sz="0" w:space="0" w:color="auto"/>
          </w:divBdr>
        </w:div>
        <w:div w:id="73018433">
          <w:marLeft w:val="0"/>
          <w:marRight w:val="0"/>
          <w:marTop w:val="0"/>
          <w:marBottom w:val="0"/>
          <w:divBdr>
            <w:top w:val="none" w:sz="0" w:space="0" w:color="auto"/>
            <w:left w:val="none" w:sz="0" w:space="0" w:color="auto"/>
            <w:bottom w:val="none" w:sz="0" w:space="0" w:color="auto"/>
            <w:right w:val="none" w:sz="0" w:space="0" w:color="auto"/>
          </w:divBdr>
        </w:div>
        <w:div w:id="1511674995">
          <w:marLeft w:val="0"/>
          <w:marRight w:val="0"/>
          <w:marTop w:val="0"/>
          <w:marBottom w:val="0"/>
          <w:divBdr>
            <w:top w:val="none" w:sz="0" w:space="0" w:color="auto"/>
            <w:left w:val="none" w:sz="0" w:space="0" w:color="auto"/>
            <w:bottom w:val="none" w:sz="0" w:space="0" w:color="auto"/>
            <w:right w:val="none" w:sz="0" w:space="0" w:color="auto"/>
          </w:divBdr>
        </w:div>
        <w:div w:id="1764958855">
          <w:marLeft w:val="0"/>
          <w:marRight w:val="0"/>
          <w:marTop w:val="0"/>
          <w:marBottom w:val="0"/>
          <w:divBdr>
            <w:top w:val="none" w:sz="0" w:space="0" w:color="auto"/>
            <w:left w:val="none" w:sz="0" w:space="0" w:color="auto"/>
            <w:bottom w:val="none" w:sz="0" w:space="0" w:color="auto"/>
            <w:right w:val="none" w:sz="0" w:space="0" w:color="auto"/>
          </w:divBdr>
        </w:div>
        <w:div w:id="494106740">
          <w:marLeft w:val="0"/>
          <w:marRight w:val="0"/>
          <w:marTop w:val="0"/>
          <w:marBottom w:val="0"/>
          <w:divBdr>
            <w:top w:val="none" w:sz="0" w:space="0" w:color="auto"/>
            <w:left w:val="none" w:sz="0" w:space="0" w:color="auto"/>
            <w:bottom w:val="none" w:sz="0" w:space="0" w:color="auto"/>
            <w:right w:val="none" w:sz="0" w:space="0" w:color="auto"/>
          </w:divBdr>
        </w:div>
        <w:div w:id="391344982">
          <w:marLeft w:val="0"/>
          <w:marRight w:val="0"/>
          <w:marTop w:val="0"/>
          <w:marBottom w:val="0"/>
          <w:divBdr>
            <w:top w:val="none" w:sz="0" w:space="0" w:color="auto"/>
            <w:left w:val="none" w:sz="0" w:space="0" w:color="auto"/>
            <w:bottom w:val="none" w:sz="0" w:space="0" w:color="auto"/>
            <w:right w:val="none" w:sz="0" w:space="0" w:color="auto"/>
          </w:divBdr>
        </w:div>
        <w:div w:id="1647783209">
          <w:marLeft w:val="0"/>
          <w:marRight w:val="0"/>
          <w:marTop w:val="0"/>
          <w:marBottom w:val="0"/>
          <w:divBdr>
            <w:top w:val="none" w:sz="0" w:space="0" w:color="auto"/>
            <w:left w:val="none" w:sz="0" w:space="0" w:color="auto"/>
            <w:bottom w:val="none" w:sz="0" w:space="0" w:color="auto"/>
            <w:right w:val="none" w:sz="0" w:space="0" w:color="auto"/>
          </w:divBdr>
        </w:div>
        <w:div w:id="2710138">
          <w:marLeft w:val="0"/>
          <w:marRight w:val="0"/>
          <w:marTop w:val="0"/>
          <w:marBottom w:val="0"/>
          <w:divBdr>
            <w:top w:val="none" w:sz="0" w:space="0" w:color="auto"/>
            <w:left w:val="none" w:sz="0" w:space="0" w:color="auto"/>
            <w:bottom w:val="none" w:sz="0" w:space="0" w:color="auto"/>
            <w:right w:val="none" w:sz="0" w:space="0" w:color="auto"/>
          </w:divBdr>
        </w:div>
        <w:div w:id="348532387">
          <w:marLeft w:val="0"/>
          <w:marRight w:val="0"/>
          <w:marTop w:val="0"/>
          <w:marBottom w:val="0"/>
          <w:divBdr>
            <w:top w:val="none" w:sz="0" w:space="0" w:color="auto"/>
            <w:left w:val="none" w:sz="0" w:space="0" w:color="auto"/>
            <w:bottom w:val="none" w:sz="0" w:space="0" w:color="auto"/>
            <w:right w:val="none" w:sz="0" w:space="0" w:color="auto"/>
          </w:divBdr>
        </w:div>
        <w:div w:id="1055660432">
          <w:marLeft w:val="0"/>
          <w:marRight w:val="0"/>
          <w:marTop w:val="0"/>
          <w:marBottom w:val="0"/>
          <w:divBdr>
            <w:top w:val="none" w:sz="0" w:space="0" w:color="auto"/>
            <w:left w:val="none" w:sz="0" w:space="0" w:color="auto"/>
            <w:bottom w:val="none" w:sz="0" w:space="0" w:color="auto"/>
            <w:right w:val="none" w:sz="0" w:space="0" w:color="auto"/>
          </w:divBdr>
        </w:div>
        <w:div w:id="1189300486">
          <w:marLeft w:val="0"/>
          <w:marRight w:val="0"/>
          <w:marTop w:val="0"/>
          <w:marBottom w:val="0"/>
          <w:divBdr>
            <w:top w:val="none" w:sz="0" w:space="0" w:color="auto"/>
            <w:left w:val="none" w:sz="0" w:space="0" w:color="auto"/>
            <w:bottom w:val="none" w:sz="0" w:space="0" w:color="auto"/>
            <w:right w:val="none" w:sz="0" w:space="0" w:color="auto"/>
          </w:divBdr>
        </w:div>
        <w:div w:id="308903436">
          <w:marLeft w:val="0"/>
          <w:marRight w:val="0"/>
          <w:marTop w:val="0"/>
          <w:marBottom w:val="0"/>
          <w:divBdr>
            <w:top w:val="none" w:sz="0" w:space="0" w:color="auto"/>
            <w:left w:val="none" w:sz="0" w:space="0" w:color="auto"/>
            <w:bottom w:val="none" w:sz="0" w:space="0" w:color="auto"/>
            <w:right w:val="none" w:sz="0" w:space="0" w:color="auto"/>
          </w:divBdr>
        </w:div>
        <w:div w:id="1267887392">
          <w:marLeft w:val="0"/>
          <w:marRight w:val="0"/>
          <w:marTop w:val="0"/>
          <w:marBottom w:val="0"/>
          <w:divBdr>
            <w:top w:val="none" w:sz="0" w:space="0" w:color="auto"/>
            <w:left w:val="none" w:sz="0" w:space="0" w:color="auto"/>
            <w:bottom w:val="none" w:sz="0" w:space="0" w:color="auto"/>
            <w:right w:val="none" w:sz="0" w:space="0" w:color="auto"/>
          </w:divBdr>
        </w:div>
        <w:div w:id="526679388">
          <w:marLeft w:val="0"/>
          <w:marRight w:val="0"/>
          <w:marTop w:val="0"/>
          <w:marBottom w:val="0"/>
          <w:divBdr>
            <w:top w:val="none" w:sz="0" w:space="0" w:color="auto"/>
            <w:left w:val="none" w:sz="0" w:space="0" w:color="auto"/>
            <w:bottom w:val="none" w:sz="0" w:space="0" w:color="auto"/>
            <w:right w:val="none" w:sz="0" w:space="0" w:color="auto"/>
          </w:divBdr>
        </w:div>
        <w:div w:id="1498380369">
          <w:marLeft w:val="0"/>
          <w:marRight w:val="0"/>
          <w:marTop w:val="0"/>
          <w:marBottom w:val="0"/>
          <w:divBdr>
            <w:top w:val="none" w:sz="0" w:space="0" w:color="auto"/>
            <w:left w:val="none" w:sz="0" w:space="0" w:color="auto"/>
            <w:bottom w:val="none" w:sz="0" w:space="0" w:color="auto"/>
            <w:right w:val="none" w:sz="0" w:space="0" w:color="auto"/>
          </w:divBdr>
        </w:div>
        <w:div w:id="1928685875">
          <w:marLeft w:val="0"/>
          <w:marRight w:val="0"/>
          <w:marTop w:val="0"/>
          <w:marBottom w:val="0"/>
          <w:divBdr>
            <w:top w:val="none" w:sz="0" w:space="0" w:color="auto"/>
            <w:left w:val="none" w:sz="0" w:space="0" w:color="auto"/>
            <w:bottom w:val="none" w:sz="0" w:space="0" w:color="auto"/>
            <w:right w:val="none" w:sz="0" w:space="0" w:color="auto"/>
          </w:divBdr>
        </w:div>
        <w:div w:id="1671634691">
          <w:marLeft w:val="0"/>
          <w:marRight w:val="0"/>
          <w:marTop w:val="0"/>
          <w:marBottom w:val="0"/>
          <w:divBdr>
            <w:top w:val="none" w:sz="0" w:space="0" w:color="auto"/>
            <w:left w:val="none" w:sz="0" w:space="0" w:color="auto"/>
            <w:bottom w:val="none" w:sz="0" w:space="0" w:color="auto"/>
            <w:right w:val="none" w:sz="0" w:space="0" w:color="auto"/>
          </w:divBdr>
        </w:div>
        <w:div w:id="1457480542">
          <w:marLeft w:val="0"/>
          <w:marRight w:val="0"/>
          <w:marTop w:val="0"/>
          <w:marBottom w:val="0"/>
          <w:divBdr>
            <w:top w:val="none" w:sz="0" w:space="0" w:color="auto"/>
            <w:left w:val="none" w:sz="0" w:space="0" w:color="auto"/>
            <w:bottom w:val="none" w:sz="0" w:space="0" w:color="auto"/>
            <w:right w:val="none" w:sz="0" w:space="0" w:color="auto"/>
          </w:divBdr>
        </w:div>
      </w:divsChild>
    </w:div>
    <w:div w:id="906458396">
      <w:bodyDiv w:val="1"/>
      <w:marLeft w:val="0"/>
      <w:marRight w:val="0"/>
      <w:marTop w:val="0"/>
      <w:marBottom w:val="0"/>
      <w:divBdr>
        <w:top w:val="none" w:sz="0" w:space="0" w:color="auto"/>
        <w:left w:val="none" w:sz="0" w:space="0" w:color="auto"/>
        <w:bottom w:val="none" w:sz="0" w:space="0" w:color="auto"/>
        <w:right w:val="none" w:sz="0" w:space="0" w:color="auto"/>
      </w:divBdr>
    </w:div>
    <w:div w:id="998342643">
      <w:bodyDiv w:val="1"/>
      <w:marLeft w:val="0"/>
      <w:marRight w:val="0"/>
      <w:marTop w:val="0"/>
      <w:marBottom w:val="0"/>
      <w:divBdr>
        <w:top w:val="none" w:sz="0" w:space="0" w:color="auto"/>
        <w:left w:val="none" w:sz="0" w:space="0" w:color="auto"/>
        <w:bottom w:val="none" w:sz="0" w:space="0" w:color="auto"/>
        <w:right w:val="none" w:sz="0" w:space="0" w:color="auto"/>
      </w:divBdr>
    </w:div>
    <w:div w:id="1077090863">
      <w:bodyDiv w:val="1"/>
      <w:marLeft w:val="0"/>
      <w:marRight w:val="0"/>
      <w:marTop w:val="0"/>
      <w:marBottom w:val="0"/>
      <w:divBdr>
        <w:top w:val="none" w:sz="0" w:space="0" w:color="auto"/>
        <w:left w:val="none" w:sz="0" w:space="0" w:color="auto"/>
        <w:bottom w:val="none" w:sz="0" w:space="0" w:color="auto"/>
        <w:right w:val="none" w:sz="0" w:space="0" w:color="auto"/>
      </w:divBdr>
    </w:div>
    <w:div w:id="1108889406">
      <w:bodyDiv w:val="1"/>
      <w:marLeft w:val="0"/>
      <w:marRight w:val="0"/>
      <w:marTop w:val="0"/>
      <w:marBottom w:val="0"/>
      <w:divBdr>
        <w:top w:val="none" w:sz="0" w:space="0" w:color="auto"/>
        <w:left w:val="none" w:sz="0" w:space="0" w:color="auto"/>
        <w:bottom w:val="none" w:sz="0" w:space="0" w:color="auto"/>
        <w:right w:val="none" w:sz="0" w:space="0" w:color="auto"/>
      </w:divBdr>
    </w:div>
    <w:div w:id="1378823283">
      <w:bodyDiv w:val="1"/>
      <w:marLeft w:val="0"/>
      <w:marRight w:val="0"/>
      <w:marTop w:val="0"/>
      <w:marBottom w:val="0"/>
      <w:divBdr>
        <w:top w:val="none" w:sz="0" w:space="0" w:color="auto"/>
        <w:left w:val="none" w:sz="0" w:space="0" w:color="auto"/>
        <w:bottom w:val="none" w:sz="0" w:space="0" w:color="auto"/>
        <w:right w:val="none" w:sz="0" w:space="0" w:color="auto"/>
      </w:divBdr>
    </w:div>
    <w:div w:id="1533037978">
      <w:bodyDiv w:val="1"/>
      <w:marLeft w:val="0"/>
      <w:marRight w:val="0"/>
      <w:marTop w:val="0"/>
      <w:marBottom w:val="0"/>
      <w:divBdr>
        <w:top w:val="none" w:sz="0" w:space="0" w:color="auto"/>
        <w:left w:val="none" w:sz="0" w:space="0" w:color="auto"/>
        <w:bottom w:val="none" w:sz="0" w:space="0" w:color="auto"/>
        <w:right w:val="none" w:sz="0" w:space="0" w:color="auto"/>
      </w:divBdr>
      <w:divsChild>
        <w:div w:id="538473133">
          <w:marLeft w:val="0"/>
          <w:marRight w:val="0"/>
          <w:marTop w:val="0"/>
          <w:marBottom w:val="0"/>
          <w:divBdr>
            <w:top w:val="none" w:sz="0" w:space="0" w:color="auto"/>
            <w:left w:val="none" w:sz="0" w:space="0" w:color="auto"/>
            <w:bottom w:val="none" w:sz="0" w:space="0" w:color="auto"/>
            <w:right w:val="none" w:sz="0" w:space="0" w:color="auto"/>
          </w:divBdr>
        </w:div>
        <w:div w:id="2049987779">
          <w:marLeft w:val="0"/>
          <w:marRight w:val="0"/>
          <w:marTop w:val="0"/>
          <w:marBottom w:val="0"/>
          <w:divBdr>
            <w:top w:val="none" w:sz="0" w:space="0" w:color="auto"/>
            <w:left w:val="none" w:sz="0" w:space="0" w:color="auto"/>
            <w:bottom w:val="none" w:sz="0" w:space="0" w:color="auto"/>
            <w:right w:val="none" w:sz="0" w:space="0" w:color="auto"/>
          </w:divBdr>
        </w:div>
        <w:div w:id="1785929176">
          <w:marLeft w:val="0"/>
          <w:marRight w:val="0"/>
          <w:marTop w:val="0"/>
          <w:marBottom w:val="0"/>
          <w:divBdr>
            <w:top w:val="none" w:sz="0" w:space="0" w:color="auto"/>
            <w:left w:val="none" w:sz="0" w:space="0" w:color="auto"/>
            <w:bottom w:val="none" w:sz="0" w:space="0" w:color="auto"/>
            <w:right w:val="none" w:sz="0" w:space="0" w:color="auto"/>
          </w:divBdr>
        </w:div>
        <w:div w:id="2063628219">
          <w:marLeft w:val="0"/>
          <w:marRight w:val="0"/>
          <w:marTop w:val="0"/>
          <w:marBottom w:val="0"/>
          <w:divBdr>
            <w:top w:val="none" w:sz="0" w:space="0" w:color="auto"/>
            <w:left w:val="none" w:sz="0" w:space="0" w:color="auto"/>
            <w:bottom w:val="none" w:sz="0" w:space="0" w:color="auto"/>
            <w:right w:val="none" w:sz="0" w:space="0" w:color="auto"/>
          </w:divBdr>
        </w:div>
        <w:div w:id="1767574833">
          <w:marLeft w:val="0"/>
          <w:marRight w:val="0"/>
          <w:marTop w:val="0"/>
          <w:marBottom w:val="0"/>
          <w:divBdr>
            <w:top w:val="none" w:sz="0" w:space="0" w:color="auto"/>
            <w:left w:val="none" w:sz="0" w:space="0" w:color="auto"/>
            <w:bottom w:val="none" w:sz="0" w:space="0" w:color="auto"/>
            <w:right w:val="none" w:sz="0" w:space="0" w:color="auto"/>
          </w:divBdr>
        </w:div>
        <w:div w:id="502667280">
          <w:marLeft w:val="0"/>
          <w:marRight w:val="0"/>
          <w:marTop w:val="0"/>
          <w:marBottom w:val="0"/>
          <w:divBdr>
            <w:top w:val="none" w:sz="0" w:space="0" w:color="auto"/>
            <w:left w:val="none" w:sz="0" w:space="0" w:color="auto"/>
            <w:bottom w:val="none" w:sz="0" w:space="0" w:color="auto"/>
            <w:right w:val="none" w:sz="0" w:space="0" w:color="auto"/>
          </w:divBdr>
        </w:div>
        <w:div w:id="541132559">
          <w:marLeft w:val="0"/>
          <w:marRight w:val="0"/>
          <w:marTop w:val="0"/>
          <w:marBottom w:val="0"/>
          <w:divBdr>
            <w:top w:val="none" w:sz="0" w:space="0" w:color="auto"/>
            <w:left w:val="none" w:sz="0" w:space="0" w:color="auto"/>
            <w:bottom w:val="none" w:sz="0" w:space="0" w:color="auto"/>
            <w:right w:val="none" w:sz="0" w:space="0" w:color="auto"/>
          </w:divBdr>
        </w:div>
        <w:div w:id="1452358087">
          <w:marLeft w:val="0"/>
          <w:marRight w:val="0"/>
          <w:marTop w:val="0"/>
          <w:marBottom w:val="0"/>
          <w:divBdr>
            <w:top w:val="none" w:sz="0" w:space="0" w:color="auto"/>
            <w:left w:val="none" w:sz="0" w:space="0" w:color="auto"/>
            <w:bottom w:val="none" w:sz="0" w:space="0" w:color="auto"/>
            <w:right w:val="none" w:sz="0" w:space="0" w:color="auto"/>
          </w:divBdr>
        </w:div>
        <w:div w:id="580062472">
          <w:marLeft w:val="0"/>
          <w:marRight w:val="0"/>
          <w:marTop w:val="0"/>
          <w:marBottom w:val="0"/>
          <w:divBdr>
            <w:top w:val="none" w:sz="0" w:space="0" w:color="auto"/>
            <w:left w:val="none" w:sz="0" w:space="0" w:color="auto"/>
            <w:bottom w:val="none" w:sz="0" w:space="0" w:color="auto"/>
            <w:right w:val="none" w:sz="0" w:space="0" w:color="auto"/>
          </w:divBdr>
        </w:div>
        <w:div w:id="1883395525">
          <w:marLeft w:val="0"/>
          <w:marRight w:val="0"/>
          <w:marTop w:val="0"/>
          <w:marBottom w:val="0"/>
          <w:divBdr>
            <w:top w:val="none" w:sz="0" w:space="0" w:color="auto"/>
            <w:left w:val="none" w:sz="0" w:space="0" w:color="auto"/>
            <w:bottom w:val="none" w:sz="0" w:space="0" w:color="auto"/>
            <w:right w:val="none" w:sz="0" w:space="0" w:color="auto"/>
          </w:divBdr>
        </w:div>
        <w:div w:id="2015960976">
          <w:marLeft w:val="0"/>
          <w:marRight w:val="0"/>
          <w:marTop w:val="0"/>
          <w:marBottom w:val="0"/>
          <w:divBdr>
            <w:top w:val="none" w:sz="0" w:space="0" w:color="auto"/>
            <w:left w:val="none" w:sz="0" w:space="0" w:color="auto"/>
            <w:bottom w:val="none" w:sz="0" w:space="0" w:color="auto"/>
            <w:right w:val="none" w:sz="0" w:space="0" w:color="auto"/>
          </w:divBdr>
        </w:div>
        <w:div w:id="1774126318">
          <w:marLeft w:val="0"/>
          <w:marRight w:val="0"/>
          <w:marTop w:val="0"/>
          <w:marBottom w:val="0"/>
          <w:divBdr>
            <w:top w:val="none" w:sz="0" w:space="0" w:color="auto"/>
            <w:left w:val="none" w:sz="0" w:space="0" w:color="auto"/>
            <w:bottom w:val="none" w:sz="0" w:space="0" w:color="auto"/>
            <w:right w:val="none" w:sz="0" w:space="0" w:color="auto"/>
          </w:divBdr>
        </w:div>
        <w:div w:id="946692831">
          <w:marLeft w:val="0"/>
          <w:marRight w:val="0"/>
          <w:marTop w:val="0"/>
          <w:marBottom w:val="0"/>
          <w:divBdr>
            <w:top w:val="none" w:sz="0" w:space="0" w:color="auto"/>
            <w:left w:val="none" w:sz="0" w:space="0" w:color="auto"/>
            <w:bottom w:val="none" w:sz="0" w:space="0" w:color="auto"/>
            <w:right w:val="none" w:sz="0" w:space="0" w:color="auto"/>
          </w:divBdr>
        </w:div>
        <w:div w:id="865947522">
          <w:marLeft w:val="0"/>
          <w:marRight w:val="0"/>
          <w:marTop w:val="0"/>
          <w:marBottom w:val="0"/>
          <w:divBdr>
            <w:top w:val="none" w:sz="0" w:space="0" w:color="auto"/>
            <w:left w:val="none" w:sz="0" w:space="0" w:color="auto"/>
            <w:bottom w:val="none" w:sz="0" w:space="0" w:color="auto"/>
            <w:right w:val="none" w:sz="0" w:space="0" w:color="auto"/>
          </w:divBdr>
        </w:div>
        <w:div w:id="1408067449">
          <w:marLeft w:val="0"/>
          <w:marRight w:val="0"/>
          <w:marTop w:val="0"/>
          <w:marBottom w:val="0"/>
          <w:divBdr>
            <w:top w:val="none" w:sz="0" w:space="0" w:color="auto"/>
            <w:left w:val="none" w:sz="0" w:space="0" w:color="auto"/>
            <w:bottom w:val="none" w:sz="0" w:space="0" w:color="auto"/>
            <w:right w:val="none" w:sz="0" w:space="0" w:color="auto"/>
          </w:divBdr>
        </w:div>
        <w:div w:id="1186213427">
          <w:marLeft w:val="0"/>
          <w:marRight w:val="0"/>
          <w:marTop w:val="0"/>
          <w:marBottom w:val="0"/>
          <w:divBdr>
            <w:top w:val="none" w:sz="0" w:space="0" w:color="auto"/>
            <w:left w:val="none" w:sz="0" w:space="0" w:color="auto"/>
            <w:bottom w:val="none" w:sz="0" w:space="0" w:color="auto"/>
            <w:right w:val="none" w:sz="0" w:space="0" w:color="auto"/>
          </w:divBdr>
        </w:div>
        <w:div w:id="786691">
          <w:marLeft w:val="0"/>
          <w:marRight w:val="0"/>
          <w:marTop w:val="0"/>
          <w:marBottom w:val="0"/>
          <w:divBdr>
            <w:top w:val="none" w:sz="0" w:space="0" w:color="auto"/>
            <w:left w:val="none" w:sz="0" w:space="0" w:color="auto"/>
            <w:bottom w:val="none" w:sz="0" w:space="0" w:color="auto"/>
            <w:right w:val="none" w:sz="0" w:space="0" w:color="auto"/>
          </w:divBdr>
        </w:div>
        <w:div w:id="1182011447">
          <w:marLeft w:val="0"/>
          <w:marRight w:val="0"/>
          <w:marTop w:val="0"/>
          <w:marBottom w:val="0"/>
          <w:divBdr>
            <w:top w:val="none" w:sz="0" w:space="0" w:color="auto"/>
            <w:left w:val="none" w:sz="0" w:space="0" w:color="auto"/>
            <w:bottom w:val="none" w:sz="0" w:space="0" w:color="auto"/>
            <w:right w:val="none" w:sz="0" w:space="0" w:color="auto"/>
          </w:divBdr>
        </w:div>
        <w:div w:id="397828324">
          <w:marLeft w:val="0"/>
          <w:marRight w:val="0"/>
          <w:marTop w:val="0"/>
          <w:marBottom w:val="0"/>
          <w:divBdr>
            <w:top w:val="none" w:sz="0" w:space="0" w:color="auto"/>
            <w:left w:val="none" w:sz="0" w:space="0" w:color="auto"/>
            <w:bottom w:val="none" w:sz="0" w:space="0" w:color="auto"/>
            <w:right w:val="none" w:sz="0" w:space="0" w:color="auto"/>
          </w:divBdr>
        </w:div>
        <w:div w:id="811753076">
          <w:marLeft w:val="0"/>
          <w:marRight w:val="0"/>
          <w:marTop w:val="0"/>
          <w:marBottom w:val="0"/>
          <w:divBdr>
            <w:top w:val="none" w:sz="0" w:space="0" w:color="auto"/>
            <w:left w:val="none" w:sz="0" w:space="0" w:color="auto"/>
            <w:bottom w:val="none" w:sz="0" w:space="0" w:color="auto"/>
            <w:right w:val="none" w:sz="0" w:space="0" w:color="auto"/>
          </w:divBdr>
        </w:div>
        <w:div w:id="462161134">
          <w:marLeft w:val="0"/>
          <w:marRight w:val="0"/>
          <w:marTop w:val="0"/>
          <w:marBottom w:val="0"/>
          <w:divBdr>
            <w:top w:val="none" w:sz="0" w:space="0" w:color="auto"/>
            <w:left w:val="none" w:sz="0" w:space="0" w:color="auto"/>
            <w:bottom w:val="none" w:sz="0" w:space="0" w:color="auto"/>
            <w:right w:val="none" w:sz="0" w:space="0" w:color="auto"/>
          </w:divBdr>
        </w:div>
        <w:div w:id="768694867">
          <w:marLeft w:val="0"/>
          <w:marRight w:val="0"/>
          <w:marTop w:val="0"/>
          <w:marBottom w:val="0"/>
          <w:divBdr>
            <w:top w:val="none" w:sz="0" w:space="0" w:color="auto"/>
            <w:left w:val="none" w:sz="0" w:space="0" w:color="auto"/>
            <w:bottom w:val="none" w:sz="0" w:space="0" w:color="auto"/>
            <w:right w:val="none" w:sz="0" w:space="0" w:color="auto"/>
          </w:divBdr>
        </w:div>
        <w:div w:id="915675569">
          <w:marLeft w:val="0"/>
          <w:marRight w:val="0"/>
          <w:marTop w:val="0"/>
          <w:marBottom w:val="0"/>
          <w:divBdr>
            <w:top w:val="none" w:sz="0" w:space="0" w:color="auto"/>
            <w:left w:val="none" w:sz="0" w:space="0" w:color="auto"/>
            <w:bottom w:val="none" w:sz="0" w:space="0" w:color="auto"/>
            <w:right w:val="none" w:sz="0" w:space="0" w:color="auto"/>
          </w:divBdr>
        </w:div>
        <w:div w:id="823014765">
          <w:marLeft w:val="0"/>
          <w:marRight w:val="0"/>
          <w:marTop w:val="0"/>
          <w:marBottom w:val="0"/>
          <w:divBdr>
            <w:top w:val="none" w:sz="0" w:space="0" w:color="auto"/>
            <w:left w:val="none" w:sz="0" w:space="0" w:color="auto"/>
            <w:bottom w:val="none" w:sz="0" w:space="0" w:color="auto"/>
            <w:right w:val="none" w:sz="0" w:space="0" w:color="auto"/>
          </w:divBdr>
        </w:div>
        <w:div w:id="646321000">
          <w:marLeft w:val="0"/>
          <w:marRight w:val="0"/>
          <w:marTop w:val="0"/>
          <w:marBottom w:val="0"/>
          <w:divBdr>
            <w:top w:val="none" w:sz="0" w:space="0" w:color="auto"/>
            <w:left w:val="none" w:sz="0" w:space="0" w:color="auto"/>
            <w:bottom w:val="none" w:sz="0" w:space="0" w:color="auto"/>
            <w:right w:val="none" w:sz="0" w:space="0" w:color="auto"/>
          </w:divBdr>
        </w:div>
        <w:div w:id="414204514">
          <w:marLeft w:val="0"/>
          <w:marRight w:val="0"/>
          <w:marTop w:val="0"/>
          <w:marBottom w:val="0"/>
          <w:divBdr>
            <w:top w:val="none" w:sz="0" w:space="0" w:color="auto"/>
            <w:left w:val="none" w:sz="0" w:space="0" w:color="auto"/>
            <w:bottom w:val="none" w:sz="0" w:space="0" w:color="auto"/>
            <w:right w:val="none" w:sz="0" w:space="0" w:color="auto"/>
          </w:divBdr>
        </w:div>
        <w:div w:id="1426725992">
          <w:marLeft w:val="0"/>
          <w:marRight w:val="0"/>
          <w:marTop w:val="0"/>
          <w:marBottom w:val="0"/>
          <w:divBdr>
            <w:top w:val="none" w:sz="0" w:space="0" w:color="auto"/>
            <w:left w:val="none" w:sz="0" w:space="0" w:color="auto"/>
            <w:bottom w:val="none" w:sz="0" w:space="0" w:color="auto"/>
            <w:right w:val="none" w:sz="0" w:space="0" w:color="auto"/>
          </w:divBdr>
        </w:div>
        <w:div w:id="1454668970">
          <w:marLeft w:val="0"/>
          <w:marRight w:val="0"/>
          <w:marTop w:val="0"/>
          <w:marBottom w:val="0"/>
          <w:divBdr>
            <w:top w:val="none" w:sz="0" w:space="0" w:color="auto"/>
            <w:left w:val="none" w:sz="0" w:space="0" w:color="auto"/>
            <w:bottom w:val="none" w:sz="0" w:space="0" w:color="auto"/>
            <w:right w:val="none" w:sz="0" w:space="0" w:color="auto"/>
          </w:divBdr>
        </w:div>
        <w:div w:id="1065176956">
          <w:marLeft w:val="0"/>
          <w:marRight w:val="0"/>
          <w:marTop w:val="0"/>
          <w:marBottom w:val="0"/>
          <w:divBdr>
            <w:top w:val="none" w:sz="0" w:space="0" w:color="auto"/>
            <w:left w:val="none" w:sz="0" w:space="0" w:color="auto"/>
            <w:bottom w:val="none" w:sz="0" w:space="0" w:color="auto"/>
            <w:right w:val="none" w:sz="0" w:space="0" w:color="auto"/>
          </w:divBdr>
        </w:div>
        <w:div w:id="1923248729">
          <w:marLeft w:val="0"/>
          <w:marRight w:val="0"/>
          <w:marTop w:val="0"/>
          <w:marBottom w:val="0"/>
          <w:divBdr>
            <w:top w:val="none" w:sz="0" w:space="0" w:color="auto"/>
            <w:left w:val="none" w:sz="0" w:space="0" w:color="auto"/>
            <w:bottom w:val="none" w:sz="0" w:space="0" w:color="auto"/>
            <w:right w:val="none" w:sz="0" w:space="0" w:color="auto"/>
          </w:divBdr>
        </w:div>
        <w:div w:id="1838616650">
          <w:marLeft w:val="0"/>
          <w:marRight w:val="0"/>
          <w:marTop w:val="0"/>
          <w:marBottom w:val="0"/>
          <w:divBdr>
            <w:top w:val="none" w:sz="0" w:space="0" w:color="auto"/>
            <w:left w:val="none" w:sz="0" w:space="0" w:color="auto"/>
            <w:bottom w:val="none" w:sz="0" w:space="0" w:color="auto"/>
            <w:right w:val="none" w:sz="0" w:space="0" w:color="auto"/>
          </w:divBdr>
        </w:div>
        <w:div w:id="1907841054">
          <w:marLeft w:val="0"/>
          <w:marRight w:val="0"/>
          <w:marTop w:val="0"/>
          <w:marBottom w:val="0"/>
          <w:divBdr>
            <w:top w:val="none" w:sz="0" w:space="0" w:color="auto"/>
            <w:left w:val="none" w:sz="0" w:space="0" w:color="auto"/>
            <w:bottom w:val="none" w:sz="0" w:space="0" w:color="auto"/>
            <w:right w:val="none" w:sz="0" w:space="0" w:color="auto"/>
          </w:divBdr>
        </w:div>
        <w:div w:id="561526013">
          <w:marLeft w:val="0"/>
          <w:marRight w:val="0"/>
          <w:marTop w:val="0"/>
          <w:marBottom w:val="0"/>
          <w:divBdr>
            <w:top w:val="none" w:sz="0" w:space="0" w:color="auto"/>
            <w:left w:val="none" w:sz="0" w:space="0" w:color="auto"/>
            <w:bottom w:val="none" w:sz="0" w:space="0" w:color="auto"/>
            <w:right w:val="none" w:sz="0" w:space="0" w:color="auto"/>
          </w:divBdr>
        </w:div>
        <w:div w:id="1589272084">
          <w:marLeft w:val="0"/>
          <w:marRight w:val="0"/>
          <w:marTop w:val="0"/>
          <w:marBottom w:val="0"/>
          <w:divBdr>
            <w:top w:val="none" w:sz="0" w:space="0" w:color="auto"/>
            <w:left w:val="none" w:sz="0" w:space="0" w:color="auto"/>
            <w:bottom w:val="none" w:sz="0" w:space="0" w:color="auto"/>
            <w:right w:val="none" w:sz="0" w:space="0" w:color="auto"/>
          </w:divBdr>
        </w:div>
      </w:divsChild>
    </w:div>
    <w:div w:id="1702433628">
      <w:bodyDiv w:val="1"/>
      <w:marLeft w:val="0"/>
      <w:marRight w:val="0"/>
      <w:marTop w:val="0"/>
      <w:marBottom w:val="0"/>
      <w:divBdr>
        <w:top w:val="none" w:sz="0" w:space="0" w:color="auto"/>
        <w:left w:val="none" w:sz="0" w:space="0" w:color="auto"/>
        <w:bottom w:val="none" w:sz="0" w:space="0" w:color="auto"/>
        <w:right w:val="none" w:sz="0" w:space="0" w:color="auto"/>
      </w:divBdr>
      <w:divsChild>
        <w:div w:id="292953205">
          <w:marLeft w:val="0"/>
          <w:marRight w:val="0"/>
          <w:marTop w:val="0"/>
          <w:marBottom w:val="0"/>
          <w:divBdr>
            <w:top w:val="none" w:sz="0" w:space="0" w:color="auto"/>
            <w:left w:val="none" w:sz="0" w:space="0" w:color="auto"/>
            <w:bottom w:val="none" w:sz="0" w:space="0" w:color="auto"/>
            <w:right w:val="none" w:sz="0" w:space="0" w:color="auto"/>
          </w:divBdr>
        </w:div>
        <w:div w:id="840394572">
          <w:marLeft w:val="0"/>
          <w:marRight w:val="0"/>
          <w:marTop w:val="0"/>
          <w:marBottom w:val="0"/>
          <w:divBdr>
            <w:top w:val="none" w:sz="0" w:space="0" w:color="auto"/>
            <w:left w:val="none" w:sz="0" w:space="0" w:color="auto"/>
            <w:bottom w:val="none" w:sz="0" w:space="0" w:color="auto"/>
            <w:right w:val="none" w:sz="0" w:space="0" w:color="auto"/>
          </w:divBdr>
        </w:div>
      </w:divsChild>
    </w:div>
    <w:div w:id="1881699317">
      <w:bodyDiv w:val="1"/>
      <w:marLeft w:val="0"/>
      <w:marRight w:val="0"/>
      <w:marTop w:val="0"/>
      <w:marBottom w:val="0"/>
      <w:divBdr>
        <w:top w:val="none" w:sz="0" w:space="0" w:color="auto"/>
        <w:left w:val="none" w:sz="0" w:space="0" w:color="auto"/>
        <w:bottom w:val="none" w:sz="0" w:space="0" w:color="auto"/>
        <w:right w:val="none" w:sz="0" w:space="0" w:color="auto"/>
      </w:divBdr>
    </w:div>
    <w:div w:id="203164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lima/policies/adaptation/what_cs" TargetMode="External"/><Relationship Id="rId3" Type="http://schemas.openxmlformats.org/officeDocument/2006/relationships/hyperlink" Target="https://ec.europa.eu/info/publications/non-financial-reporting-guidelines_en" TargetMode="External"/><Relationship Id="rId7" Type="http://schemas.openxmlformats.org/officeDocument/2006/relationships/hyperlink" Target="http://www.lifeagroclimawater.eu/" TargetMode="External"/><Relationship Id="rId2" Type="http://schemas.openxmlformats.org/officeDocument/2006/relationships/hyperlink" Target="https://ec.europa.eu/info/publications/180524-proposal-sustainable-finance_en" TargetMode="External"/><Relationship Id="rId1" Type="http://schemas.openxmlformats.org/officeDocument/2006/relationships/hyperlink" Target="https://ec.europa.eu/energy/en/topics/energy-strategy-and-energy-union/governance-energy-union/national-energy-climate-plans" TargetMode="External"/><Relationship Id="rId6" Type="http://schemas.openxmlformats.org/officeDocument/2006/relationships/hyperlink" Target="https://ec.europa.eu/jrc/en/peseta-iii" TargetMode="External"/><Relationship Id="rId5" Type="http://schemas.openxmlformats.org/officeDocument/2006/relationships/hyperlink" Target="https://eur-lex.europa.eu/legal-content/CS/TXT/?uri=CELEX:32019R0856" TargetMode="External"/><Relationship Id="rId4" Type="http://schemas.openxmlformats.org/officeDocument/2006/relationships/hyperlink" Target="https://ec.europa.eu/commission/publications/factsheets-long-term-budget-proposals_en" TargetMode="External"/><Relationship Id="rId9" Type="http://schemas.openxmlformats.org/officeDocument/2006/relationships/hyperlink" Target="https://eur-lex.europa.eu/legal-content/EN/TXT/?uri=CELEX:32018D2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F0297F2-BC15-4C23-B37D-EF35C16A2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26</Pages>
  <Words>6362</Words>
  <Characters>34870</Characters>
  <Application>Microsoft Office Word</Application>
  <DocSecurity>0</DocSecurity>
  <Lines>611</Lines>
  <Paragraphs>193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19</cp:revision>
  <cp:lastPrinted>2019-10-17T07:04:00Z</cp:lastPrinted>
  <dcterms:created xsi:type="dcterms:W3CDTF">2019-10-17T07:37:00Z</dcterms:created>
  <dcterms:modified xsi:type="dcterms:W3CDTF">2019-11-11T10:59:00Z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CP-006</vt:lpwstr>
  </property>
  <property fmtid="{D5CDD505-2E9C-101B-9397-08002B2CF9AE}" pid="7" name="Last edited using">
    <vt:lpwstr>LW 7.0, Build 20190717</vt:lpwstr>
  </property>
  <property fmtid="{D5CDD505-2E9C-101B-9397-08002B2CF9AE}" pid="8" name="Created using">
    <vt:lpwstr>LW 7.0, Build 20190717</vt:lpwstr>
  </property>
</Properties>
</file>