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B30558EA-EB8E-4DAA-BE63-ECAC2EF9386F" style="width:450.75pt;height:351.75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rFonts w:eastAsia="Arial Unicode MS"/>
          <w:noProof/>
        </w:rPr>
      </w:pPr>
      <w:r>
        <w:rPr>
          <w:noProof/>
        </w:rPr>
        <w:t>Podle článku 395 směrnice 2006/112/ES ze dne 28. listopadu 2006 o společném systému daně z přidané hodnoty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(dále jen „směrnice o DPH“) může Rada jednomyslně na návrh Komise povolit kterémukoli členskému státu, aby uplatnil zvláštní opatření odchylující se od uvedené směrnice s cílem zjednodušit postup výběru daně nebo zabránit některým druhům daňových úniků či vyhýbání se daňovým povinnostem.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before="230" w:after="0" w:line="269" w:lineRule="exact"/>
        <w:ind w:right="86"/>
        <w:rPr>
          <w:rFonts w:eastAsia="Arial Unicode MS"/>
          <w:noProof/>
        </w:rPr>
      </w:pPr>
      <w:r>
        <w:rPr>
          <w:noProof/>
        </w:rPr>
        <w:t>Francie a Španělsko požádaly dopisy, které Komise zaevidovala dne 23. května 2019 a dne 17. června 2019, o povolení odchýlit se od článku 5 směrnice o DPH. V souladu s čl. 395 odst. 2 směrnice o DPH uvědomila Komise dopisy ze dne 10. září 2019 o žádosti Španělska a Francie ostatní členské státy. Dopisy ze dne 11. září 2019 oznámila Komise Španělsku a Francii, že má k dispozici veškeré informace, které jsou podle jejího názoru nezbytné k posouzení žádosti.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SOUVISLOSTI NÁVRHU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</w:r>
      <w:r>
        <w:rPr>
          <w:noProof/>
        </w:rPr>
        <w:t>Odůvodnění a cíle návrhu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Evropská unie vytvořila silnou energetickou politiku založenou na potřebě bezpečné, konkurenceschopné a udržitelné energie. Stanovila proto ambiciózní cíle, kterých má být dosaženo na úrovni Unie, pokud jde o energetickou účinnost, rozvoj obnovitelných zdrojů energie a snižování emisí CO2. Pro dosažení těchto cílů je nezbytný integrovanější trh s energií.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 tomto ohledu je prioritou rozvoj kapacity propojení elektroenergetických soustav mezi Španělskem, Portugalskem a zbytkem Evropy. Význam dalšího zvýšení kapacity propojení mezi Španělskem a Francií byl zdůrazněn v Madridské deklaraci, kterou dne 4. března 2015 podepsali prezident Francie, předsedové vlády Španělska a Portugalska a předseda Evropské komise. V tomto dokumentu bylo zdůrazněno, že je zásadní dosáhnout plně fungujícího a propojeného vnitřního trhu s energií. Dále zde bylo zdůrazněno, že členské státy, které dosud nedosáhly minimální úrovně integrace na vnitřním trhu s energií, jako je Portugalsko a Španělsko, musí vybudovat nezbytnou energetickou infrastrukturu. V návaznosti na tuto deklaraci byla zřízena skupina na vysoké úrovni pro jihozápadní Evropu s cílem sledovat rozvoj propojení v regionu.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Důležitým krokem v tomto směru byla výstavba propojení mezi obcemi Baixas a Santa Llogaia. Dalším krokem má být výstavba druhého propojení přes Biskajský záliv.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 této souvislosti podepsaly španělský orgán pro regulaci trhu s elektřinou „Comisión Nacional de los Mercados y la Competencia“ a francouzský orgán pro regulaci trhu s elektřinou „Commission de Régulation de l’Énergie“ dne 22. září 2017 dohodu o financování propojení elektroenergetických soustav mezi oběma členskými státy přes Biskajský záliv. Výstavba tohoto propojení byla svěřena provozovatelům elektroenergetických přenosových soustav ve Španělsku a Francii, jmenovitě společnosti „Red Eléctrica de España“ a společnosti „Réseau de transport d’Electricité“. Dohoda stanoví rovnoměrné rozdělení nákladů, tedy 50 % nákladů ponese Španělsko a druhých 50 % Francie.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Projekt zahrnuje výstavbu dvou samostatných vysokonapěťových stejnosměrných (HVDC) propojovacích vedení, každého o výkonu 1 000 megawattů, mezi obcemi Cubnezais (Francie) a Gatica (Španělsko). Projekt budou tvořit tyto prvky: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lastRenderedPageBreak/>
        <w:t>– technická úprava stávajících rozvoden obcí Gatica a Cubnezais,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 propojení stávajících rozvoden obcí Gatica a Cubnezais s novými měnírnami vysokonapěťové stejnosměrné soustavy v obcích Gatica a Cubnezais,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 čtyři nové měnírny vysokonapěťové stejnosměrné soustavy o výkonu 1 000 MW (dva bipóly v Gatice a dva v Cubnezais),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 dvě propojovací vedení o výkonu 1 000 MW (4 kabely), z čehož 90 km bude pozemní vedení a 280 km podmořské skrze Biskajský záliv,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– napětí HVDC propojovacího vedení bude určeno po dokončení nabídkového řízení.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 souladu se zásadou územního uplatnění stanovenou ve směrnici o DPH je ve vztahu k dodání zboží a poskytnutí služby nutné určit, kde jsou uskutečněny. Z tohoto důvodu by pro každé dodání zboží nebo poskytnutí služby, pořízení zboží uvnitř Společenství a dovoz zboží v souvislosti s realizací projektu bylo zpravidla nutné určit, zda jsou uskutečněny ve Španělsku nebo ve Francii. Španělsko a Francie jsou toho názoru, že uplatňování tohoto pravidla by vedlo ke vzniku daňových komplikací pro osoby povinné k dani odpovědné za výstavbu propojení elektroenergetických soustav a pro španělské a francouzské daňové orgány, neboť projekt je ve skutečnosti řízen jako celek bez ohledu na jeho přeshraniční povahu.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Za účelem zjednodušení výběru DPH žádají Španělsko a Francie o povolení na základě článku 395 směrnice o DPH odchýlit se od článku 5 směrnice o DPH a stanovit, že pro účely DPH jsou veškeré dodání zboží, poskytnutí služeb, pořízení zboží uvnitř Společenství a dovoz zboží, které jsou určeny k realizaci plánované investice (tj. výstavbě propojení elektroenergetických soustav), fakturovány dodavateli, jako by byly uskutečněny z 50 % na území Španělska a z 50 % na území Francie.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Po výstavbě propojení elektroenergetických soustav se použijí běžná pravidla pro DPH.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Rada povolila Španělsku a Francii podobné zvláštní opatření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pro výstavbu podzemního propojení elektroenergetických soustav mezi obcemi Santa Llogaia ve Španělsku a Baixas ve Francii. Rada již několikrát povolila i další odchylky od zásady teritoriality mimo jiné mezi Německem a Polskem</w:t>
      </w:r>
      <w:r>
        <w:rPr>
          <w:rStyle w:val="FootnoteReference"/>
          <w:noProof/>
        </w:rPr>
        <w:footnoteReference w:id="3"/>
      </w:r>
      <w:r>
        <w:rPr>
          <w:noProof/>
        </w:rPr>
        <w:t>, Německem a Českem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a Polskem a Ukrajinou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Rozdělení DPH vyměřené za stavební práce mezi Francii a Španělsko bude představovat zjednodušení, které usnadní dotčeným podnikům a daňovým orgánům uplatňovat daňová pravidla, oproti situaci, kdy by se použila běžná daňová pravidla.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lastRenderedPageBreak/>
        <w:t>Vzhledem k úzké oblasti působnosti odchylujícího se opatření by případný negativní dopad opatření na DPH vybranou na stupni konečné spotřeby, a tedy na vlastní zdroje Unie pocházející z DPH byl zanedbatelný.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S ohledem na výše uvedené se navrhuje požadované odchylující se opatření udělit.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PRÁVNÍ ZÁKLAD, SUBSIDIARITA A PROPORCIONALITA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Právní základ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Článek 395 směrnice o DPH.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 xml:space="preserve">Subsidiarita (v případě nevýlučné pravomoci)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Vzhledem k ustanovení směrnice o DPH, z něhož návrh vychází, se zásada subsidiarity nepoužije.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Proporcionalita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Toto rozhodnutí se týká povolení udělovaného členským státům na základě jejich vlastní žádosti a nezakládá žádnou povinnost.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Vzhledem k velmi omezené oblasti působnosti odchylky je zvláštní opatření úměrné sledovanému cíli.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Volba nástroje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Navrhovaný nástroj: prováděcí rozhodnutí Rady.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Podle článku 395 směrnice o DPH je odchylka od společných pravidel pro DPH možná pouze v případě, že ji jednomyslně schválí Rada na návrh Komise. Prováděcí rozhodnutí Rady je nejvhodnějším nástrojem, neboť může být určeno jednotlivým členským státům.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VÝSLEDKY HODNOCENÍ </w:t>
      </w:r>
      <w:r>
        <w:rPr>
          <w:i/>
          <w:iCs/>
          <w:noProof/>
        </w:rPr>
        <w:t>EX POST</w:t>
      </w:r>
      <w:r>
        <w:rPr>
          <w:noProof/>
        </w:rPr>
        <w:t>, KONZULTACÍ SE ZÚČASTNĚNÝMI STRANAMI A POSOUZENÍ DOPADŮ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Konzultace se zúčastněnými stranami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Tento návrh vychází z žádostí podaných Španělskem a Francií a týká se pouze těchto členských států.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Sběr a využití výsledků odborných konzultací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Nebylo třeba využít externích odborných konzultací.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  <w:u w:color="000000"/>
          <w:bdr w:val="nil"/>
        </w:rPr>
        <w:tab/>
        <w:t>Posouzení dopadů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Návrh prováděcího rozhodnutí Rady umožňuje Španělsku a Francii považovat pro účely DPH veškeré dodání zboží, poskytnutí služeb, pořízení zboží uvnitř Společenství a dovoz zboží, které jsou určeny pro výstavbu propojení elektroenergetických soustav mezi obcemi Gatica a Cubnezais, jako by se uskutečnily z 50 % na území Španělska a z 50 % na území Francie. Očekává se, že opatření zjednoduší daňové povinnosti dodavatelů zapojených do projektu a výběr daní daňovými orgány. Vzhledem k omezené oblasti působnosti této odchylky bude dopad v každém případě omezený.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4.</w:t>
      </w:r>
      <w:r>
        <w:rPr>
          <w:noProof/>
        </w:rPr>
        <w:tab/>
        <w:t>ROZPOČTOVÉ DŮSLEDKY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Návrh nemá dopad na vlastní zdroje Unie pocházející z DPH.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OSTATNÍ PRVKY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Platnost návrhu skončí po dokončení výstavby propojení elektroenergetických soustav mezi obcemi Gatica ve Španělsku a Cubnezais ve Francii.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2019/0256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PROVÁDĚCÍ ROZHODNUTÍ RADY,</w:t>
      </w:r>
    </w:p>
    <w:p>
      <w:pPr>
        <w:pStyle w:val="Titreobjet"/>
        <w:rPr>
          <w:noProof/>
        </w:rPr>
      </w:pPr>
      <w:r>
        <w:rPr>
          <w:noProof/>
        </w:rPr>
        <w:t>kterým se Španělsku a Francii povoluje uplatňovat zvláštní opatření odchylující se od článku 5 směrnice 2006/112/ES o společném systému daně z přidané hodnoty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 xml:space="preserve">s ohledem na Smlouvu o fungování Evropské unie, </w:t>
      </w:r>
    </w:p>
    <w:p>
      <w:pPr>
        <w:rPr>
          <w:noProof/>
        </w:rPr>
      </w:pPr>
      <w:r>
        <w:rPr>
          <w:noProof/>
        </w:rPr>
        <w:t>s ohledem na směrnici Rady 2006/112/ES ze dne 28. listopadu 2006 o společném systému daně z přidané hodnoty</w:t>
      </w:r>
      <w:r>
        <w:rPr>
          <w:rStyle w:val="FootnoteReference"/>
          <w:noProof/>
        </w:rPr>
        <w:footnoteReference w:id="6"/>
      </w:r>
      <w:r>
        <w:rPr>
          <w:noProof/>
        </w:rPr>
        <w:t>, a zejména na čl. 395 odst. 1 první pododstavec uvedené směrnice,</w:t>
      </w:r>
    </w:p>
    <w:p>
      <w:pPr>
        <w:rPr>
          <w:noProof/>
        </w:rPr>
      </w:pPr>
      <w:r>
        <w:rPr>
          <w:noProof/>
        </w:rPr>
        <w:t>s ohledem na návrh Evropské komise,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Francie a Španělsko požádaly dopisy, které Komise zaevidovala dne 23. května 2019 a 17. června 2019, o povolení zavést zvláštní opatření odchylující se od článku 5 směrnice 2006/112/ES v souvislosti s výstavbou propojení elektroenergetických soustav mezi obcemi Gatica ve Španělsku a Cubnezais ve Francii (dále jen „zvláštní opatření“).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Dopisy ze dne 10. září 2019 předala Komise žádost Španělska a Francie ostatním členským státům v souladu s čl. 395 odst. 2 směrnice 2006/112/ES. Komise oznámila Španělsku a Francii dopisy ze dne 11. září 2019, že již má k dispozici veškeré informace nezbytné k posouzení žádosti.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Španělský orgán pro regulaci trhu s elektřinou „Comisión Nacional de los Mercados y la Competencia“ a francouzský orgán pro regulaci trhu s elektřinou „Commission de Régulation de l’Énergie“ podepsaly dne 22. září 2017 dohodu o financování propojení elektroenergetických soustav mezi Španělskem a Francií přes Biskajský záliv. Výstavba propojení byla svěřena provozovatelům elektroenergetických přenosových soustav ve Španělsku a Francii, a to společnosti „Red Eléctrica de España“ a společnosti „Réseau de transport d’Electricité“. Dohoda stanoví, že náklady na projekt ponesou rovným dílem, tedy 50 % Španělsko a 50 % Francie.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Tímto zvláštním opatřením se propojení elektroenergetických soustav považuje pro účely dodání zboží, poskytnutí služeb, pořízení zboží uvnitř Společenství a dovozu zboží, které jsou určeny k jeho výstavbě, jako by se nacházelo z 50 % ve Španělsku a z 50 % ve Francii.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Bez zvláštního opatření by bylo nutné na základě zásady teritoriality pro každé plnění určit, zda bylo místo zdanitelného plnění ve Španělsku nebo ve Francii.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Z informací poskytnutých Španělskem a Francií vyplývá, že zvláštní opatření zjednoduší postup výběru DPH a dopad na celkovou výši daňových příjmů Španělska a Francie vybraných na stupni konečné spotřeby bude jen zanedbatelný. Je proto vhodné povolit Španělsku a Francii uplatnit zvláštní opatření odchylující se od článku </w:t>
      </w:r>
      <w:r>
        <w:rPr>
          <w:noProof/>
        </w:rPr>
        <w:lastRenderedPageBreak/>
        <w:t>5 směrnice 2006/112/ES, podle něhož se má propojení elektroenergetických soustav mezi obcemi Gatica ve Španělsku a Cubnezais ve Francii považovat pro účely dodání zboží, poskytnutí služeb, pořízení zboží uvnitř Společenství a dovozu zboží, které jsou určeny k jeho výstavbě, jako by se nacházelo z 50 % na území Španělska a z 50 % na území Francie.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Odchylka nemá dopad na vlastní zdroje Unie vycházející z DPH,</w:t>
      </w:r>
    </w:p>
    <w:p>
      <w:pPr>
        <w:pStyle w:val="Formuledadoption"/>
        <w:rPr>
          <w:noProof/>
        </w:rPr>
      </w:pPr>
      <w:r>
        <w:rPr>
          <w:noProof/>
        </w:rPr>
        <w:t xml:space="preserve">PŘIJALA TOTO ROZHODNUTÍ: 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rPr>
          <w:noProof/>
        </w:rPr>
      </w:pPr>
      <w:r>
        <w:rPr>
          <w:noProof/>
        </w:rPr>
        <w:t>Odchylně od článku 5 směrnice 2006/112/ES se Španělsku a Francii povoluje považovat propojení elektroenergetických soustav mezi obcemi Gatica ve Španělsku a Cubnezais ve Francii pro účely dodání zboží, poskytnutí služeb, pořízení zboží uvnitř Společenství a dovozu zboží, které jsou určeny k jeho výstavbě, jako by se z 50 % nacházelo na území Španělska a z 50 % na území Francie.</w:t>
      </w:r>
    </w:p>
    <w:p>
      <w:pPr>
        <w:pStyle w:val="Titrearticle"/>
        <w:rPr>
          <w:noProof/>
        </w:rPr>
      </w:pPr>
      <w:r>
        <w:rPr>
          <w:noProof/>
        </w:rPr>
        <w:t>Článek 2</w:t>
      </w:r>
    </w:p>
    <w:p>
      <w:pPr>
        <w:keepNext/>
        <w:keepLines/>
        <w:rPr>
          <w:noProof/>
        </w:rPr>
      </w:pPr>
      <w:r>
        <w:rPr>
          <w:noProof/>
        </w:rPr>
        <w:t>Toto rozhodnutí je určeno Španělskému království a Francouzské republice</w:t>
      </w:r>
      <w:r>
        <w:t>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Úř. věst. L 347, 11.12.2006, s. 1.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Prováděcí rozhodnutí Rady 2012/85/EU ze dne 10. února 2012 (Úř. věst. L 41, 15.2.2012, s. 16).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Rozhodnutí Rady 95/115/ES ze dne 30. března 1995 (Úř. věst. L 80, 8.4.1995, s. 47); rozhodnutí Rady 96/402/ES ze dne 25. června 1996 (Úř. věst. L 165, 4.7.1996, s. 35); rozhodnutí Rady 95/435/ES ze dne 23. října 1995 (Úř. věst. L 257, 27.10.1995, s. 34); rozhodnutí Rady 2001/741/ES ze dne 16. října 2001 (Úř. věst. L 278, 23.10.2001, s. 28) a prováděcí rozhodnutí Rady (EU) 2018/918 ze dne 22. června 2018 (Úř. věst. L 163, 28.6.2018, s. 17).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Rozhodnutí Rady 97/188/ES ze dne 17. března 1997 (Úř. věst. L 80, 21.3.1997, s. 18); rozhodnutí Rady 97/511/ES ze dne 24. července 1997 (Úř. věst. L 214, 6.8.1997, s. 39) a rozhodnutí Rady 2001/742/ES ze dne 16. října 2001 (Úř. věst. L 278, 23.10.2001, s. 30).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Prováděcí rozhodnutí Rady (EU) 2017/1769 ze dne 25. září 2017 (Úř. věst. L 250, 28.9.2017, s. 73).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Úř. věst. L 347, 11.12.2006, s.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05E70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512F6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9508B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93187A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720B9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5267B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09A0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0A225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R_RefLast" w:val="0"/>
    <w:docVar w:name="DQCDateTime" w:val="2019-11-06 18:57:2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B30558EA-EB8E-4DAA-BE63-ECAC2EF9386F"/>
    <w:docVar w:name="LW_COVERPAGE_TYPE" w:val="1"/>
    <w:docVar w:name="LW_CROSSREFERENCE" w:val="&lt;UNUSED&gt;"/>
    <w:docVar w:name="LW_DocType" w:val="COM"/>
    <w:docVar w:name="LW_EMISSION" w:val="13.11.2019"/>
    <w:docVar w:name="LW_EMISSION_ISODATE" w:val="2019-11-13"/>
    <w:docVar w:name="LW_EMISSION_LOCATION" w:val="BRX"/>
    <w:docVar w:name="LW_EMISSION_PREFIX" w:val="V Bruselu dne "/>
    <w:docVar w:name="LW_EMISSION_SUFFIX" w:val=" "/>
    <w:docVar w:name="LW_ID_DOCMODEL" w:val="SJ-020"/>
    <w:docVar w:name="LW_ID_DOCSIGNATURE" w:val="SJ-020"/>
    <w:docVar w:name="LW_ID_DOCSTRUCTURE" w:val="COM/PL/ORG"/>
    <w:docVar w:name="LW_ID_DOCTYPE" w:val="SJ-020"/>
    <w:docVar w:name="LW_ID_EXP.MOTIFS.NEW" w:val="EM_PL_"/>
    <w:docVar w:name="LW_ID_STATUT" w:val="SJ-020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56"/>
    <w:docVar w:name="LW_REF.II.NEW.CP_YEAR" w:val="2019"/>
    <w:docVar w:name="LW_REF.INST.NEW" w:val="COM"/>
    <w:docVar w:name="LW_REF.INST.NEW_ADOPTED" w:val="final"/>
    <w:docVar w:name="LW_REF.INST.NEW_TEXT" w:val="(2019) 58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kterým se \u352?pan\u283?lsku a Francii povoluje uplat\u328?ovat zvlá\u353?tní opat\u345?ení odchylující se od \u269?lánku 5 sm\u283?rnice 2006/112/ES o spole\u269?ném systému dan\u283? z p\u345?idané hodnoty"/>
    <w:docVar w:name="LW_TYPE.DOC.CP" w:val="PROVÁD\u282?CÍ ROZHODNUTÍ RADY,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2FB91A1-4616-4227-8E43-8221D4F0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7</Pages>
  <Words>1650</Words>
  <Characters>9604</Characters>
  <Application>Microsoft Office Word</Application>
  <DocSecurity>0</DocSecurity>
  <Lines>174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19</cp:revision>
  <dcterms:created xsi:type="dcterms:W3CDTF">2019-10-30T12:08:00Z</dcterms:created>
  <dcterms:modified xsi:type="dcterms:W3CDTF">2019-11-06T17:57:00Z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7.0.8.0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7.0, Build 20190717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SJ-020</vt:lpwstr>
  </property>
  <property fmtid="{D5CDD505-2E9C-101B-9397-08002B2CF9AE}" pid="10" name="DQCStatus">
    <vt:lpwstr>Green (DQC version 03)</vt:lpwstr>
  </property>
</Properties>
</file>