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064731-EB4A-4F41-B931-3B3234135922" style="width:450.4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Pagal 2006 m. lapkričio 28 d. Direktyvos 2006/112/EB dėl pridėtinės vertės mokesčio bendros sistemos</w:t>
      </w:r>
      <w:r>
        <w:rPr>
          <w:rStyle w:val="FootnoteReference"/>
          <w:noProof/>
        </w:rPr>
        <w:footnoteReference w:id="1"/>
      </w:r>
      <w:r>
        <w:rPr>
          <w:noProof/>
        </w:rPr>
        <w:t xml:space="preserve"> (toliau – PVM direktyva) 395 straipsnį Taryba, remdamasi Komisijos pasiūlymu, gali vieningai leisti valstybėms narėms imtis specialių priemonių, nukrypstant nuo šios direktyvos nuostatų, kad būtų supaprastinta mokesčio rinkimo procedūra arba užkirstas kelias tam tikrų rūšių mokesčių slėpimui ar vengimui.</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Raštais, kuriuos Komisija užregistravo atitinkamai 2019 m. gegužės 23 d. ir 2019 m. birželio 17 d., Prancūzija ir Ispanija paprašė leidimo nukrypti nuo PVM direktyvos 5 straipsnio. Vadovaudamasi PVM direktyvos 395 straipsnio 2 dalimi, Komisija 2019 m. rugsėjo 10 d. raštais pranešė kitoms valstybėms narėms apie Ispanijos ir Prancūzijos prašymą. 2019 m. rugsėjo 11 d. raštais Komisija pranešė Ispanijai ir Prancūzijai, kad turi visą informaciją, kuri, Komisijos nuomone, yra būtina prašymui įvertinti.</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pBdr>
          <w:top w:val="nil"/>
          <w:left w:val="nil"/>
          <w:bottom w:val="nil"/>
          <w:right w:val="nil"/>
          <w:between w:val="nil"/>
          <w:bar w:val="nil"/>
        </w:pBdr>
        <w:spacing w:before="0" w:after="240"/>
        <w:rPr>
          <w:rFonts w:eastAsia="Arial Unicode MS"/>
          <w:noProof/>
        </w:rPr>
      </w:pPr>
      <w:r>
        <w:rPr>
          <w:noProof/>
        </w:rPr>
        <w:t>Europos Sąjunga parengė griežtą energetikos politiką, grindžiamą saugios, konkurencingos ir tvarios energijos poreikiu. Todėl Europos Sąjunga nustatė plataus užmojo Sąjungos lygmens tikslus, susijusius su energijos vartojimo efektyvumu, atsinaujinančiųjų energijos išteklių plėtra ir išmetamo CO2 kiekio mažinimu. Norint pasiekti šiuos tikslus, būtina sukurti labiau integruotą energijos rinką.</w:t>
      </w:r>
    </w:p>
    <w:p>
      <w:pPr>
        <w:pBdr>
          <w:top w:val="nil"/>
          <w:left w:val="nil"/>
          <w:bottom w:val="nil"/>
          <w:right w:val="nil"/>
          <w:between w:val="nil"/>
          <w:bar w:val="nil"/>
        </w:pBdr>
        <w:spacing w:before="0" w:after="240"/>
        <w:rPr>
          <w:rFonts w:eastAsia="Arial Unicode MS"/>
          <w:noProof/>
        </w:rPr>
      </w:pPr>
      <w:r>
        <w:rPr>
          <w:noProof/>
        </w:rPr>
        <w:t>Šiuo atžvilgiu pirmenybė teikiama elektros energijos jungiamųjų linijų tarp Ispanijos, Portugalijos ir likusios Europos pajėgumų plėtojimui. Tai, kad svarbu toliau didinti jungiamųjų linijų tarp Ispanijos ir Prancūzijos pralaidumą, buvo akcentuojama Madrido deklaracijoje, kurią 2015 m. kovo 4 d. pasirašė Prancūzijos prezidentas, Ispanijos ir Portugalijos ministrai pirmininkai ir Europos Komisijos pirmininkas. Šiame dokumente buvo pabrėžta, kad labai svarbu sukurti visiškai veikiančią ir tarpusavyje sujungtą energijos vidaus rinką. Be to, dokumente pabrėžiama, kad valstybėms narėms, kurios dar nepasiekė minimalaus integracijos į energijos vidaus rinką lygio, pvz., Portugalijai ir Ispanijai, iš esmės yra būtina sukurti reikiamą energetikos infrastruktūrą. Po šios deklaracijos įsteigta Pietvakarių Europos aukšto lygio grupė, kurios tikslas – stebėti regiono jungiamųjų linijų plėtrą.</w:t>
      </w:r>
    </w:p>
    <w:p>
      <w:pPr>
        <w:pBdr>
          <w:top w:val="nil"/>
          <w:left w:val="nil"/>
          <w:bottom w:val="nil"/>
          <w:right w:val="nil"/>
          <w:between w:val="nil"/>
          <w:bar w:val="nil"/>
        </w:pBdr>
        <w:spacing w:before="0" w:after="240"/>
        <w:rPr>
          <w:rFonts w:eastAsia="Arial Unicode MS"/>
          <w:noProof/>
        </w:rPr>
      </w:pPr>
      <w:r>
        <w:rPr>
          <w:noProof/>
        </w:rPr>
        <w:t>Svarbus žingsnis šia kryptimi – Baixas-Santa Llogaia jungiamosios linijos tiesimas. Kitas žingsnis – antros jungiamosios linijos per Biskajos įlanką tiesimas.</w:t>
      </w:r>
    </w:p>
    <w:p>
      <w:pPr>
        <w:pBdr>
          <w:top w:val="nil"/>
          <w:left w:val="nil"/>
          <w:bottom w:val="nil"/>
          <w:right w:val="nil"/>
          <w:between w:val="nil"/>
          <w:bar w:val="nil"/>
        </w:pBdr>
        <w:spacing w:before="0" w:after="240"/>
        <w:rPr>
          <w:rFonts w:eastAsia="Arial Unicode MS"/>
          <w:noProof/>
        </w:rPr>
      </w:pPr>
      <w:r>
        <w:rPr>
          <w:noProof/>
        </w:rPr>
        <w:t>Šiuo klausimu 2017 m. rugsėjo 22 d. Ispanijos ir Prancūzijos nacionalinės elektros energijos rinkos reguliavimo institucijos, atitinkamai „Comisión Nacional de los Mercados y la Competencia“ ir „Commission de Régulation de l’Énergie“, pasirašė susitarimą finansuoti per Biskajos įlanką tarp abiejų valstybių narių tiesiamą elektros energijos jungiamąją liniją. Šios jungiamosios linijos tiesimas patikėtas Ispanijos ir Prancūzijos elektros energijos perdavimo sistemos operatoriams, atitinkamai „Red Eléctrica de España“ ir „Réseau de transport d’Electricité“. Susitarime numatyta po lygiai pasidalyti išlaidas, taigi 50 % išlaidų padengs Ispanija, o kitus 50 % – Prancūzija.</w:t>
      </w:r>
    </w:p>
    <w:p>
      <w:pPr>
        <w:pBdr>
          <w:top w:val="nil"/>
          <w:left w:val="nil"/>
          <w:bottom w:val="nil"/>
          <w:right w:val="nil"/>
          <w:between w:val="nil"/>
          <w:bar w:val="nil"/>
        </w:pBdr>
        <w:spacing w:before="0" w:after="240"/>
        <w:rPr>
          <w:rFonts w:eastAsia="Arial Unicode MS"/>
          <w:noProof/>
        </w:rPr>
      </w:pPr>
      <w:r>
        <w:rPr>
          <w:noProof/>
        </w:rPr>
        <w:t>Projektas susijęs su dviejų nepriklausomų aukštos įtampos nuolatinės srovės (toliau – AĮNS) jungčių, kurių kiekvienos galingumas yra 1 000 megavatų (toliau – MW), tiesimu tarp Cubnezais (Prancūzija) ir Gatica (Ispanija). Projektą sudarys šie elementai:</w:t>
      </w:r>
    </w:p>
    <w:p>
      <w:pPr>
        <w:pBdr>
          <w:top w:val="nil"/>
          <w:left w:val="nil"/>
          <w:bottom w:val="nil"/>
          <w:right w:val="nil"/>
          <w:between w:val="nil"/>
          <w:bar w:val="nil"/>
        </w:pBdr>
        <w:spacing w:before="0" w:after="240"/>
        <w:rPr>
          <w:rFonts w:eastAsia="Arial Unicode MS"/>
          <w:noProof/>
        </w:rPr>
      </w:pPr>
      <w:r>
        <w:rPr>
          <w:noProof/>
        </w:rPr>
        <w:lastRenderedPageBreak/>
        <w:t>- techninis esamų Gatica ir Cubnezais pastočių pritaikymas;</w:t>
      </w:r>
    </w:p>
    <w:p>
      <w:pPr>
        <w:pBdr>
          <w:top w:val="nil"/>
          <w:left w:val="nil"/>
          <w:bottom w:val="nil"/>
          <w:right w:val="nil"/>
          <w:between w:val="nil"/>
          <w:bar w:val="nil"/>
        </w:pBdr>
        <w:spacing w:before="0" w:after="240"/>
        <w:rPr>
          <w:rFonts w:eastAsia="Arial Unicode MS"/>
          <w:noProof/>
        </w:rPr>
      </w:pPr>
      <w:r>
        <w:rPr>
          <w:noProof/>
        </w:rPr>
        <w:t>- jungtys tarp esamų Gatica ir Cubnezais pastočių ir naujų Gatica ir Cubnezais AĮNS keitiklių stočių;</w:t>
      </w:r>
    </w:p>
    <w:p>
      <w:pPr>
        <w:pBdr>
          <w:top w:val="nil"/>
          <w:left w:val="nil"/>
          <w:bottom w:val="nil"/>
          <w:right w:val="nil"/>
          <w:between w:val="nil"/>
          <w:bar w:val="nil"/>
        </w:pBdr>
        <w:spacing w:before="0" w:after="240"/>
        <w:rPr>
          <w:rFonts w:eastAsia="Arial Unicode MS"/>
          <w:noProof/>
        </w:rPr>
      </w:pPr>
      <w:r>
        <w:rPr>
          <w:noProof/>
        </w:rPr>
        <w:t>- keturios naujos 1 000 MW AĮNS keitiklių stotys (2 dvipolės Gatica vietovėje ir 2 Cubnezais vietovėje);</w:t>
      </w:r>
    </w:p>
    <w:p>
      <w:pPr>
        <w:pBdr>
          <w:top w:val="nil"/>
          <w:left w:val="nil"/>
          <w:bottom w:val="nil"/>
          <w:right w:val="nil"/>
          <w:between w:val="nil"/>
          <w:bar w:val="nil"/>
        </w:pBdr>
        <w:spacing w:before="0" w:after="240"/>
        <w:rPr>
          <w:rFonts w:eastAsia="Arial Unicode MS"/>
          <w:noProof/>
        </w:rPr>
      </w:pPr>
      <w:r>
        <w:rPr>
          <w:noProof/>
        </w:rPr>
        <w:t>- dvi 1 000 MW jungtys (4 kabeliai), kurios 90 kilometrų nutiestos sausuma ir 280 kilometrų po vandeniu per Biskajos įlanką;</w:t>
      </w:r>
    </w:p>
    <w:p>
      <w:pPr>
        <w:pBdr>
          <w:top w:val="nil"/>
          <w:left w:val="nil"/>
          <w:bottom w:val="nil"/>
          <w:right w:val="nil"/>
          <w:between w:val="nil"/>
          <w:bar w:val="nil"/>
        </w:pBdr>
        <w:spacing w:before="0" w:after="240"/>
        <w:rPr>
          <w:rFonts w:eastAsia="Arial Unicode MS"/>
          <w:noProof/>
        </w:rPr>
      </w:pPr>
      <w:r>
        <w:rPr>
          <w:noProof/>
        </w:rPr>
        <w:t>- AĮNS jungčių įtampa bus nustatyta užbaigus konkurso procesą.</w:t>
      </w:r>
    </w:p>
    <w:p>
      <w:pPr>
        <w:pBdr>
          <w:top w:val="nil"/>
          <w:left w:val="nil"/>
          <w:bottom w:val="nil"/>
          <w:right w:val="nil"/>
          <w:between w:val="nil"/>
          <w:bar w:val="nil"/>
        </w:pBdr>
        <w:spacing w:before="0" w:after="240"/>
        <w:rPr>
          <w:rFonts w:eastAsia="Arial Unicode MS"/>
          <w:noProof/>
        </w:rPr>
      </w:pPr>
      <w:r>
        <w:rPr>
          <w:noProof/>
        </w:rPr>
        <w:t>Pagal PVM direktyvoje nustatytą teritorinio taikymo principą, būtina nustatyti, kur yra tiekiamos prekės ir teikiamos paslaugos. Todėl, vadovaujantis įprastine tvarka, kiekvieno prekių tiekimo ir paslaugų teikimo, prekių įsigijimo Bendrijos viduje ir prekių importo, kurie susiję su projekto įgyvendinimu, atveju turėtų būti nustatoma, ar tie veiksmai vykdomi Ispanijoje, ar Prancūzijoje. Ispanijos ir Prancūzijos nuomone, taikant šią taisyklę, apmokestinamiesiems asmenims, atsakingiems už elektros energijos jungiamųjų linijų tiesimą, ir Ispanijos bei Prancūzijos mokesčių administratoriams kiltų mokestinių sunkumų, nes projektas iš esmės valdomas kaip visuma, neatsižvelgiant į jo tarpvalstybinį pobūdį.</w:t>
      </w:r>
    </w:p>
    <w:p>
      <w:pPr>
        <w:pBdr>
          <w:top w:val="nil"/>
          <w:left w:val="nil"/>
          <w:bottom w:val="nil"/>
          <w:right w:val="nil"/>
          <w:between w:val="nil"/>
          <w:bar w:val="nil"/>
        </w:pBdr>
        <w:spacing w:before="0" w:after="240"/>
        <w:rPr>
          <w:rFonts w:eastAsia="Arial Unicode MS"/>
          <w:noProof/>
        </w:rPr>
      </w:pPr>
      <w:r>
        <w:rPr>
          <w:noProof/>
        </w:rPr>
        <w:t>Siekdamos supaprastinti apmokestinimą PVM, Ispanija ir Prancūzija, remdamosi PVM direktyvos 395 straipsniu, prašo leidimo nukrypti nuo PVM direktyvos 5 straipsnio ir PVM tikslais nustatyti, kad už visą prekių tiekimą ir paslaugų teikimą, prekių įsigijimą Bendrijos viduje ir prekių importą, skirtą numatytoms investicijoms įgyvendinti (t. y. elektros energijos jungiamųjų linijų tiesimui), tiekėjai pateikia sąskaitas faktūras taip, lyg 50 % jų būtų atlikta Ispanijos teritorijoje ir 50 % – Prancūzijos.</w:t>
      </w:r>
    </w:p>
    <w:p>
      <w:pPr>
        <w:pBdr>
          <w:top w:val="nil"/>
          <w:left w:val="nil"/>
          <w:bottom w:val="nil"/>
          <w:right w:val="nil"/>
          <w:between w:val="nil"/>
          <w:bar w:val="nil"/>
        </w:pBdr>
        <w:spacing w:before="0" w:after="240"/>
        <w:rPr>
          <w:rFonts w:eastAsia="Arial Unicode MS"/>
          <w:noProof/>
        </w:rPr>
      </w:pPr>
      <w:r>
        <w:rPr>
          <w:noProof/>
        </w:rPr>
        <w:t>Nutiesus elektros energijos jungiamąsias linijas, bus taikomos įprastos PVM taisyklės.</w:t>
      </w:r>
    </w:p>
    <w:p>
      <w:pPr>
        <w:pBdr>
          <w:top w:val="nil"/>
          <w:left w:val="nil"/>
          <w:bottom w:val="nil"/>
          <w:right w:val="nil"/>
          <w:between w:val="nil"/>
          <w:bar w:val="nil"/>
        </w:pBdr>
        <w:spacing w:before="0" w:after="240"/>
        <w:rPr>
          <w:rFonts w:eastAsia="Arial Unicode MS"/>
          <w:noProof/>
        </w:rPr>
      </w:pPr>
      <w:r>
        <w:rPr>
          <w:noProof/>
        </w:rPr>
        <w:t>Taryba leido Ispanijai ir Prancūzijai imtis panašios specialios priemonės</w:t>
      </w:r>
      <w:r>
        <w:rPr>
          <w:rStyle w:val="FootnoteReference"/>
          <w:noProof/>
        </w:rPr>
        <w:footnoteReference w:id="2"/>
      </w:r>
      <w:r>
        <w:rPr>
          <w:noProof/>
        </w:rPr>
        <w:t xml:space="preserve"> statyti požeminę elektros jungiamąją liniją tarp Santa Llogaia vietovės Ispanijoje ir Baixas vietovės Prancūzijoje. Taryba anksčiau yra leidusi taikyti kitas nuo teritorinio taikymo principo leidžiančias nukrypti nuostatas, </w:t>
      </w:r>
      <w:r>
        <w:rPr>
          <w:i/>
          <w:iCs/>
          <w:noProof/>
        </w:rPr>
        <w:t>inter alia</w:t>
      </w:r>
      <w:r>
        <w:rPr>
          <w:noProof/>
        </w:rPr>
        <w:t>, tarp Vokietijos ir Lenkijos</w:t>
      </w:r>
      <w:r>
        <w:rPr>
          <w:rStyle w:val="FootnoteReference"/>
          <w:noProof/>
        </w:rPr>
        <w:footnoteReference w:id="3"/>
      </w:r>
      <w:r>
        <w:rPr>
          <w:noProof/>
        </w:rPr>
        <w:t>, Vokietijos ir Čekijos</w:t>
      </w:r>
      <w:r>
        <w:rPr>
          <w:rStyle w:val="FootnoteReference"/>
          <w:noProof/>
        </w:rPr>
        <w:footnoteReference w:id="4"/>
      </w:r>
      <w:r>
        <w:rPr>
          <w:noProof/>
        </w:rPr>
        <w:t>, taip pat tarp Lenkijos ir Ukrainos</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Dėl tiesimo darbams skaičiuojamo PVM padalijimo Prancūzijai ir Ispanijai, bus paprasčiau, o susijusioms įmonėms ir mokesčių institucijoms bus lengviau taikyti mokesčių taisykles, nei tuo atveju, jei būtų taikomos įprastos apmokestinimo taisyklės.</w:t>
      </w:r>
    </w:p>
    <w:p>
      <w:pPr>
        <w:pBdr>
          <w:top w:val="nil"/>
          <w:left w:val="nil"/>
          <w:bottom w:val="nil"/>
          <w:right w:val="nil"/>
          <w:between w:val="nil"/>
          <w:bar w:val="nil"/>
        </w:pBdr>
        <w:spacing w:before="0" w:after="240"/>
        <w:rPr>
          <w:rFonts w:eastAsia="Arial Unicode MS"/>
          <w:noProof/>
        </w:rPr>
      </w:pPr>
      <w:r>
        <w:rPr>
          <w:noProof/>
        </w:rPr>
        <w:lastRenderedPageBreak/>
        <w:t>Atsižvelgiant į siaurą nukrypti leidžiančios priemonės taikymo sritį, bet koks galimas neigiamas priemonės poveikis galutinio vartojimo etape surenkamam PVM, taigi ir iš PVM gaunamiems Sąjungos nuosaviems ištekliams, būtų nedidelis.</w:t>
      </w:r>
    </w:p>
    <w:p>
      <w:pPr>
        <w:pBdr>
          <w:top w:val="nil"/>
          <w:left w:val="nil"/>
          <w:bottom w:val="nil"/>
          <w:right w:val="nil"/>
          <w:between w:val="nil"/>
          <w:bar w:val="nil"/>
        </w:pBdr>
        <w:spacing w:before="0" w:after="240"/>
        <w:rPr>
          <w:rFonts w:eastAsia="Arial Unicode MS"/>
          <w:noProof/>
        </w:rPr>
      </w:pPr>
      <w:r>
        <w:rPr>
          <w:noProof/>
        </w:rPr>
        <w:t>Atsižvelgiant į tai, siūloma leisti taikyti prašomą nukrypti leidžiančią priemonę.</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Bdr>
          <w:top w:val="nil"/>
          <w:left w:val="nil"/>
          <w:bottom w:val="nil"/>
          <w:right w:val="nil"/>
          <w:between w:val="nil"/>
          <w:bar w:val="nil"/>
        </w:pBdr>
        <w:spacing w:before="0" w:after="240"/>
        <w:rPr>
          <w:noProof/>
        </w:rPr>
      </w:pPr>
      <w:r>
        <w:rPr>
          <w:noProof/>
        </w:rPr>
        <w:t>PVM direktyvos 395 straipsnis.</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Atsižvelgiant į PVM direktyvos nuostatą, kuria grindžiamas pasiūlymas, subsidiarumo principas netaikomas.</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Bdr>
          <w:top w:val="nil"/>
          <w:left w:val="nil"/>
          <w:bottom w:val="nil"/>
          <w:right w:val="nil"/>
          <w:between w:val="nil"/>
          <w:bar w:val="nil"/>
        </w:pBdr>
        <w:spacing w:before="0" w:after="240"/>
        <w:rPr>
          <w:noProof/>
        </w:rPr>
      </w:pPr>
      <w:r>
        <w:rPr>
          <w:noProof/>
        </w:rPr>
        <w:t>Sprendimu valstybėms narėms leidimas suteikiamas jų pačių prašymu ir jis nėra privalomas.</w:t>
      </w:r>
    </w:p>
    <w:p>
      <w:pPr>
        <w:pBdr>
          <w:top w:val="nil"/>
          <w:left w:val="nil"/>
          <w:bottom w:val="nil"/>
          <w:right w:val="nil"/>
          <w:between w:val="nil"/>
          <w:bar w:val="nil"/>
        </w:pBdr>
        <w:spacing w:before="0" w:after="240"/>
        <w:rPr>
          <w:rFonts w:eastAsia="Arial Unicode MS"/>
          <w:noProof/>
        </w:rPr>
      </w:pPr>
      <w:r>
        <w:rPr>
          <w:noProof/>
        </w:rPr>
        <w:t>Atsižvelgiant į labai siaurą šios nukrypti leidžiančios nuostatos taikymo sritį, speciali priemonė yra proporcinga siekiamam tikslui.</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noProof/>
        </w:rPr>
      </w:pPr>
      <w:r>
        <w:rPr>
          <w:noProof/>
        </w:rPr>
        <w:t>Siūloma priemonė – Tarybos įgyvendinimo sprendimas.</w:t>
      </w:r>
    </w:p>
    <w:p>
      <w:pPr>
        <w:pBdr>
          <w:top w:val="nil"/>
          <w:left w:val="nil"/>
          <w:bottom w:val="nil"/>
          <w:right w:val="nil"/>
          <w:between w:val="nil"/>
          <w:bar w:val="nil"/>
        </w:pBdr>
        <w:spacing w:before="0" w:after="240"/>
        <w:rPr>
          <w:noProof/>
        </w:rPr>
      </w:pPr>
      <w:r>
        <w:rPr>
          <w:noProof/>
        </w:rPr>
        <w:t>Pagal PVM direktyvos 395 straipsnį nukrypti nuo bendrų PVM taisyklių galima tik tada, kai tai vieningai leidžia Taryba, remdamasi Komisijos pasiūlymu. Tarybos įgyvendinimo sprendimas yra tinkamiausia priemonė, nes jis gali būti skirtas atskiroms valstybėms narėms.</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pBdr>
          <w:top w:val="nil"/>
          <w:left w:val="nil"/>
          <w:bottom w:val="nil"/>
          <w:right w:val="nil"/>
          <w:between w:val="nil"/>
          <w:bar w:val="nil"/>
        </w:pBdr>
        <w:spacing w:before="0" w:after="240"/>
        <w:rPr>
          <w:noProof/>
        </w:rPr>
      </w:pPr>
      <w:r>
        <w:rPr>
          <w:noProof/>
        </w:rPr>
        <w:t>Šis pasiūlymas yra pagrįstas Ispanijos ir Prancūzijos pateiktais prašymais ir skirtas tik šioms valstybėms narėms.</w:t>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0" w:after="240"/>
        <w:rPr>
          <w:noProof/>
        </w:rPr>
      </w:pPr>
      <w:r>
        <w:rPr>
          <w:noProof/>
        </w:rPr>
        <w:t>Nepriklausomo tyrimo neprireikė.</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0" w:after="240"/>
        <w:rPr>
          <w:noProof/>
        </w:rPr>
      </w:pPr>
      <w:r>
        <w:rPr>
          <w:noProof/>
        </w:rPr>
        <w:t>Tarybos įgyvendinimo sprendimo pasiūlymu Ispanijai ir Prancūzijai leidžiama laikyti, kad visas prekių tiekimas ir paslaugų teikimas, prekių įsigijimas Bendrijos viduje ir prekių importas, skirtas elektros energijos jungiamosios linijos tarp Gatica ir Cubnezais tiesimui, PVM tikslais 50 % vykdomas Ispanijoje ir 50 % – Prancūzijoje. Manoma, kad, taikant priemonę, projekte dalyvaujantiems tiekėjams būtų paprasčiau vykdyti mokesčio prievoles, o mokesčių administratoriams – rinkti mokestį. Atsižvelgiant į ribotą šios nukrypti leidžiančios nuostatos taikymo sritį, poveikis bet kuriuo atveju bus ribotas.</w:t>
      </w:r>
    </w:p>
    <w:p>
      <w:pPr>
        <w:pStyle w:val="ManualHeading1"/>
        <w:rPr>
          <w:noProof/>
        </w:rPr>
      </w:pPr>
      <w:r>
        <w:rPr>
          <w:noProof/>
        </w:rPr>
        <w:lastRenderedPageBreak/>
        <w:t>4.</w:t>
      </w:r>
      <w:r>
        <w:rPr>
          <w:noProof/>
        </w:rPr>
        <w:tab/>
        <w:t>POVEIKIS BIUDŽETUI</w:t>
      </w:r>
    </w:p>
    <w:p>
      <w:pPr>
        <w:pBdr>
          <w:top w:val="nil"/>
          <w:left w:val="nil"/>
          <w:bottom w:val="nil"/>
          <w:right w:val="nil"/>
          <w:between w:val="nil"/>
          <w:bar w:val="nil"/>
        </w:pBdr>
        <w:spacing w:before="0" w:after="240"/>
        <w:rPr>
          <w:noProof/>
        </w:rPr>
      </w:pPr>
      <w:r>
        <w:rPr>
          <w:noProof/>
        </w:rPr>
        <w:t>Pasiūlymas neturi poveikio Sąjungos nuosaviems ištekliams, kuriuos sudaro surenkamas PVM.</w:t>
      </w:r>
    </w:p>
    <w:p>
      <w:pPr>
        <w:pStyle w:val="ManualHeading1"/>
        <w:rPr>
          <w:noProof/>
        </w:rPr>
      </w:pPr>
      <w:r>
        <w:rPr>
          <w:noProof/>
        </w:rPr>
        <w:t>5.</w:t>
      </w:r>
      <w:r>
        <w:rPr>
          <w:noProof/>
        </w:rPr>
        <w:tab/>
        <w:t>KITI ELEMENTAI</w:t>
      </w:r>
    </w:p>
    <w:p>
      <w:pPr>
        <w:pBdr>
          <w:top w:val="nil"/>
          <w:left w:val="nil"/>
          <w:bottom w:val="nil"/>
          <w:right w:val="nil"/>
          <w:between w:val="nil"/>
          <w:bar w:val="nil"/>
        </w:pBdr>
        <w:spacing w:before="0" w:after="240"/>
        <w:rPr>
          <w:noProof/>
        </w:rPr>
      </w:pPr>
      <w:r>
        <w:rPr>
          <w:noProof/>
        </w:rPr>
        <w:t>Pasiūlymo galiojimas baigsis nutiesus elektros energijos jungiamąją liniją tarp Gatica vietovės Ispanijoje ir Cubnezais vietovės Prancūzijoje.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2019/0256 (NLE)</w:t>
      </w:r>
    </w:p>
    <w:p>
      <w:pPr>
        <w:pStyle w:val="Statut"/>
        <w:rPr>
          <w:noProof/>
        </w:rPr>
      </w:pPr>
      <w:r>
        <w:rPr>
          <w:noProof/>
        </w:rPr>
        <w:t>Pasiūlymas</w:t>
      </w:r>
    </w:p>
    <w:p>
      <w:pPr>
        <w:pStyle w:val="Typedudocument"/>
        <w:rPr>
          <w:noProof/>
        </w:rPr>
      </w:pPr>
      <w:r>
        <w:rPr>
          <w:noProof/>
        </w:rPr>
        <w:t>TARYBOS ĮGYVENDINIMO SPRENDIMAS</w:t>
      </w:r>
    </w:p>
    <w:p>
      <w:pPr>
        <w:pStyle w:val="Titreobjet"/>
        <w:rPr>
          <w:noProof/>
        </w:rPr>
      </w:pPr>
      <w:r>
        <w:rPr>
          <w:noProof/>
        </w:rPr>
        <w:t>kuriuo Ispanijai ir Prancūzijai leidžiama taikyti specialią priemonę, kuria nukrypstama nuo Direktyvos 2006/112/EB dėl pridėtinės vertės mokesčio bendros sistemos 5 straipsnio</w:t>
      </w:r>
    </w:p>
    <w:p>
      <w:pPr>
        <w:pStyle w:val="Institutionquiagit"/>
        <w:rPr>
          <w:noProof/>
        </w:rPr>
      </w:pPr>
      <w:r>
        <w:rPr>
          <w:noProof/>
        </w:rPr>
        <w:t>EUROPOS SĄJUNGOS TARYBA,</w:t>
      </w:r>
    </w:p>
    <w:p>
      <w:pPr>
        <w:rPr>
          <w:noProof/>
        </w:rPr>
      </w:pPr>
      <w:r>
        <w:rPr>
          <w:noProof/>
        </w:rPr>
        <w:t xml:space="preserve">atsižvelgdama į Sutartį dėl Europos Sąjungos veikimo, </w:t>
      </w:r>
    </w:p>
    <w:p>
      <w:pPr>
        <w:rPr>
          <w:noProof/>
        </w:rPr>
      </w:pPr>
      <w:r>
        <w:rPr>
          <w:noProof/>
        </w:rPr>
        <w:t>atsižvelgdama į 2006 m. lapkričio 28 d. Tarybos direktyvą 2006/112/EB dėl pridėtinės vertės mokesčio bendros sistemos</w:t>
      </w:r>
      <w:r>
        <w:rPr>
          <w:rStyle w:val="FootnoteReference"/>
          <w:noProof/>
        </w:rPr>
        <w:footnoteReference w:id="6"/>
      </w:r>
      <w:r>
        <w:rPr>
          <w:noProof/>
        </w:rPr>
        <w:t>, ypač į jos 395 straipsnio 1 dalies pirmą pastraipą,</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2019 m. gegužės 23 d. ir 2019 m. birželio 17 d. Komisijoje užregistruotais raštais Prancūzija ir Ispanija paprašė leidimo taikyti specialią priemonę, kuria nukrypstama nuo Direktyvos 2006/112/EB 5 straipsnio, elektros energijos jungiamosios linijos tarp Gatica vietovės Ispanijoje ir Cubnezais vietovės Prancūzijoje tiesimui;</w:t>
      </w:r>
    </w:p>
    <w:p>
      <w:pPr>
        <w:pStyle w:val="ManualConsidrant"/>
        <w:rPr>
          <w:noProof/>
        </w:rPr>
      </w:pPr>
      <w:r>
        <w:t>(2)</w:t>
      </w:r>
      <w:r>
        <w:tab/>
      </w:r>
      <w:r>
        <w:rPr>
          <w:noProof/>
        </w:rPr>
        <w:t>vadovaudamasi Direktyvos 2006/112/EB 395 straipsnio 2 dalimi, Komisija 2019 m. rugsėjo 10 d. raštais pranešė kitoms valstybėms narėms apie Ispanijos ir Prancūzijos pateiktą prašymą. 2019 m. rugsėjo 11 d. raštais Komisija pranešė Ispanijai ir Prancūzijai, kad turi visą prašymui įvertinti reikalingą informaciją;</w:t>
      </w:r>
    </w:p>
    <w:p>
      <w:pPr>
        <w:pStyle w:val="ManualConsidrant"/>
        <w:rPr>
          <w:noProof/>
        </w:rPr>
      </w:pPr>
      <w:r>
        <w:t>(3)</w:t>
      </w:r>
      <w:r>
        <w:tab/>
      </w:r>
      <w:r>
        <w:rPr>
          <w:noProof/>
        </w:rPr>
        <w:t xml:space="preserve">2017 m. rugsėjo 22 d. Ispanijos nacionalinė elektros energijos rinkos reguliavimo institucija </w:t>
      </w:r>
      <w:r>
        <w:rPr>
          <w:i/>
          <w:iCs/>
          <w:noProof/>
        </w:rPr>
        <w:t>Comisión Nacional de los Mercados y la Competencia</w:t>
      </w:r>
      <w:r>
        <w:rPr>
          <w:noProof/>
        </w:rPr>
        <w:t xml:space="preserve"> ir Prancūzijos nacionalinė elektros energijos rinkos reguliavimo institucija </w:t>
      </w:r>
      <w:r>
        <w:rPr>
          <w:i/>
          <w:iCs/>
          <w:noProof/>
        </w:rPr>
        <w:t>Commission de Régulation de l’Énergie</w:t>
      </w:r>
      <w:r>
        <w:rPr>
          <w:noProof/>
        </w:rPr>
        <w:t xml:space="preserve"> pasirašė susitarimą finansuoti per Biskajos įlanką tarp Ispanijos ir Prancūzijos tiesiamą elektros energijos jungiamąją liniją. Šios jungiamosios linijos tiesimas patikėtas Ispanijos ir Prancūzijos elektros energijos perdavimo sistemos operatoriams „Red Eléctrica de España“ ir „Réseau de transport d’Electricité“. Susitarime numatyta po lygiai pasidalyti išlaidas, t. y. 50 % išlaidų padengs Ispanija ir 50 % – Prancūzija;</w:t>
      </w:r>
    </w:p>
    <w:p>
      <w:pPr>
        <w:pStyle w:val="ManualConsidrant"/>
        <w:rPr>
          <w:noProof/>
        </w:rPr>
      </w:pPr>
      <w:r>
        <w:t>(4)</w:t>
      </w:r>
      <w:r>
        <w:tab/>
      </w:r>
      <w:r>
        <w:rPr>
          <w:noProof/>
        </w:rPr>
        <w:t>pagal specialią priemonę elektros energijos jungiamosios linijos tiesimui tiekiamų prekių bei teikiamų paslaugų ir Bendrijos teritorijoje įgyjamų bei importuojamų prekių apmokestinimo tikslu bus laikoma, kad 50 % jungiamosios linijos yra Ispanijoje ir 50 % – Prancūzijoje;</w:t>
      </w:r>
    </w:p>
    <w:p>
      <w:pPr>
        <w:pStyle w:val="ManualConsidrant"/>
        <w:rPr>
          <w:noProof/>
        </w:rPr>
      </w:pPr>
      <w:r>
        <w:t>(5)</w:t>
      </w:r>
      <w:r>
        <w:tab/>
      </w:r>
      <w:r>
        <w:rPr>
          <w:noProof/>
        </w:rPr>
        <w:t>jeigu ši speciali priemonė nebūtų taikoma, pagal teritoriškumo principą kiekvieno prekių tiekimo ar paslaugų teikimo atveju reikėtų nustatyti, ar apmokestinimo vieta yra Ispanijoje, ar Prancūzijoje;</w:t>
      </w:r>
    </w:p>
    <w:p>
      <w:pPr>
        <w:pStyle w:val="ManualConsidrant"/>
        <w:rPr>
          <w:noProof/>
        </w:rPr>
      </w:pPr>
      <w:r>
        <w:t>(6)</w:t>
      </w:r>
      <w:r>
        <w:tab/>
      </w:r>
      <w:r>
        <w:rPr>
          <w:noProof/>
        </w:rPr>
        <w:t xml:space="preserve">remiantis Ispanijos ir Prancūzijos pateikta informacija, specialiąja priemone bus supaprastinta PVM surinkimo procedūra, o poveikis bendrai Ispanijos ir Prancūzijos </w:t>
      </w:r>
      <w:r>
        <w:rPr>
          <w:noProof/>
        </w:rPr>
        <w:lastRenderedPageBreak/>
        <w:t>galutinio vartojimo etape surenkamų mokesčių pajamų sumai bus tik nedidelis. Todėl tikslinga leisti Ispanijai ir Prancūzijai taikyti specialią priemonę, kuria nukrypstama nuo Direktyvos 2006/112/EB 5 straipsnio ir kuria remiantis bus laikoma, kad elektros energijos jungiamosios linijos tiesimui tiekiamų prekių bei teikiamų paslaugų ir Bendrijos teritorijoje įgyjamų bei importuojamų prekių apmokestinimo tikslu 50 % elektros energijos jungiamosios linijos tarp Gatica vietovės Ispanijoje ir Cubnezais vietovės Prancūzijoje yra Ispanijos teritorijoje ir 50 % – Prancūzijos teritorijoje;</w:t>
      </w:r>
    </w:p>
    <w:p>
      <w:pPr>
        <w:pStyle w:val="ManualConsidrant"/>
        <w:rPr>
          <w:noProof/>
        </w:rPr>
      </w:pPr>
      <w:r>
        <w:t>(7)</w:t>
      </w:r>
      <w:r>
        <w:tab/>
      </w:r>
      <w:r>
        <w:rPr>
          <w:noProof/>
        </w:rPr>
        <w:t>šia nukrypti leidžiančia nuostata nedaromas poveikis Sąjungos nuosaviems ištekliams, gaunamiems iš PVM,</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Nukrypstant nuo Direktyvos 2006/112/EB 5 straipsnio, elektros energijos jungiamosios linijos tiesimui tiekiamų prekių bei teikiamų paslaugų ir Bendrijos teritorijoje įgyjamų bei importuojamų prekių apmokestinimo tikslu Ispanijai ir Prancūzijai leidžiama laikyti, kad 50 % elektros energijos jungiamosios linijos tarp Gatica vietovės Ispanijoje ir Cubnezais vietovės Prancūzijoje yra Ispanijos teritorijoje ir 50 % – Prancūzijos teritorijoje.</w:t>
      </w:r>
    </w:p>
    <w:p>
      <w:pPr>
        <w:pStyle w:val="Titrearticle"/>
        <w:rPr>
          <w:noProof/>
        </w:rPr>
      </w:pPr>
      <w:r>
        <w:rPr>
          <w:noProof/>
        </w:rPr>
        <w:t>2 straipsnis</w:t>
      </w:r>
    </w:p>
    <w:p>
      <w:pPr>
        <w:keepNext/>
        <w:keepLines/>
        <w:rPr>
          <w:noProof/>
        </w:rPr>
      </w:pPr>
      <w:r>
        <w:rPr>
          <w:noProof/>
        </w:rPr>
        <w:t>Šis sprendimas skirtas Ispanijos Karalystei ir Prancūzijos Respublikai</w:t>
      </w:r>
      <w:r>
        <w:t>.</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347, 2006 12 11, p. 1.</w:t>
      </w:r>
    </w:p>
  </w:footnote>
  <w:footnote w:id="2">
    <w:p>
      <w:pPr>
        <w:pStyle w:val="FootnoteText"/>
      </w:pPr>
      <w:r>
        <w:rPr>
          <w:rStyle w:val="FootnoteReference"/>
        </w:rPr>
        <w:footnoteRef/>
      </w:r>
      <w:r>
        <w:tab/>
        <w:t>2012 m. vasario 10 d. Tarybos įgyvendinimo sprendimas 2012/85/ES (OL L 41, 2012 2 15, p. 16).</w:t>
      </w:r>
    </w:p>
  </w:footnote>
  <w:footnote w:id="3">
    <w:p>
      <w:pPr>
        <w:pStyle w:val="FootnoteText"/>
      </w:pPr>
      <w:r>
        <w:rPr>
          <w:rStyle w:val="FootnoteReference"/>
        </w:rPr>
        <w:footnoteRef/>
      </w:r>
      <w:r>
        <w:tab/>
        <w:t>1995 m. kovo 30 d. Tarybos sprendimas 95/115/EB (OL L 80, 1995 4 8, p. 47); 1996 m. birželio 25 d. Tarybos sprendimas 96/402/EB (OL L 165, 1996 7 4, p. 35); 1995 m. spalio 23 d. Tarybos sprendimas 95/435/EB (OL L 257, 1995 10 27, p. 34); 2001 m. spalio 16 d. Tarybos sprendimas 2001/741/EB (OL L 278, 2001 10 23, p. 28) ir 2018 m. birželio 22 d. Tarybos įgyvendinimo sprendimas (ES) 2018/918 (OL L 163, 2018 6 28, p. 17).</w:t>
      </w:r>
    </w:p>
  </w:footnote>
  <w:footnote w:id="4">
    <w:p>
      <w:pPr>
        <w:pStyle w:val="FootnoteText"/>
      </w:pPr>
      <w:r>
        <w:rPr>
          <w:rStyle w:val="FootnoteReference"/>
        </w:rPr>
        <w:footnoteRef/>
      </w:r>
      <w:r>
        <w:tab/>
        <w:t>1997 m. kovo 17 d. Tarybos sprendimas 97/188/EB (OL L 80, 1997 3 21, p. 18); 1997 m. liepos 24 d. Tarybos sprendimas 97/511/EB (OL L 214, 1997 8 6, p. 39) ir 2001 m. spalio 16 d. Tarybos sprendimas 2001/742/EB (OL L 278, 2001 10 23, p. 30).</w:t>
      </w:r>
    </w:p>
  </w:footnote>
  <w:footnote w:id="5">
    <w:p>
      <w:pPr>
        <w:pStyle w:val="FootnoteText"/>
      </w:pPr>
      <w:r>
        <w:rPr>
          <w:rStyle w:val="FootnoteReference"/>
        </w:rPr>
        <w:footnoteRef/>
      </w:r>
      <w:r>
        <w:tab/>
        <w:t>2017 m. rugsėjo 25 d. Tarybos įgyvendinimo sprendimas (ES) 2017/1769 (OL L 250, 2017 9 28, p. 73).</w:t>
      </w:r>
    </w:p>
  </w:footnote>
  <w:footnote w:id="6">
    <w:p>
      <w:pPr>
        <w:pStyle w:val="FootnoteText"/>
      </w:pPr>
      <w:r>
        <w:rPr>
          <w:rStyle w:val="FootnoteReference"/>
        </w:rPr>
        <w:footnoteRef/>
      </w:r>
      <w:r>
        <w:tab/>
        <w:t>OL L 347, 2006 12 11,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5E70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12F6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508B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187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20B9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267B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9A0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0A225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06 18:57: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064731-EB4A-4F41-B931-3B3234135922"/>
    <w:docVar w:name="LW_COVERPAGE_TYPE" w:val="1"/>
    <w:docVar w:name="LW_CROSSREFERENCE" w:val="&lt;UNUSED&gt;"/>
    <w:docVar w:name="LW_DocType" w:val="COM"/>
    <w:docVar w:name="LW_EMISSION" w:val="2019 11 13"/>
    <w:docVar w:name="LW_EMISSION_ISODATE" w:val="2019-11-13"/>
    <w:docVar w:name="LW_EMISSION_LOCATION" w:val="BRX"/>
    <w:docVar w:name="LW_EMISSION_PREFIX" w:val="Briuseli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56"/>
    <w:docVar w:name="LW_REF.II.NEW.CP_YEAR" w:val="2019"/>
    <w:docVar w:name="LW_REF.INST.NEW" w:val="COM"/>
    <w:docVar w:name="LW_REF.INST.NEW_ADOPTED" w:val="final"/>
    <w:docVar w:name="LW_REF.INST.NEW_TEXT" w:val="(2019) 5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Ispanijai ir Pranc\u363?zijai leid\u382?iama taikyti speciali\u261? priemon\u281?, kuria nukrypstama nuo Direktyvos 2006/112/EB d\u279?l prid\u279?tin\u279?s vert\u279?s mokes\u269?io bendros sistemos 5 straipsnio"/>
    <w:docVar w:name="LW_TYPE.DOC.CP" w:val="TARYBOS \u302?GYVENDINIMO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B1E3C24-65D7-41D2-9090-5A01D8DF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1521</Words>
  <Characters>10514</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2019-10-31T14:57:00Z</dcterms:created>
  <dcterms:modified xsi:type="dcterms:W3CDTF">2019-11-06T17:57:00Z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6.0.1, Build 20180503</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