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78CFB63-BCC3-4F1D-BE30-81CD79B870C2" style="width:450.8pt;height:433.9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u w:color="000000"/>
          <w:bdr w:val="nil"/>
        </w:rPr>
        <w:t>•</w:t>
      </w:r>
      <w:r>
        <w:rPr>
          <w:noProof/>
          <w:u w:color="000000"/>
          <w:bdr w:val="nil"/>
        </w:rPr>
        <w:tab/>
      </w:r>
      <w:r>
        <w:rPr>
          <w:noProof/>
        </w:rPr>
        <w:t>Motivele și obiectivele propunerii</w:t>
      </w:r>
    </w:p>
    <w:p>
      <w:pPr>
        <w:pBdr>
          <w:top w:val="nil"/>
          <w:left w:val="nil"/>
          <w:bottom w:val="nil"/>
          <w:right w:val="nil"/>
          <w:between w:val="nil"/>
          <w:bar w:val="nil"/>
        </w:pBdr>
        <w:spacing w:before="0" w:after="240"/>
        <w:rPr>
          <w:noProof/>
        </w:rPr>
      </w:pPr>
      <w:r>
        <w:rPr>
          <w:noProof/>
        </w:rPr>
        <w:t>În temeiul articolului 6 alineatul (2) din Actul de aderare, Croația s-a angajat să adere la acordurile încheiate sau semnate de Uniune și de statele membre cu țări terțe. Printre aceste acorduri se numără Acordul privind transportul aerian între Statele Unite ale Americii și Comunitatea Europeană și statele membre ale acesteia (denumit în continuare „ATA UE-SUA”).</w:t>
      </w:r>
    </w:p>
    <w:p>
      <w:pPr>
        <w:pBdr>
          <w:top w:val="nil"/>
          <w:left w:val="nil"/>
          <w:bottom w:val="nil"/>
          <w:right w:val="nil"/>
          <w:between w:val="nil"/>
          <w:bar w:val="nil"/>
        </w:pBdr>
        <w:spacing w:before="0" w:after="240"/>
        <w:rPr>
          <w:noProof/>
        </w:rPr>
      </w:pPr>
      <w:r>
        <w:rPr>
          <w:noProof/>
        </w:rPr>
        <w:t>Această dispoziție prevede, de asemenea, că aderarea Croației la aceste acorduri se aprobă prin încheierea unui protocol la acorduri între Consiliu, hotărând în unanimitate în numele statelor membre, și țările terțe în cauză. În plus, Comisia negociază protocoalele respective în numele statelor membre.</w:t>
      </w:r>
    </w:p>
    <w:p>
      <w:pPr>
        <w:pBdr>
          <w:top w:val="nil"/>
          <w:left w:val="nil"/>
          <w:bottom w:val="nil"/>
          <w:right w:val="nil"/>
          <w:between w:val="nil"/>
          <w:bar w:val="nil"/>
        </w:pBdr>
        <w:spacing w:before="0" w:after="240"/>
        <w:rPr>
          <w:noProof/>
        </w:rPr>
      </w:pPr>
      <w:r>
        <w:rPr>
          <w:noProof/>
        </w:rPr>
        <w:t>În consecință, Comisia a negociat un protocol de modificare a ATA UE-SUA pentru a prevedea aderarea Croației la respectivul acord.</w:t>
      </w:r>
    </w:p>
    <w:p>
      <w:pPr>
        <w:pBdr>
          <w:top w:val="nil"/>
          <w:left w:val="nil"/>
          <w:bottom w:val="nil"/>
          <w:right w:val="nil"/>
          <w:between w:val="nil"/>
          <w:bar w:val="nil"/>
        </w:pBdr>
        <w:spacing w:before="0" w:after="240"/>
        <w:rPr>
          <w:noProof/>
        </w:rPr>
      </w:pPr>
      <w:r>
        <w:rPr>
          <w:noProof/>
        </w:rPr>
        <w:t xml:space="preserve">Obiectivul prezentei propuneri este de a obține o decizie a Consiliului, întemeiată pe articolul 218 alineatul (5) din Tratatul privind funcționarea Uniunii Europene („TFUE”) și pe articolul 6 alineatul (2) din Actul de aderare, de autorizare a semnării protocolului în numele Uniunii și al statelor membre și a aplicării sale cu titlu provizoriu de către acestea, în conformitate cu articolul 4 din protocol, sub rezerva încheierii sale la o dată ulterioară. </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Contextul general</w:t>
      </w:r>
    </w:p>
    <w:p>
      <w:pPr>
        <w:rPr>
          <w:noProof/>
        </w:rPr>
      </w:pPr>
      <w:r>
        <w:rPr>
          <w:noProof/>
        </w:rPr>
        <w:t>Angajamentul asumat de Croația în temeiul articolului 6 alineatul (2) din Actul de aderare se aplică, de asemenea, Acordului privind transportul aerian dintre Statele Unite ale Americii, Uniunea Europeană și statele membre ale acesteia, Islanda și Regatul Norvegiei, care extinde domeniul de aplicare al ATA UE-SUA la aceste din urmă țări, și Acordului auxiliar între Uniunea Europeană și statele membre ale acesteia, Islanda și Norvegia, care reglementează relația dintre aceste părți în temeiul acordului sus-menționat.</w:t>
      </w:r>
    </w:p>
    <w:p>
      <w:pPr>
        <w:rPr>
          <w:noProof/>
        </w:rPr>
      </w:pPr>
      <w:r>
        <w:rPr>
          <w:noProof/>
        </w:rPr>
        <w:t xml:space="preserve">În consecință, Comisia a negociat de asemenea protocoale de modificare a acordurilor respective pentru a prevedea aderarea Croației la acestea. Propunerile de decizii ale Consiliului privind semnarea și aplicarea provizorie, precum și încheierea acestor protocoale sunt prezentate în paralel cu prezenta propunere, la fel ca și propunerea de decizie a Consiliului privind încheierea protocolului de modificare a ATA UE-SUA. </w:t>
      </w:r>
    </w:p>
    <w:p>
      <w:pPr>
        <w:rPr>
          <w:noProof/>
        </w:rPr>
      </w:pP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Coerența cu dispozițiile existente în domeniul de politică</w:t>
      </w:r>
    </w:p>
    <w:p>
      <w:pPr>
        <w:spacing w:before="100" w:beforeAutospacing="1" w:after="100" w:afterAutospacing="1"/>
        <w:rPr>
          <w:noProof/>
        </w:rPr>
      </w:pPr>
      <w:r>
        <w:rPr>
          <w:noProof/>
        </w:rPr>
        <w:t>ATA UE-SUA a fost primul acord cuprinzător privind transportul aerian cu un partener-cheie al Uniunii în domeniul aviației. El este cel mai important acord de transport aerian din lume, asigurând peste 80 de milioane de locuri pe an și, ca atare, reprezintă piatra de temelie a politicii externe a Uniunii în domeniul aviației. Protocolul va permite Croației să beneficieze de ATA UE-SUA.</w:t>
      </w:r>
    </w:p>
    <w:p>
      <w:pPr>
        <w:pStyle w:val="ManualHeading2"/>
        <w:rPr>
          <w:rFonts w:eastAsia="Arial Unicode MS"/>
          <w:noProof/>
        </w:rPr>
      </w:pPr>
      <w:r>
        <w:rPr>
          <w:noProof/>
          <w:u w:color="000000"/>
          <w:bdr w:val="nil"/>
        </w:rPr>
        <w:lastRenderedPageBreak/>
        <w:t>•</w:t>
      </w:r>
      <w:r>
        <w:rPr>
          <w:noProof/>
          <w:u w:color="000000"/>
          <w:bdr w:val="nil"/>
        </w:rPr>
        <w:tab/>
      </w:r>
      <w:r>
        <w:rPr>
          <w:noProof/>
        </w:rPr>
        <w:t>Coerența cu dispozițiile existente în domeniul propunerii</w:t>
      </w:r>
    </w:p>
    <w:p>
      <w:pPr>
        <w:spacing w:before="100" w:beforeAutospacing="1" w:after="100" w:afterAutospacing="1"/>
        <w:rPr>
          <w:noProof/>
        </w:rPr>
      </w:pPr>
      <w:r>
        <w:rPr>
          <w:noProof/>
        </w:rPr>
        <w:t xml:space="preserve">Protocolul permite Croației să își îndeplinească obligația care îi revine în temeiul articolului 6 alineatul (2) din Actul de aderare de a adera la ATA UE-SUA. </w:t>
      </w:r>
    </w:p>
    <w:p>
      <w:pPr>
        <w:pStyle w:val="ManualHeading1"/>
        <w:rPr>
          <w:noProof/>
        </w:rPr>
      </w:pPr>
      <w:r>
        <w:rPr>
          <w:noProof/>
        </w:rPr>
        <w:t>2.</w:t>
      </w:r>
      <w:r>
        <w:rPr>
          <w:noProof/>
        </w:rPr>
        <w:tab/>
        <w:t>TEMEI JURIDIC, SUBSIDIARITATE ȘI PROPORȚIONALITATE</w:t>
      </w:r>
    </w:p>
    <w:p>
      <w:pPr>
        <w:pStyle w:val="ManualHeading2"/>
        <w:rPr>
          <w:rFonts w:eastAsia="Arial Unicode MS"/>
          <w:noProof/>
          <w:u w:color="000000"/>
          <w:bdr w:val="nil"/>
        </w:rPr>
      </w:pPr>
      <w:r>
        <w:rPr>
          <w:noProof/>
          <w:u w:color="000000"/>
          <w:bdr w:val="nil"/>
        </w:rPr>
        <w:t>•</w:t>
      </w:r>
      <w:r>
        <w:rPr>
          <w:noProof/>
          <w:u w:color="000000"/>
          <w:bdr w:val="nil"/>
        </w:rPr>
        <w:tab/>
        <w:t>Temei juridic</w:t>
      </w:r>
    </w:p>
    <w:p>
      <w:pPr>
        <w:pStyle w:val="ListParagraph"/>
        <w:autoSpaceDE w:val="0"/>
        <w:autoSpaceDN w:val="0"/>
        <w:adjustRightInd w:val="0"/>
        <w:ind w:left="0"/>
        <w:jc w:val="both"/>
        <w:rPr>
          <w:rFonts w:ascii="Times New Roman" w:hAnsi="Times New Roman"/>
          <w:noProof/>
          <w:color w:val="000000" w:themeColor="text1"/>
          <w:sz w:val="28"/>
          <w:szCs w:val="24"/>
        </w:rPr>
      </w:pPr>
      <w:r>
        <w:rPr>
          <w:rFonts w:ascii="Times New Roman" w:hAnsi="Times New Roman"/>
          <w:noProof/>
          <w:sz w:val="24"/>
        </w:rPr>
        <w:t xml:space="preserve">Articolul 100 alineatul (2) coroborat cu articolul 218 alineatul (5) din TFUE și articolul 6 alineatul (2) al doilea paragraf din Actul de aderare. </w:t>
      </w:r>
    </w:p>
    <w:p>
      <w:pPr>
        <w:pStyle w:val="ManualHeading2"/>
        <w:rPr>
          <w:rFonts w:eastAsia="Arial Unicode MS"/>
          <w:noProof/>
          <w:u w:color="000000"/>
          <w:bdr w:val="nil"/>
        </w:rPr>
      </w:pPr>
      <w:r>
        <w:rPr>
          <w:noProof/>
          <w:u w:color="000000"/>
          <w:bdr w:val="nil"/>
        </w:rPr>
        <w:t>•</w:t>
      </w:r>
      <w:r>
        <w:rPr>
          <w:noProof/>
          <w:u w:color="000000"/>
          <w:bdr w:val="nil"/>
        </w:rPr>
        <w:tab/>
        <w:t xml:space="preserve">Subsidiaritate (în cazul competențelor neexclusive) </w:t>
      </w:r>
    </w:p>
    <w:p>
      <w:pPr>
        <w:pStyle w:val="Text1"/>
        <w:spacing w:before="100" w:beforeAutospacing="1" w:after="100" w:afterAutospacing="1"/>
        <w:ind w:left="0"/>
        <w:rPr>
          <w:noProof/>
        </w:rPr>
      </w:pPr>
      <w:r>
        <w:rPr>
          <w:noProof/>
        </w:rPr>
        <w:t xml:space="preserve"> Protocolul va permite Croației să beneficieze de ATA UE-SUA, care creează condiții egale și uniforme pentru accesul pe piață și servește drept bază pentru noi modalități de cooperare și de convergență în materie de reglementare în domenii esențiale pentru operarea în condiții de eficiență, siguranță și securitate a serviciilor aeriene. Aceste modalități pot fi convenite numai la nivelul Uniunii.</w:t>
      </w:r>
    </w:p>
    <w:p>
      <w:pPr>
        <w:pStyle w:val="ManualHeading2"/>
        <w:rPr>
          <w:rFonts w:eastAsia="Arial Unicode MS"/>
          <w:noProof/>
          <w:u w:color="000000"/>
          <w:bdr w:val="nil"/>
        </w:rPr>
      </w:pPr>
      <w:r>
        <w:rPr>
          <w:noProof/>
          <w:u w:color="000000"/>
          <w:bdr w:val="nil"/>
        </w:rPr>
        <w:t>•</w:t>
      </w:r>
      <w:r>
        <w:rPr>
          <w:noProof/>
          <w:u w:color="000000"/>
          <w:bdr w:val="nil"/>
        </w:rPr>
        <w:tab/>
        <w:t>Proporționalitate</w:t>
      </w:r>
    </w:p>
    <w:p>
      <w:pPr>
        <w:pBdr>
          <w:top w:val="nil"/>
          <w:left w:val="nil"/>
          <w:bottom w:val="nil"/>
          <w:right w:val="nil"/>
          <w:between w:val="nil"/>
          <w:bar w:val="nil"/>
        </w:pBdr>
        <w:spacing w:before="100" w:beforeAutospacing="1" w:after="100" w:afterAutospacing="1"/>
        <w:rPr>
          <w:noProof/>
          <w:color w:val="000000"/>
          <w:szCs w:val="24"/>
        </w:rPr>
      </w:pPr>
      <w:r>
        <w:rPr>
          <w:noProof/>
        </w:rPr>
        <w:t xml:space="preserve">Protocolul se limitează la chestiunea aflată în discuție, și anume aderarea Croației la ATA UE-SUA, și nu abordează alte probleme. </w:t>
      </w:r>
    </w:p>
    <w:p>
      <w:pPr>
        <w:pStyle w:val="ManualHeading2"/>
        <w:rPr>
          <w:rFonts w:eastAsia="Arial Unicode MS"/>
          <w:noProof/>
          <w:u w:color="000000"/>
          <w:bdr w:val="nil"/>
        </w:rPr>
      </w:pPr>
      <w:r>
        <w:rPr>
          <w:noProof/>
          <w:u w:color="000000"/>
          <w:bdr w:val="nil"/>
        </w:rPr>
        <w:t>•</w:t>
      </w:r>
      <w:r>
        <w:rPr>
          <w:noProof/>
          <w:u w:color="000000"/>
          <w:bdr w:val="nil"/>
        </w:rPr>
        <w:tab/>
        <w:t>Alegerea instrumentului</w:t>
      </w:r>
    </w:p>
    <w:p>
      <w:pPr>
        <w:pBdr>
          <w:top w:val="nil"/>
          <w:left w:val="nil"/>
          <w:bottom w:val="nil"/>
          <w:right w:val="nil"/>
          <w:between w:val="nil"/>
          <w:bar w:val="nil"/>
        </w:pBdr>
        <w:spacing w:before="0" w:after="240"/>
        <w:rPr>
          <w:rFonts w:eastAsia="Arial Unicode MS"/>
          <w:noProof/>
          <w:color w:val="000000" w:themeColor="text1"/>
          <w:szCs w:val="24"/>
        </w:rPr>
      </w:pPr>
      <w:r>
        <w:rPr>
          <w:noProof/>
        </w:rPr>
        <w:t>Acord internațional.</w:t>
      </w:r>
    </w:p>
    <w:p>
      <w:pPr>
        <w:pStyle w:val="ManualHeading1"/>
        <w:rPr>
          <w:noProof/>
        </w:rPr>
      </w:pPr>
      <w:r>
        <w:rPr>
          <w:noProof/>
        </w:rPr>
        <w:t>3.</w:t>
      </w:r>
      <w:r>
        <w:rPr>
          <w:noProof/>
        </w:rPr>
        <w:tab/>
        <w:t>REZULTATELE EVALUĂRILOR EX POST, ALE CONSULTĂRILOR CU PĂRȚILE INTERESATE ȘI ALE EVALUĂRILOR IMPACTULUI</w:t>
      </w:r>
    </w:p>
    <w:p>
      <w:pPr>
        <w:pStyle w:val="ManualHeading2"/>
        <w:spacing w:before="100" w:beforeAutospacing="1" w:after="100" w:afterAutospacing="1"/>
        <w:rPr>
          <w:rFonts w:eastAsia="Arial Unicode MS"/>
          <w:noProof/>
          <w:u w:color="000000"/>
          <w:bdr w:val="nil"/>
        </w:rPr>
      </w:pPr>
      <w:r>
        <w:rPr>
          <w:noProof/>
          <w:u w:color="000000"/>
          <w:bdr w:val="nil"/>
        </w:rPr>
        <w:t>•</w:t>
      </w:r>
      <w:r>
        <w:rPr>
          <w:noProof/>
          <w:u w:color="000000"/>
          <w:bdr w:val="nil"/>
        </w:rPr>
        <w:tab/>
        <w:t>Evaluări ex post/verificări ale adecvării legislației existente</w:t>
      </w:r>
    </w:p>
    <w:p>
      <w:pPr>
        <w:pBdr>
          <w:top w:val="nil"/>
          <w:left w:val="nil"/>
          <w:bottom w:val="nil"/>
          <w:right w:val="nil"/>
          <w:between w:val="nil"/>
          <w:bar w:val="nil"/>
        </w:pBdr>
        <w:spacing w:before="100" w:beforeAutospacing="1" w:after="100" w:afterAutospacing="1"/>
        <w:rPr>
          <w:noProof/>
        </w:rPr>
      </w:pPr>
      <w:r>
        <w:rPr>
          <w:noProof/>
        </w:rPr>
        <w:t>Nu se aplică.</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Consultări cu părțile interesate</w:t>
      </w:r>
    </w:p>
    <w:p>
      <w:pPr>
        <w:pBdr>
          <w:top w:val="nil"/>
          <w:left w:val="nil"/>
          <w:bottom w:val="nil"/>
          <w:right w:val="nil"/>
          <w:between w:val="nil"/>
          <w:bar w:val="nil"/>
        </w:pBdr>
        <w:spacing w:before="100" w:beforeAutospacing="1" w:after="100" w:afterAutospacing="1"/>
        <w:rPr>
          <w:noProof/>
        </w:rPr>
      </w:pPr>
      <w:r>
        <w:rPr>
          <w:noProof/>
        </w:rPr>
        <w:t>Nu se aplică.</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Obținerea și utilizarea expertizei</w:t>
      </w:r>
    </w:p>
    <w:p>
      <w:pPr>
        <w:pBdr>
          <w:top w:val="nil"/>
          <w:left w:val="nil"/>
          <w:bottom w:val="nil"/>
          <w:right w:val="nil"/>
          <w:between w:val="nil"/>
          <w:bar w:val="nil"/>
        </w:pBdr>
        <w:spacing w:before="100" w:beforeAutospacing="1" w:after="100" w:afterAutospacing="1"/>
        <w:rPr>
          <w:noProof/>
        </w:rPr>
      </w:pPr>
      <w:r>
        <w:rPr>
          <w:noProof/>
        </w:rPr>
        <w:t>Nu se aplică.</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Evaluarea impactului</w:t>
      </w:r>
    </w:p>
    <w:p>
      <w:pPr>
        <w:pBdr>
          <w:top w:val="nil"/>
          <w:left w:val="nil"/>
          <w:bottom w:val="nil"/>
          <w:right w:val="nil"/>
          <w:between w:val="nil"/>
          <w:bar w:val="nil"/>
        </w:pBdr>
        <w:spacing w:before="100" w:beforeAutospacing="1" w:after="100" w:afterAutospacing="1"/>
        <w:rPr>
          <w:noProof/>
        </w:rPr>
      </w:pPr>
      <w:r>
        <w:rPr>
          <w:noProof/>
        </w:rPr>
        <w:t>Nu se aplică.</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Adecvarea reglementărilor și simplificarea</w:t>
      </w:r>
    </w:p>
    <w:p>
      <w:pPr>
        <w:pBdr>
          <w:top w:val="nil"/>
          <w:left w:val="nil"/>
          <w:bottom w:val="nil"/>
          <w:right w:val="nil"/>
          <w:between w:val="nil"/>
          <w:bar w:val="nil"/>
        </w:pBdr>
        <w:spacing w:before="100" w:beforeAutospacing="1" w:after="100" w:afterAutospacing="1"/>
        <w:rPr>
          <w:noProof/>
        </w:rPr>
      </w:pPr>
      <w:r>
        <w:rPr>
          <w:noProof/>
        </w:rPr>
        <w:t>Nu se aplică.</w:t>
      </w:r>
    </w:p>
    <w:p>
      <w:pPr>
        <w:pStyle w:val="ManualHeading2"/>
        <w:spacing w:before="100" w:beforeAutospacing="1" w:after="100" w:afterAutospacing="1"/>
        <w:rPr>
          <w:rFonts w:eastAsia="Arial Unicode MS"/>
          <w:noProof/>
          <w:color w:val="000000"/>
          <w:u w:color="000000"/>
          <w:bdr w:val="nil"/>
        </w:rPr>
      </w:pPr>
      <w:r>
        <w:rPr>
          <w:noProof/>
          <w:u w:color="000000"/>
          <w:bdr w:val="nil"/>
        </w:rPr>
        <w:lastRenderedPageBreak/>
        <w:t>•</w:t>
      </w:r>
      <w:r>
        <w:rPr>
          <w:noProof/>
          <w:u w:color="000000"/>
          <w:bdr w:val="nil"/>
        </w:rPr>
        <w:tab/>
        <w:t>Drepturi fundamentale</w:t>
      </w:r>
    </w:p>
    <w:p>
      <w:pPr>
        <w:pBdr>
          <w:top w:val="nil"/>
          <w:left w:val="nil"/>
          <w:bottom w:val="nil"/>
          <w:right w:val="nil"/>
          <w:between w:val="nil"/>
          <w:bar w:val="nil"/>
        </w:pBdr>
        <w:spacing w:before="100" w:beforeAutospacing="1" w:after="100" w:afterAutospacing="1"/>
        <w:rPr>
          <w:noProof/>
        </w:rPr>
      </w:pPr>
      <w:r>
        <w:rPr>
          <w:noProof/>
        </w:rPr>
        <w:t>Nu se aplică.</w:t>
      </w:r>
    </w:p>
    <w:p>
      <w:pPr>
        <w:pStyle w:val="ManualHeading2"/>
        <w:rPr>
          <w:noProof/>
        </w:rPr>
      </w:pPr>
      <w:r>
        <w:rPr>
          <w:noProof/>
        </w:rPr>
        <w:t>4.</w:t>
      </w:r>
      <w:r>
        <w:rPr>
          <w:noProof/>
        </w:rPr>
        <w:tab/>
        <w:t>IMPLICAȚII BUGETARE</w:t>
      </w:r>
    </w:p>
    <w:p>
      <w:pPr>
        <w:pBdr>
          <w:top w:val="nil"/>
          <w:left w:val="nil"/>
          <w:bottom w:val="nil"/>
          <w:right w:val="nil"/>
          <w:between w:val="nil"/>
          <w:bar w:val="nil"/>
        </w:pBdr>
        <w:spacing w:before="100" w:beforeAutospacing="1" w:after="100" w:afterAutospacing="1"/>
        <w:rPr>
          <w:noProof/>
        </w:rPr>
      </w:pPr>
      <w:r>
        <w:rPr>
          <w:noProof/>
        </w:rPr>
        <w:t>Propunerea nu are implicații asupra bugetului Uniunii.</w:t>
      </w:r>
    </w:p>
    <w:p>
      <w:pPr>
        <w:pStyle w:val="ManualHeading1"/>
        <w:rPr>
          <w:noProof/>
        </w:rPr>
      </w:pPr>
      <w:r>
        <w:rPr>
          <w:noProof/>
        </w:rPr>
        <w:t>5.</w:t>
      </w:r>
      <w:r>
        <w:rPr>
          <w:noProof/>
        </w:rPr>
        <w:tab/>
        <w:t>ALTE ELEMENTE</w:t>
      </w:r>
    </w:p>
    <w:p>
      <w:pPr>
        <w:pStyle w:val="ManualHeading2"/>
        <w:spacing w:before="100" w:beforeAutospacing="1" w:after="100" w:afterAutospacing="1"/>
        <w:rPr>
          <w:rFonts w:eastAsia="Arial Unicode MS"/>
          <w:noProof/>
          <w:u w:color="000000"/>
          <w:bdr w:val="nil"/>
        </w:rPr>
      </w:pPr>
      <w:r>
        <w:rPr>
          <w:noProof/>
          <w:u w:color="000000"/>
          <w:bdr w:val="nil"/>
        </w:rPr>
        <w:t>•</w:t>
      </w:r>
      <w:r>
        <w:rPr>
          <w:noProof/>
          <w:u w:color="000000"/>
          <w:bdr w:val="nil"/>
        </w:rPr>
        <w:tab/>
        <w:t xml:space="preserve">Rezumatul acordului propus </w:t>
      </w:r>
    </w:p>
    <w:p>
      <w:pPr>
        <w:pBdr>
          <w:top w:val="nil"/>
          <w:left w:val="nil"/>
          <w:bottom w:val="nil"/>
          <w:right w:val="nil"/>
          <w:between w:val="nil"/>
          <w:bar w:val="nil"/>
        </w:pBdr>
        <w:spacing w:before="100" w:beforeAutospacing="1" w:after="100" w:afterAutospacing="1"/>
        <w:rPr>
          <w:noProof/>
        </w:rPr>
      </w:pPr>
      <w:r>
        <w:rPr>
          <w:noProof/>
        </w:rPr>
        <w:t>Protocolul este alcătuit dintr-un text principal care prevede aderarea Croației la ATA UE-SUA și modificările corespunzătoare ale acestui acord și dintr-o declarație comună privind autentificarea versiunilor lingvistice suplimentare.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2019/0257 (NLE)</w:t>
      </w:r>
    </w:p>
    <w:p>
      <w:pPr>
        <w:pStyle w:val="Statut"/>
        <w:rPr>
          <w:noProof/>
        </w:rPr>
      </w:pPr>
      <w:r>
        <w:rPr>
          <w:noProof/>
        </w:rPr>
        <w:t>Propunere de</w:t>
      </w:r>
    </w:p>
    <w:p>
      <w:pPr>
        <w:pStyle w:val="Typedudocument"/>
        <w:rPr>
          <w:noProof/>
        </w:rPr>
      </w:pPr>
      <w:r>
        <w:rPr>
          <w:noProof/>
        </w:rPr>
        <w:t>DECIZIE A CONSILIULUI</w:t>
      </w:r>
    </w:p>
    <w:p>
      <w:pPr>
        <w:pStyle w:val="Titreobjet"/>
        <w:rPr>
          <w:noProof/>
        </w:rPr>
      </w:pPr>
      <w:r>
        <w:rPr>
          <w:noProof/>
        </w:rPr>
        <w:t>privind semnarea, în numele Uniunii Europene și al statelor membre ale acesteia, a Protocolului de modificare a Acordului privind transportul aerian între Statele Unite ale Americii și Comunitatea Europeană și statele membre ale acesteia, semnat la 25 și 30 aprilie 2007, astfel cum a fost modificat prin Protocolul de modificare a Acordului privind transportul aerian între Statele Unite ale Americii și Comunitatea Europeană și statele membre ale acesteia, semnat la 25 și 30 aprilie 2007, semnat de Statele Unite ale Americii și de Uniunea Europeană și statele membre ale acesteia la 24 iunie 2010, pentru a se ține seama de aderarea Republicii Croația la Uniunea Europeană</w:t>
      </w:r>
    </w:p>
    <w:p>
      <w:pPr>
        <w:pStyle w:val="Institutionquiagit"/>
        <w:rPr>
          <w:noProof/>
        </w:rPr>
      </w:pPr>
      <w:r>
        <w:rPr>
          <w:noProof/>
        </w:rPr>
        <w:t>CONSILIUL UNIUNII EUROPENE,</w:t>
      </w:r>
    </w:p>
    <w:p>
      <w:pPr>
        <w:rPr>
          <w:noProof/>
        </w:rPr>
      </w:pPr>
      <w:r>
        <w:rPr>
          <w:noProof/>
        </w:rPr>
        <w:t>având în vedere Tratatul privind funcționarea Uniunii Europene, în special articolul 100 alineatul (2), coroborat cu articolul 218 alineatul (5),</w:t>
      </w:r>
    </w:p>
    <w:p>
      <w:pPr>
        <w:rPr>
          <w:noProof/>
        </w:rPr>
      </w:pPr>
      <w:r>
        <w:rPr>
          <w:noProof/>
        </w:rPr>
        <w:t>având în vedere Actul de aderare a Croației, în special articolul 6 alineatul (2) al doilea paragraf,</w:t>
      </w:r>
    </w:p>
    <w:p>
      <w:pPr>
        <w:rPr>
          <w:noProof/>
        </w:rPr>
      </w:pPr>
      <w:r>
        <w:rPr>
          <w:noProof/>
        </w:rPr>
        <w:t>având în vedere propunerea Comisiei Europene,</w:t>
      </w:r>
    </w:p>
    <w:p>
      <w:pPr>
        <w:rPr>
          <w:noProof/>
        </w:rPr>
      </w:pPr>
      <w:r>
        <w:rPr>
          <w:noProof/>
        </w:rPr>
        <w:t>întrucât:</w:t>
      </w:r>
    </w:p>
    <w:p>
      <w:pPr>
        <w:pStyle w:val="ManualConsidrant"/>
        <w:rPr>
          <w:noProof/>
        </w:rPr>
      </w:pPr>
      <w:r>
        <w:t>(1)</w:t>
      </w:r>
      <w:r>
        <w:tab/>
      </w:r>
      <w:r>
        <w:rPr>
          <w:noProof/>
        </w:rPr>
        <w:t xml:space="preserve">Comisia a negociat un Protocol de modificare a Acordului privind transportul aerian între Statele Unite ale Americii și Comunitatea Europeană și statele membre ale acesteia, semnat la 25 și 30 aprilie 2007, astfel cum a fost modificat prin Protocolul de modificare a Acordului privind transportul aerian între Statele Unite ale Americii și Comunitatea Europeană și statele membre ale acesteia, semnat la 25 și 30 aprilie 2007, semnat de Statele Unite ale Americii și de Uniunea Europeană și statele membre ale acesteia la 24 iunie 2010, pentru a ține seama de aderarea Republicii Croația la Uniunea Europeană (denumit în continuare „protocolul”), în conformitate cu Decizia 13351/12 a Consiliului din 14 septembrie 2012 de autorizare a Comisiei în vederea începerii negocierilor. </w:t>
      </w:r>
    </w:p>
    <w:p>
      <w:pPr>
        <w:pStyle w:val="ManualConsidrant"/>
        <w:rPr>
          <w:noProof/>
        </w:rPr>
      </w:pPr>
      <w:r>
        <w:t>(2)</w:t>
      </w:r>
      <w:r>
        <w:tab/>
      </w:r>
      <w:r>
        <w:rPr>
          <w:noProof/>
        </w:rPr>
        <w:t>Negocierile au fost încheiate cu succes prin parafarea protocolului la data de 8 martie 2019.</w:t>
      </w:r>
    </w:p>
    <w:p>
      <w:pPr>
        <w:pStyle w:val="ManualConsidrant"/>
        <w:rPr>
          <w:noProof/>
        </w:rPr>
      </w:pPr>
      <w:r>
        <w:t>(3)</w:t>
      </w:r>
      <w:r>
        <w:tab/>
      </w:r>
      <w:r>
        <w:rPr>
          <w:noProof/>
        </w:rPr>
        <w:t>Protocolul trebuie semnat și aplicat cu titlu provizoriu de către Uniune și statele sale membre, în conformitate cu articolul 4, sub rezerva încheierii sale la o dată ulterioară,</w:t>
      </w:r>
    </w:p>
    <w:p>
      <w:pPr>
        <w:pStyle w:val="Formuledadoption"/>
        <w:rPr>
          <w:noProof/>
        </w:rPr>
      </w:pPr>
      <w:r>
        <w:rPr>
          <w:noProof/>
        </w:rPr>
        <w:t xml:space="preserve">ADOPTĂ PREZENTA DECIZIE: </w:t>
      </w:r>
    </w:p>
    <w:p>
      <w:pPr>
        <w:pStyle w:val="Titrearticle"/>
        <w:spacing w:before="120"/>
        <w:outlineLvl w:val="0"/>
        <w:rPr>
          <w:noProof/>
        </w:rPr>
      </w:pPr>
      <w:r>
        <w:rPr>
          <w:noProof/>
        </w:rPr>
        <w:t>Articolul 1</w:t>
      </w:r>
      <w:r>
        <w:rPr>
          <w:noProof/>
        </w:rPr>
        <w:br/>
      </w:r>
    </w:p>
    <w:p>
      <w:pPr>
        <w:rPr>
          <w:noProof/>
        </w:rPr>
      </w:pPr>
      <w:r>
        <w:rPr>
          <w:noProof/>
        </w:rPr>
        <w:t xml:space="preserve">Se autorizează semnarea, în numele Uniunii și al statelor sale membre, a Protocolului de modificare a Acordului privind transportul aerian între Statele Unite ale Americii și Comunitatea Europeană și statele membre ale acesteia, semnat la 25 și 30 aprilie 2007, astfel cum a fost modificat prin Protocolul de modificare a Acordului privind transportul aerian între Statele Unite ale Americii și Comunitatea Europeană și statele membre ale acesteia, semnat la </w:t>
      </w:r>
      <w:r>
        <w:rPr>
          <w:noProof/>
        </w:rPr>
        <w:lastRenderedPageBreak/>
        <w:t>25 și 30 aprilie 2007, semnat de Statele Unite ale Americii și de Uniunea Europeană și statele membre ale acesteia la 24 iunie 2010, pentru a se ține seama de aderarea Republicii Croația la Uniunea Europeană (denumit în continuare „protocolul”), sub rezerva încheierii respectivului protocol.</w:t>
      </w:r>
    </w:p>
    <w:p>
      <w:pPr>
        <w:rPr>
          <w:noProof/>
        </w:rPr>
      </w:pPr>
      <w:r>
        <w:rPr>
          <w:noProof/>
        </w:rPr>
        <w:t>Textul protocolului este atașat la prezenta decizie.</w:t>
      </w:r>
    </w:p>
    <w:p>
      <w:pPr>
        <w:pStyle w:val="Titrearticle"/>
        <w:rPr>
          <w:noProof/>
        </w:rPr>
      </w:pPr>
      <w:r>
        <w:rPr>
          <w:noProof/>
        </w:rPr>
        <w:t xml:space="preserve">Articolul 2 </w:t>
      </w:r>
    </w:p>
    <w:p>
      <w:pPr>
        <w:rPr>
          <w:noProof/>
        </w:rPr>
      </w:pPr>
      <w:r>
        <w:rPr>
          <w:noProof/>
        </w:rPr>
        <w:t>Președintele Consiliului este autorizat să desemneze persoana sau persoanele împuternicite să semneze protocolul în numele Uniunii și al statelor membre ale acesteia.</w:t>
      </w:r>
    </w:p>
    <w:p>
      <w:pPr>
        <w:pStyle w:val="Titrearticle"/>
        <w:spacing w:after="0"/>
        <w:rPr>
          <w:noProof/>
        </w:rPr>
      </w:pPr>
      <w:r>
        <w:rPr>
          <w:noProof/>
        </w:rPr>
        <w:t>Articolul 3</w:t>
      </w:r>
    </w:p>
    <w:p>
      <w:pPr>
        <w:rPr>
          <w:noProof/>
        </w:rPr>
      </w:pPr>
      <w:r>
        <w:rPr>
          <w:noProof/>
        </w:rPr>
        <w:t>Până la intrarea sa în vigoare, protocolul se aplică cu titlu provizoriu de către Uniune și statele sale membre în conformitate cu articolul 4 din protocol.</w:t>
      </w:r>
    </w:p>
    <w:p>
      <w:pPr>
        <w:pStyle w:val="Text1"/>
        <w:rPr>
          <w:noProof/>
        </w:rPr>
      </w:pPr>
    </w:p>
    <w:p>
      <w:pPr>
        <w:pStyle w:val="Titrearticle"/>
        <w:spacing w:before="120"/>
        <w:outlineLvl w:val="0"/>
        <w:rPr>
          <w:noProof/>
        </w:rPr>
      </w:pPr>
      <w:r>
        <w:rPr>
          <w:noProof/>
        </w:rPr>
        <w:t>Articolul 4</w:t>
      </w:r>
    </w:p>
    <w:p>
      <w:pPr>
        <w:rPr>
          <w:noProof/>
        </w:rPr>
      </w:pPr>
      <w:r>
        <w:rPr>
          <w:noProof/>
        </w:rPr>
        <w:t xml:space="preserve">Prezenta decizie intră în vigoare la data adoptării. </w:t>
      </w: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E0A61A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73A0FEE"/>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54E4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85AB6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81CBA6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190698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98E2FD0"/>
    <w:lvl w:ilvl="0">
      <w:start w:val="1"/>
      <w:numFmt w:val="decimal"/>
      <w:pStyle w:val="ListNumber"/>
      <w:lvlText w:val="%1."/>
      <w:lvlJc w:val="left"/>
      <w:pPr>
        <w:tabs>
          <w:tab w:val="num" w:pos="360"/>
        </w:tabs>
        <w:ind w:left="360" w:hanging="360"/>
      </w:pPr>
    </w:lvl>
  </w:abstractNum>
  <w:abstractNum w:abstractNumId="7">
    <w:nsid w:val="FFFFFF89"/>
    <w:multiLevelType w:val="singleLevel"/>
    <w:tmpl w:val="71AA0E8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1-07 12:07:2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478CFB63-BCC3-4F1D-BE30-81CD79B870C2"/>
    <w:docVar w:name="LW_COVERPAGE_TYPE" w:val="1"/>
    <w:docVar w:name="LW_CROSSREFERENCE" w:val="&lt;UNUSED&gt;"/>
    <w:docVar w:name="LW_DocType" w:val="COM"/>
    <w:docVar w:name="LW_EMISSION" w:val="14.11.2019"/>
    <w:docVar w:name="LW_EMISSION_ISODATE" w:val="2019-11-14"/>
    <w:docVar w:name="LW_EMISSION_LOCATION" w:val="BRX"/>
    <w:docVar w:name="LW_EMISSION_PREFIX" w:val="Bruxelles,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257"/>
    <w:docVar w:name="LW_REF.II.NEW.CP_YEAR" w:val="2019"/>
    <w:docVar w:name="LW_REF.INST.NEW" w:val="COM"/>
    <w:docVar w:name="LW_REF.INST.NEW_ADOPTED" w:val="final"/>
    <w:docVar w:name="LW_REF.INST.NEW_TEXT" w:val="(2019) 5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privind semnarea, în numele Uniunii Europene \u537?i al statelor membre ale acesteia, a Protocolului de modificare a Acordului privind transportul aerian între Statele Unite ale Americii \u537?i Comunitatea European\u259? \u537?i statele membre ale acesteia, semnat la 25 \u537?i 30 aprilie 2007, astfel cum a fost modificat prin Protocolul de modificare a Acordului privind transportul aerian între Statele Unite ale Americii \u537?i Comunitatea European\u259? \u537?i statele membre ale acesteia, semnat la 25 \u537?i 30 aprilie 2007, semnat de Statele Unite ale Americii \u537?i de Uniunea European\u259? \u537?i statele membre ale acesteia la 24 iunie 2010, pentru a se \u539?ine seama de aderarea Republicii Croa\u539?ia la Uniunea European\u259?"/>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ListParagraph">
    <w:name w:val="List Paragraph"/>
    <w:basedOn w:val="Normal"/>
    <w:uiPriority w:val="34"/>
    <w:qFormat/>
    <w:pPr>
      <w:spacing w:before="0" w:after="0"/>
      <w:ind w:left="720"/>
      <w:jc w:val="left"/>
    </w:pPr>
    <w:rPr>
      <w:rFonts w:ascii="Calibri" w:eastAsia="Calibri" w:hAnsi="Calibr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ListParagraph">
    <w:name w:val="List Paragraph"/>
    <w:basedOn w:val="Normal"/>
    <w:uiPriority w:val="34"/>
    <w:qFormat/>
    <w:pPr>
      <w:spacing w:before="0" w:after="0"/>
      <w:ind w:left="720"/>
      <w:jc w:val="left"/>
    </w:pPr>
    <w:rPr>
      <w:rFonts w:ascii="Calibri" w:eastAsia="Calibri" w:hAnsi="Calibr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FAAFF-E6B4-4E8A-A461-47777D12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Pages>
  <Words>1184</Words>
  <Characters>6895</Characters>
  <Application>Microsoft Office Word</Application>
  <DocSecurity>0</DocSecurity>
  <Lines>137</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2019-05-14T14:03:00Z</cp:lastPrinted>
  <dcterms:created xsi:type="dcterms:W3CDTF">2019-10-03T13:24:00Z</dcterms:created>
  <dcterms:modified xsi:type="dcterms:W3CDTF">2019-11-07T11:07:00Z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