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2D9E0CF-BA07-4827-B225-8F9C47FC74D2" style="width:450.6pt;height:433.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u w:color="000000"/>
          <w:bdr w:val="nil"/>
        </w:rPr>
        <w:t>•</w:t>
      </w:r>
      <w:r>
        <w:rPr>
          <w:noProof/>
          <w:u w:color="000000"/>
          <w:bdr w:val="nil"/>
        </w:rPr>
        <w:tab/>
      </w:r>
      <w:r>
        <w:rPr>
          <w:noProof/>
        </w:rPr>
        <w:t>Priekšlikuma pamatojums un mērķi</w:t>
      </w:r>
    </w:p>
    <w:p>
      <w:pPr>
        <w:pBdr>
          <w:top w:val="nil"/>
          <w:left w:val="nil"/>
          <w:bottom w:val="nil"/>
          <w:right w:val="nil"/>
          <w:between w:val="nil"/>
          <w:bar w:val="nil"/>
        </w:pBdr>
        <w:spacing w:before="0" w:after="240"/>
        <w:rPr>
          <w:noProof/>
        </w:rPr>
      </w:pPr>
      <w:r>
        <w:rPr>
          <w:noProof/>
        </w:rPr>
        <w:t>Saskaņā ar pievienošanās akta 6. panta 2. punktu Horvātija ir apņēmusies pievienoties nolīgumiem, ko Savienība un dalībvalstis noslēgušas vai parakstījušas ar trešām valstīm. Starp šiem nolīgumiem ir Gaisa transporta nolīgums starp Amerikas Savienotajām Valstīm un Eiropas Kopienu un tās dalībvalstīm (“ES un ASV Gaisa transporta nolīgums”).</w:t>
      </w:r>
    </w:p>
    <w:p>
      <w:pPr>
        <w:pBdr>
          <w:top w:val="nil"/>
          <w:left w:val="nil"/>
          <w:bottom w:val="nil"/>
          <w:right w:val="nil"/>
          <w:between w:val="nil"/>
          <w:bar w:val="nil"/>
        </w:pBdr>
        <w:spacing w:before="0" w:after="240"/>
        <w:rPr>
          <w:noProof/>
        </w:rPr>
      </w:pPr>
      <w:r>
        <w:rPr>
          <w:noProof/>
        </w:rPr>
        <w:t>Minētais noteikums turklāt paredz, ka par Horvātijas pievienošanos šiem nolīgumiem vienojas, noslēdzot nolīguma protokolu starp Padomi, kas saskaņā ar vienprātīgu lēmumu rīkojas dalībvalstu vārdā, un attiecīgajām trešām valstīm. Turklāt Komisija dalībvalstu vārdā risina sarunas par minētajiem protokoliem.</w:t>
      </w:r>
    </w:p>
    <w:p>
      <w:pPr>
        <w:pBdr>
          <w:top w:val="nil"/>
          <w:left w:val="nil"/>
          <w:bottom w:val="nil"/>
          <w:right w:val="nil"/>
          <w:between w:val="nil"/>
          <w:bar w:val="nil"/>
        </w:pBdr>
        <w:spacing w:before="0" w:after="240"/>
        <w:rPr>
          <w:noProof/>
        </w:rPr>
      </w:pPr>
      <w:r>
        <w:rPr>
          <w:noProof/>
        </w:rPr>
        <w:t>Komisija ir attiecīgi risinājusi sarunas par protokolu, ar ko ES un ASV Gaisa transporta nolīgumu groza, lai nodrošinātu Horvātijas pievienošanos minētajam nolīgumam.</w:t>
      </w:r>
    </w:p>
    <w:p>
      <w:pPr>
        <w:pBdr>
          <w:top w:val="nil"/>
          <w:left w:val="nil"/>
          <w:bottom w:val="nil"/>
          <w:right w:val="nil"/>
          <w:between w:val="nil"/>
          <w:bar w:val="nil"/>
        </w:pBdr>
        <w:spacing w:before="0" w:after="240"/>
        <w:rPr>
          <w:noProof/>
        </w:rPr>
      </w:pPr>
      <w:r>
        <w:rPr>
          <w:noProof/>
        </w:rPr>
        <w:t xml:space="preserve">Šā priekšlikuma mērķis ir, pamatojoties uz Līguma par Eiropas Savienības darbību (“LESD”) 218. panta 5. punktu un pievienošanās akta 6. panta 2. punktu, pieņemt Padomes lēmumu, ar ko atļauj protokola parakstīšanu Savienības un dalībvalstu vārdā un tā provizorisku piemērošanu Savienībā un dalībvalstīs saskaņā ar tā 4. pantu, ņemot vērā tā noslēgšanu vēlāk.  </w:t>
      </w:r>
    </w:p>
    <w:p>
      <w:pPr>
        <w:pBdr>
          <w:top w:val="nil"/>
          <w:left w:val="nil"/>
          <w:bottom w:val="nil"/>
          <w:right w:val="nil"/>
          <w:between w:val="nil"/>
          <w:bar w:val="nil"/>
        </w:pBdr>
        <w:spacing w:before="0" w:after="240"/>
        <w:rPr>
          <w:noProof/>
        </w:rPr>
      </w:pPr>
      <w:r>
        <w:rPr>
          <w:noProof/>
        </w:rPr>
        <w:t xml:space="preserve"> </w:t>
      </w:r>
    </w:p>
    <w:p>
      <w:pPr>
        <w:pBdr>
          <w:top w:val="nil"/>
          <w:left w:val="nil"/>
          <w:bottom w:val="nil"/>
          <w:right w:val="nil"/>
          <w:between w:val="nil"/>
          <w:bar w:val="nil"/>
        </w:pBdr>
        <w:spacing w:before="0" w:after="240"/>
        <w:rPr>
          <w:noProof/>
          <w:color w:val="000000" w:themeColor="text1"/>
          <w:szCs w:val="24"/>
        </w:rPr>
      </w:pPr>
      <w:r>
        <w:rPr>
          <w:noProof/>
        </w:rPr>
        <w:t xml:space="preserve"> </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Vispārīgais konteksts</w:t>
      </w:r>
    </w:p>
    <w:p>
      <w:pPr>
        <w:rPr>
          <w:noProof/>
        </w:rPr>
      </w:pPr>
      <w:r>
        <w:rPr>
          <w:noProof/>
        </w:rPr>
        <w:t>Horvātijas apņemšanās saskaņā ar pievienošanās akta 6. panta 2. punktu attiecas arī uz Gaisa transporta nolīgumu starp Amerikas Savienotajām Valstīm, Eiropas Savienību un tās dalībvalstīm, Islandi un Norvēģiju, ar ko ES un ASV Gaisa transporta nolīguma darbības jomu paplašina, attiecinot to uz pēdējām minētajām valstīm, kā arī uz Papildnolīgumu starp Eiropas Savienību un tās dalībvalstīm, Islandi un Norvēģiju, ar ko reglamentē attiecības starp šīm pusēm saskaņā ar iepriekšminēto nolīgumu.</w:t>
      </w:r>
    </w:p>
    <w:p>
      <w:pPr>
        <w:rPr>
          <w:noProof/>
        </w:rPr>
      </w:pPr>
      <w:r>
        <w:rPr>
          <w:noProof/>
        </w:rPr>
        <w:t xml:space="preserve">Tāpēc Komisija ir risinājusi sarunas par protokoliem, ar ko groza arī minētos nolīgumus, lai nodrošinātu Horvātijas pievienošanos tiem. Priekšlikumi Padomes lēmumiem par minēto protokolu parakstīšanu un provizorisku piemērošanu, kā arī par minēto protokolu noslēgšanu ir iesniegti vienlaikus ar šo priekšlikumu, un vienlaikus ir iesniegts arī priekšlikums Padomes lēmumam par to, lai noslēgtu protokolu, ar ko groza ES un ASV Gaisa transporta nolīgumu. </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Saskanība ar esošajiem rīcībpolitikas noteikumiem konkrētajā rīcībpolitikas jomā</w:t>
      </w:r>
    </w:p>
    <w:p>
      <w:pPr>
        <w:spacing w:before="100" w:beforeAutospacing="1" w:after="100" w:afterAutospacing="1"/>
        <w:rPr>
          <w:noProof/>
        </w:rPr>
      </w:pPr>
      <w:r>
        <w:rPr>
          <w:noProof/>
        </w:rPr>
        <w:t>ES un ASV Gaisa transporta nolīgums bija pirmais visaptverošais gaisa transporta nolīgums ar galveno Savienības partneri aviācijas jomā. Tas ir visnozīmīgākais gaisa transporta nolīgums pasaulē, kas gadā nodrošina vairāk nekā 80 miljonus sēdvietu un tādējādi ir ES aviācijas ārpolitikas stūrakmens. Protokols Horvātijai dos iespēju gūt labumu no ES un ASV Gaisa transporta nolīguma.</w:t>
      </w:r>
    </w:p>
    <w:p>
      <w:pPr>
        <w:pStyle w:val="ManualHeading2"/>
        <w:rPr>
          <w:rFonts w:eastAsia="Arial Unicode MS"/>
          <w:noProof/>
        </w:rPr>
      </w:pPr>
      <w:r>
        <w:rPr>
          <w:noProof/>
          <w:u w:color="000000"/>
          <w:bdr w:val="nil"/>
        </w:rPr>
        <w:lastRenderedPageBreak/>
        <w:t>•</w:t>
      </w:r>
      <w:r>
        <w:rPr>
          <w:noProof/>
          <w:u w:color="000000"/>
          <w:bdr w:val="nil"/>
        </w:rPr>
        <w:tab/>
      </w:r>
      <w:r>
        <w:rPr>
          <w:noProof/>
        </w:rPr>
        <w:t>Saskanība ar esošajiem noteikumiem priekšlikuma jomā</w:t>
      </w:r>
    </w:p>
    <w:p>
      <w:pPr>
        <w:spacing w:before="100" w:beforeAutospacing="1" w:after="100" w:afterAutospacing="1"/>
        <w:rPr>
          <w:noProof/>
        </w:rPr>
      </w:pPr>
      <w:r>
        <w:rPr>
          <w:noProof/>
        </w:rPr>
        <w:t xml:space="preserve">Protokols ļauj Horvātijai izpildīt pievienošanās akta 6. panta 2. punktā noteikto pienākumu pievienoties ES un ASV Gaisa transporta nolīgumam.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u w:color="000000"/>
          <w:bdr w:val="nil"/>
        </w:rPr>
        <w:tab/>
        <w:t>Juridiskais pamats</w:t>
      </w:r>
    </w:p>
    <w:p>
      <w:pPr>
        <w:pStyle w:val="ListParagraph"/>
        <w:autoSpaceDE w:val="0"/>
        <w:autoSpaceDN w:val="0"/>
        <w:adjustRightInd w:val="0"/>
        <w:ind w:left="0"/>
        <w:jc w:val="both"/>
        <w:rPr>
          <w:rFonts w:ascii="Times New Roman" w:hAnsi="Times New Roman"/>
          <w:noProof/>
          <w:color w:val="000000" w:themeColor="text1"/>
          <w:sz w:val="24"/>
          <w:szCs w:val="24"/>
        </w:rPr>
      </w:pPr>
      <w:r>
        <w:rPr>
          <w:rFonts w:ascii="Times New Roman" w:hAnsi="Times New Roman"/>
          <w:noProof/>
          <w:sz w:val="24"/>
          <w:szCs w:val="24"/>
        </w:rPr>
        <w:t xml:space="preserve">LESD 100. panta 2. punkts sasaistē ar 218. panta 5. punktu un pievienošanās akta 6. panta 2. punkta otrā daļa. </w:t>
      </w:r>
    </w:p>
    <w:p>
      <w:pPr>
        <w:pStyle w:val="ManualHeading2"/>
        <w:rPr>
          <w:rFonts w:eastAsia="Arial Unicode MS"/>
          <w:noProof/>
          <w:u w:color="000000"/>
          <w:bdr w:val="nil"/>
        </w:rPr>
      </w:pPr>
      <w:r>
        <w:rPr>
          <w:noProof/>
          <w:u w:color="000000"/>
          <w:bdr w:val="nil"/>
        </w:rPr>
        <w:t>•</w:t>
      </w:r>
      <w:r>
        <w:rPr>
          <w:noProof/>
          <w:u w:color="000000"/>
          <w:bdr w:val="nil"/>
        </w:rPr>
        <w:tab/>
        <w:t xml:space="preserve">Subsidiaritāte (neekskluzīvas kompetences gadījumā) </w:t>
      </w:r>
    </w:p>
    <w:p>
      <w:pPr>
        <w:pStyle w:val="Text1"/>
        <w:spacing w:before="100" w:beforeAutospacing="1" w:after="100" w:afterAutospacing="1"/>
        <w:ind w:left="0"/>
        <w:rPr>
          <w:noProof/>
        </w:rPr>
      </w:pPr>
      <w:r>
        <w:rPr>
          <w:noProof/>
        </w:rPr>
        <w:t xml:space="preserve"> Protokols ļaus Horvātijai gūt labumu no ES un ASV Gaisa transporta nolīguma, kas rada līdztiesīgus un vienādus nosacījumus piekļuvei tirgum un ir pamats, uz kā balstās jaunas vienošanās par regulatīvo sadarbību un konverģenci jomās, kuras ir būtiskas drošai, neapdraudētai un efektīvai gaisa pārvadājumu veikšanai. Šīs vienošanās var panākt tikai Savienības līmenī.</w:t>
      </w:r>
    </w:p>
    <w:p>
      <w:pPr>
        <w:pStyle w:val="ManualHeading2"/>
        <w:rPr>
          <w:rFonts w:eastAsia="Arial Unicode MS"/>
          <w:noProof/>
          <w:u w:color="000000"/>
          <w:bdr w:val="nil"/>
        </w:rPr>
      </w:pPr>
      <w:r>
        <w:rPr>
          <w:noProof/>
          <w:u w:color="000000"/>
          <w:bdr w:val="nil"/>
        </w:rPr>
        <w:t>•</w:t>
      </w:r>
      <w:r>
        <w:rPr>
          <w:noProof/>
          <w:u w:color="000000"/>
          <w:bdr w:val="nil"/>
        </w:rPr>
        <w:tab/>
        <w:t>Proporcionalitāte</w:t>
      </w:r>
    </w:p>
    <w:p>
      <w:pPr>
        <w:pBdr>
          <w:top w:val="nil"/>
          <w:left w:val="nil"/>
          <w:bottom w:val="nil"/>
          <w:right w:val="nil"/>
          <w:between w:val="nil"/>
          <w:bar w:val="nil"/>
        </w:pBdr>
        <w:spacing w:before="100" w:beforeAutospacing="1" w:after="100" w:afterAutospacing="1"/>
        <w:rPr>
          <w:noProof/>
          <w:color w:val="000000"/>
          <w:szCs w:val="24"/>
        </w:rPr>
      </w:pPr>
      <w:r>
        <w:rPr>
          <w:noProof/>
        </w:rPr>
        <w:t xml:space="preserve">Protokols attiecas tikai uz konkrēto jautājumu, proti, Horvātijas pievienošanos ES un ASV Gaisa transporta nolīgumam, un neattiecas uz citām lietām. </w:t>
      </w:r>
    </w:p>
    <w:p>
      <w:pPr>
        <w:pStyle w:val="ManualHeading2"/>
        <w:rPr>
          <w:rFonts w:eastAsia="Arial Unicode MS"/>
          <w:noProof/>
          <w:u w:color="000000"/>
          <w:bdr w:val="nil"/>
        </w:rPr>
      </w:pPr>
      <w:r>
        <w:rPr>
          <w:noProof/>
          <w:u w:color="000000"/>
          <w:bdr w:val="nil"/>
        </w:rPr>
        <w:t>•</w:t>
      </w:r>
      <w:r>
        <w:rPr>
          <w:noProof/>
          <w:u w:color="000000"/>
          <w:bdr w:val="nil"/>
        </w:rPr>
        <w:tab/>
        <w:t>Juridiskā instrumenta izvēle</w:t>
      </w:r>
    </w:p>
    <w:p>
      <w:pPr>
        <w:pBdr>
          <w:top w:val="nil"/>
          <w:left w:val="nil"/>
          <w:bottom w:val="nil"/>
          <w:right w:val="nil"/>
          <w:between w:val="nil"/>
          <w:bar w:val="nil"/>
        </w:pBdr>
        <w:spacing w:before="0" w:after="240"/>
        <w:rPr>
          <w:rFonts w:eastAsia="Arial Unicode MS"/>
          <w:noProof/>
          <w:color w:val="000000" w:themeColor="text1"/>
          <w:szCs w:val="24"/>
        </w:rPr>
      </w:pPr>
      <w:r>
        <w:rPr>
          <w:noProof/>
        </w:rPr>
        <w:t>Starptautisks nolīgums.</w:t>
      </w:r>
    </w:p>
    <w:p>
      <w:pPr>
        <w:pStyle w:val="ManualHeading1"/>
        <w:rPr>
          <w:noProof/>
        </w:rPr>
      </w:pPr>
      <w:r>
        <w:rPr>
          <w:noProof/>
        </w:rPr>
        <w:t>3.</w:t>
      </w:r>
      <w:r>
        <w:rPr>
          <w:noProof/>
        </w:rPr>
        <w:tab/>
      </w:r>
      <w:r>
        <w:rPr>
          <w:i/>
          <w:iCs/>
          <w:noProof/>
        </w:rPr>
        <w:t>EX POST</w:t>
      </w:r>
      <w:r>
        <w:rPr>
          <w:noProof/>
        </w:rPr>
        <w:t xml:space="preserve"> IZVĒRTĒJUMU, APSPRIEŠANĀS AR IEINTERESĒTAJĀM PERSONĀM UN IETEKMES NOVĒRTĒJUMU REZULTĀTI</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r>
      <w:r>
        <w:rPr>
          <w:i/>
          <w:iCs/>
          <w:noProof/>
          <w:u w:color="000000"/>
          <w:bdr w:val="nil"/>
        </w:rPr>
        <w:t>Ex post</w:t>
      </w:r>
      <w:r>
        <w:rPr>
          <w:noProof/>
          <w:u w:color="000000"/>
          <w:bdr w:val="nil"/>
        </w:rPr>
        <w:t xml:space="preserve"> izvērtējumi / spēkā esošo tiesību aktu atbilstības pārbaudes</w:t>
      </w:r>
    </w:p>
    <w:p>
      <w:pPr>
        <w:pBdr>
          <w:top w:val="nil"/>
          <w:left w:val="nil"/>
          <w:bottom w:val="nil"/>
          <w:right w:val="nil"/>
          <w:between w:val="nil"/>
          <w:bar w:val="nil"/>
        </w:pBdr>
        <w:spacing w:before="100" w:beforeAutospacing="1" w:after="100" w:afterAutospacing="1"/>
        <w:rPr>
          <w:noProof/>
        </w:rPr>
      </w:pPr>
      <w:r>
        <w:rPr>
          <w:noProof/>
        </w:rPr>
        <w:t>Neattiecas.</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Apspriešanās ar ieinteresētajām personām</w:t>
      </w:r>
    </w:p>
    <w:p>
      <w:pPr>
        <w:pBdr>
          <w:top w:val="nil"/>
          <w:left w:val="nil"/>
          <w:bottom w:val="nil"/>
          <w:right w:val="nil"/>
          <w:between w:val="nil"/>
          <w:bar w:val="nil"/>
        </w:pBdr>
        <w:spacing w:before="100" w:beforeAutospacing="1" w:after="100" w:afterAutospacing="1"/>
        <w:rPr>
          <w:noProof/>
        </w:rPr>
      </w:pPr>
      <w:r>
        <w:rPr>
          <w:noProof/>
        </w:rPr>
        <w:t>Neattiecas.</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Ekspertu atzinumu pieprasīšana un izmantošana</w:t>
      </w:r>
    </w:p>
    <w:p>
      <w:pPr>
        <w:pBdr>
          <w:top w:val="nil"/>
          <w:left w:val="nil"/>
          <w:bottom w:val="nil"/>
          <w:right w:val="nil"/>
          <w:between w:val="nil"/>
          <w:bar w:val="nil"/>
        </w:pBdr>
        <w:spacing w:before="100" w:beforeAutospacing="1" w:after="100" w:afterAutospacing="1"/>
        <w:rPr>
          <w:noProof/>
        </w:rPr>
      </w:pPr>
      <w:r>
        <w:rPr>
          <w:noProof/>
        </w:rPr>
        <w:t>Neattiecas.</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Ietekmes novērtējums</w:t>
      </w:r>
    </w:p>
    <w:p>
      <w:pPr>
        <w:pBdr>
          <w:top w:val="nil"/>
          <w:left w:val="nil"/>
          <w:bottom w:val="nil"/>
          <w:right w:val="nil"/>
          <w:between w:val="nil"/>
          <w:bar w:val="nil"/>
        </w:pBdr>
        <w:spacing w:before="100" w:beforeAutospacing="1" w:after="100" w:afterAutospacing="1"/>
        <w:rPr>
          <w:noProof/>
        </w:rPr>
      </w:pPr>
      <w:r>
        <w:rPr>
          <w:noProof/>
        </w:rPr>
        <w:t>Neattiecas.</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Normatīvā atbilstība un vienkāršošana</w:t>
      </w:r>
    </w:p>
    <w:p>
      <w:pPr>
        <w:pBdr>
          <w:top w:val="nil"/>
          <w:left w:val="nil"/>
          <w:bottom w:val="nil"/>
          <w:right w:val="nil"/>
          <w:between w:val="nil"/>
          <w:bar w:val="nil"/>
        </w:pBdr>
        <w:spacing w:before="100" w:beforeAutospacing="1" w:after="100" w:afterAutospacing="1"/>
        <w:rPr>
          <w:noProof/>
        </w:rPr>
      </w:pPr>
      <w:r>
        <w:rPr>
          <w:noProof/>
        </w:rPr>
        <w:t>Neattiecas.</w:t>
      </w:r>
    </w:p>
    <w:p>
      <w:pPr>
        <w:pStyle w:val="ManualHeading2"/>
        <w:spacing w:before="100" w:beforeAutospacing="1" w:after="100" w:afterAutospacing="1"/>
        <w:rPr>
          <w:rFonts w:eastAsia="Arial Unicode MS"/>
          <w:noProof/>
          <w:color w:val="000000"/>
          <w:u w:color="000000"/>
          <w:bdr w:val="nil"/>
        </w:rPr>
      </w:pPr>
      <w:r>
        <w:rPr>
          <w:noProof/>
          <w:u w:color="000000"/>
          <w:bdr w:val="nil"/>
        </w:rPr>
        <w:lastRenderedPageBreak/>
        <w:t>•</w:t>
      </w:r>
      <w:r>
        <w:rPr>
          <w:noProof/>
          <w:u w:color="000000"/>
          <w:bdr w:val="nil"/>
        </w:rPr>
        <w:tab/>
        <w:t>Pamattiesības</w:t>
      </w:r>
    </w:p>
    <w:p>
      <w:pPr>
        <w:pBdr>
          <w:top w:val="nil"/>
          <w:left w:val="nil"/>
          <w:bottom w:val="nil"/>
          <w:right w:val="nil"/>
          <w:between w:val="nil"/>
          <w:bar w:val="nil"/>
        </w:pBdr>
        <w:spacing w:before="100" w:beforeAutospacing="1" w:after="100" w:afterAutospacing="1"/>
        <w:rPr>
          <w:noProof/>
        </w:rPr>
      </w:pPr>
      <w:r>
        <w:rPr>
          <w:noProof/>
        </w:rPr>
        <w:t>Neattiecas.</w:t>
      </w:r>
    </w:p>
    <w:p>
      <w:pPr>
        <w:pStyle w:val="ManualHeading2"/>
        <w:rPr>
          <w:noProof/>
        </w:rPr>
      </w:pPr>
      <w:r>
        <w:rPr>
          <w:noProof/>
        </w:rPr>
        <w:t>4.</w:t>
      </w:r>
      <w:r>
        <w:rPr>
          <w:noProof/>
        </w:rPr>
        <w:tab/>
        <w:t>IETEKME UZ BUDŽETU</w:t>
      </w:r>
    </w:p>
    <w:p>
      <w:pPr>
        <w:pBdr>
          <w:top w:val="nil"/>
          <w:left w:val="nil"/>
          <w:bottom w:val="nil"/>
          <w:right w:val="nil"/>
          <w:between w:val="nil"/>
          <w:bar w:val="nil"/>
        </w:pBdr>
        <w:spacing w:before="100" w:beforeAutospacing="1" w:after="100" w:afterAutospacing="1"/>
        <w:rPr>
          <w:noProof/>
        </w:rPr>
      </w:pPr>
      <w:r>
        <w:rPr>
          <w:noProof/>
        </w:rPr>
        <w:t>Priekšlikums neietekmē Savienības budžetu.</w:t>
      </w:r>
    </w:p>
    <w:p>
      <w:pPr>
        <w:pStyle w:val="ManualHeading1"/>
        <w:rPr>
          <w:noProof/>
        </w:rPr>
      </w:pPr>
      <w:r>
        <w:rPr>
          <w:noProof/>
        </w:rPr>
        <w:t>5.</w:t>
      </w:r>
      <w:r>
        <w:rPr>
          <w:noProof/>
        </w:rPr>
        <w:tab/>
        <w:t>CITI ELEMENTI</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Ierosinātā nolīguma kopsavilkums  </w:t>
      </w:r>
    </w:p>
    <w:p>
      <w:pPr>
        <w:pBdr>
          <w:top w:val="nil"/>
          <w:left w:val="nil"/>
          <w:bottom w:val="nil"/>
          <w:right w:val="nil"/>
          <w:between w:val="nil"/>
          <w:bar w:val="nil"/>
        </w:pBdr>
        <w:spacing w:before="100" w:beforeAutospacing="1" w:after="100" w:afterAutospacing="1"/>
        <w:rPr>
          <w:noProof/>
        </w:rPr>
      </w:pPr>
      <w:r>
        <w:rPr>
          <w:noProof/>
        </w:rPr>
        <w:t>Protokolu veido pamatteksts, kas paredz Horvātijas pievienošanos ES un ASV Gaisa transporta nolīgumam, un no tā izrietošie minētā nolīguma grozījumi, kā arī kopīgs paziņojums par papildu valodu versiju autentiskuma apstiprināšanu.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2019/0257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to, lai Eiropas Savienības un tās dalībvalstu vārdā parakstītu Protokolu, ar ko 2007. gada 25. un 30. aprīlī parakstīto Gaisa transporta nolīgumu starp Amerikas Savienotajām Valstīm un Eiropas Kopienu un tās dalībvalstīm, kurā grozījumi izdarīti ar Protokolu, ar ko groza 2007. gada 25. un 30. aprīlī parakstīto Gaisa transporta nolīgumu starp Amerikas Savienotajām Valstīm un Eiropas Kopienu un tās dalībvalstīm, kuru Amerikas Savienotās Valstis un Eiropas Savienība un tās dalībvalstis parakstīja 2010. gada 24. jūnijā, groza, lai ņemtu vērā Horvātijas Republikas pievienošanos Eiropas Savienībai</w:t>
      </w:r>
    </w:p>
    <w:p>
      <w:pPr>
        <w:pStyle w:val="Institutionquiagit"/>
        <w:rPr>
          <w:noProof/>
        </w:rPr>
      </w:pPr>
      <w:r>
        <w:rPr>
          <w:noProof/>
        </w:rPr>
        <w:t>EIROPAS SAVIENĪBAS PADOME,</w:t>
      </w:r>
    </w:p>
    <w:p>
      <w:pPr>
        <w:rPr>
          <w:noProof/>
        </w:rPr>
      </w:pPr>
      <w:r>
        <w:rPr>
          <w:noProof/>
        </w:rPr>
        <w:t>ņemot vērā Līgumu par Eiropas Savienības darbību un jo īpaši tā 100. panta 2. punktu sasaistē ar 218. panta 5. punktu,</w:t>
      </w:r>
    </w:p>
    <w:p>
      <w:pPr>
        <w:rPr>
          <w:noProof/>
        </w:rPr>
      </w:pPr>
      <w:r>
        <w:rPr>
          <w:noProof/>
        </w:rPr>
        <w:t>ņemot vērā Horvātijas pievienošanās aktu un jo īpaši tā 6. panta 2. punkta otro daļu,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 xml:space="preserve">Komisija saskaņā ar Padomes 2012. gada 14. septembra Lēmumu 13351/12, ar kuru Komisiju pilnvaroja sākt sarunas, ir risinājusi sarunas par Protokolu, ar ko 2007. gada 25. un 30. aprīlī parakstīto Gaisa transporta nolīgumu starp Amerikas Savienotajām Valstīm un Eiropas Kopienu un tās dalībvalstīm, kurā grozījumi izdarīti ar Protokolu, ar ko groza 2007. gada 25. un 30. aprīlī parakstīto Gaisa transporta nolīgumu starp Amerikas Savienotajām Valstīm un Eiropas Kopienu un tās dalībvalstīm, kuru Amerikas Savienotās Valstis un Eiropas Savienība un tās dalībvalstis parakstīja 2010. gada 24. jūnijā, groza, lai ņemtu vērā Horvātijas Republikas pievienošanos Eiropas Savienībai (“protokols”). </w:t>
      </w:r>
    </w:p>
    <w:p>
      <w:pPr>
        <w:pStyle w:val="ManualConsidrant"/>
        <w:rPr>
          <w:noProof/>
        </w:rPr>
      </w:pPr>
      <w:r>
        <w:t>(2)</w:t>
      </w:r>
      <w:r>
        <w:tab/>
      </w:r>
      <w:r>
        <w:rPr>
          <w:noProof/>
        </w:rPr>
        <w:t>Sarunas sekmīgi noslēdzās ar protokola parafēšanu 2019. gada 8. martā.</w:t>
      </w:r>
    </w:p>
    <w:p>
      <w:pPr>
        <w:pStyle w:val="ManualConsidrant"/>
        <w:rPr>
          <w:noProof/>
        </w:rPr>
      </w:pPr>
      <w:r>
        <w:t>(3)</w:t>
      </w:r>
      <w:r>
        <w:tab/>
      </w:r>
      <w:r>
        <w:rPr>
          <w:noProof/>
        </w:rPr>
        <w:t>Protokols būtu jāparaksta Savienības un tās dalībvalstu vārdā un provizoriski jāpiemēro Savienībā un tās dalībvalstīs saskaņā ar tā 4. pantu, ņemot vērā tā noslēgšanu vēlāk,</w:t>
      </w:r>
    </w:p>
    <w:p>
      <w:pPr>
        <w:pStyle w:val="Formuledadoption"/>
        <w:rPr>
          <w:noProof/>
        </w:rPr>
      </w:pPr>
      <w:r>
        <w:rPr>
          <w:noProof/>
        </w:rPr>
        <w:t xml:space="preserve">IR PIEŅĒMUSI ŠO LĒMUMU. </w:t>
      </w:r>
    </w:p>
    <w:p>
      <w:pPr>
        <w:pStyle w:val="Titrearticle"/>
        <w:spacing w:before="120"/>
        <w:outlineLvl w:val="0"/>
        <w:rPr>
          <w:noProof/>
        </w:rPr>
      </w:pPr>
      <w:r>
        <w:rPr>
          <w:noProof/>
        </w:rPr>
        <w:t>1. pants</w:t>
      </w:r>
      <w:r>
        <w:rPr>
          <w:noProof/>
        </w:rPr>
        <w:br/>
      </w:r>
    </w:p>
    <w:p>
      <w:pPr>
        <w:rPr>
          <w:noProof/>
        </w:rPr>
      </w:pPr>
      <w:r>
        <w:rPr>
          <w:noProof/>
        </w:rPr>
        <w:t xml:space="preserve">Ar šo atļauj Savienības un tās dalībvalstu vārdā parakstīt Protokolu, ar ko 2007. gada 25. un 30. aprīlī parakstīto Gaisa transporta nolīgumu starp Amerikas Savienotajām Valstīm un Eiropas Kopienu un tās dalībvalstīm, kurā grozījumi izdarīti ar Protokolu, ar ko groza 2007. gada 25. un 30. aprīlī parakstīto Gaisa transporta nolīgumu starp Amerikas Savienotajām Valstīm un Eiropas Kopienu un tās dalībvalstīm, kuru Amerikas Savienotās Valstis un Eiropas Savienība un tās dalībvalstis parakstīja 2010. gada 24. jūnijā, groza, lai </w:t>
      </w:r>
      <w:r>
        <w:rPr>
          <w:noProof/>
        </w:rPr>
        <w:lastRenderedPageBreak/>
        <w:t>ņemtu vērā Horvātijas Republikas pievienošanos Eiropas Savienībai (“protokols”), ņemot vērā minētā protokola noslēgšanu.</w:t>
      </w:r>
    </w:p>
    <w:p>
      <w:pPr>
        <w:rPr>
          <w:noProof/>
        </w:rPr>
      </w:pPr>
      <w:r>
        <w:rPr>
          <w:noProof/>
        </w:rPr>
        <w:t>Protokola teksts ir pievienots šim lēmumam.</w:t>
      </w:r>
    </w:p>
    <w:p>
      <w:pPr>
        <w:pStyle w:val="Titrearticle"/>
        <w:rPr>
          <w:noProof/>
        </w:rPr>
      </w:pPr>
      <w:r>
        <w:rPr>
          <w:noProof/>
        </w:rPr>
        <w:t xml:space="preserve">2. pants </w:t>
      </w:r>
    </w:p>
    <w:p>
      <w:pPr>
        <w:rPr>
          <w:noProof/>
        </w:rPr>
      </w:pPr>
      <w:r>
        <w:rPr>
          <w:noProof/>
        </w:rPr>
        <w:t>Ar šo Padomes priekšsēdētājs tiek pilnvarots norīkot personu vai personas, kas tiesīgas Savienības un tās dalībvalstu vārdā parakstīt protokolu.</w:t>
      </w:r>
    </w:p>
    <w:p>
      <w:pPr>
        <w:pStyle w:val="Titrearticle"/>
        <w:spacing w:after="0"/>
        <w:rPr>
          <w:noProof/>
        </w:rPr>
      </w:pPr>
      <w:r>
        <w:rPr>
          <w:noProof/>
        </w:rPr>
        <w:t>3. pants</w:t>
      </w:r>
    </w:p>
    <w:p>
      <w:pPr>
        <w:rPr>
          <w:noProof/>
        </w:rPr>
      </w:pPr>
      <w:r>
        <w:rPr>
          <w:noProof/>
        </w:rPr>
        <w:t>Līdz protokols stājas spēkā, to provizoriski piemēro Savienībā un tās dalībvalstīs saskaņā ar tā 4. pantu.</w:t>
      </w:r>
    </w:p>
    <w:p>
      <w:pPr>
        <w:pStyle w:val="Text1"/>
        <w:rPr>
          <w:noProof/>
        </w:rPr>
      </w:pPr>
    </w:p>
    <w:p>
      <w:pPr>
        <w:pStyle w:val="Titrearticle"/>
        <w:spacing w:before="120"/>
        <w:outlineLvl w:val="0"/>
        <w:rPr>
          <w:noProof/>
        </w:rPr>
      </w:pPr>
      <w:r>
        <w:rPr>
          <w:noProof/>
        </w:rPr>
        <w:t>4. pants</w:t>
      </w:r>
    </w:p>
    <w:p>
      <w:pPr>
        <w:rPr>
          <w:noProof/>
        </w:rPr>
      </w:pPr>
      <w:r>
        <w:rPr>
          <w:noProof/>
        </w:rPr>
        <w:t xml:space="preserve">Šis lēmums stājas spēkā tā pieņemšanas dienā. </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12:04: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2D9E0CF-BA07-4827-B225-8F9C47FC74D2"/>
    <w:docVar w:name="LW_COVERPAGE_TYPE" w:val="1"/>
    <w:docVar w:name="LW_CROSSREFERENCE" w:val="&lt;UNUSED&gt;"/>
    <w:docVar w:name="LW_DocType" w:val="COM"/>
    <w:docVar w:name="LW_EMISSION" w:val="14.11.2019"/>
    <w:docVar w:name="LW_EMISSION_ISODATE" w:val="2019-11-14"/>
    <w:docVar w:name="LW_EMISSION_LOCATION" w:val="BRX"/>
    <w:docVar w:name="LW_EMISSION_PREFIX" w:val="Briselē,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257"/>
    <w:docVar w:name="LW_REF.II.NEW.CP_YEAR" w:val="2019"/>
    <w:docVar w:name="LW_REF.INST.NEW" w:val="COM"/>
    <w:docVar w:name="LW_REF.INST.NEW_ADOPTED" w:val="final"/>
    <w:docVar w:name="LW_REF.INST.NEW_TEXT" w:val="(2019) 5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to, lai Eiropas Savien\u299?bas un t\u257?s dal\u299?bvalstu v\u257?rd\u257? parakst\u299?tu Protokolu, ar ko 2007. gada 25. un 30. apr\u299?l\u299? parakst\u299?to Gaisa transporta nol\u299?gumu starp Amerikas Savienotaj\u257?m Valst\u299?m un Eiropas Kopienu un t\u257?s dal\u299?bvalst\u299?m, kur\u257? groz\u299?jumi izdar\u299?ti ar Protokolu, ar ko groza 2007. gada 25. un 30. apr\u299?l\u299? parakst\u299?to Gaisa transporta nol\u299?gumu starp Amerikas Savienotaj\u257?m Valst\u299?m un Eiropas Kopienu un t\u257?s dal\u299?bvalst\u299?m, kuru Amerikas Savienot\u257?s Valstis un Eiropas Savien\u299?ba un t\u257?s dal\u299?bvalstis parakst\u299?ja 2010. gada 24. j\u363?nij\u257?, groza, lai \u326?emtu v\u275?r\u257? Horv\u257?tijas Republikas pievieno\u353?anos Eiropas Savien\u299?bai"/>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48B4-2E49-4A52-B813-76F547F9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1012</Words>
  <Characters>6468</Characters>
  <Application>Microsoft Office Word</Application>
  <DocSecurity>0</DocSecurity>
  <Lines>137</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2019-05-14T14:03:00Z</cp:lastPrinted>
  <dcterms:created xsi:type="dcterms:W3CDTF">2019-10-04T09:47:00Z</dcterms:created>
  <dcterms:modified xsi:type="dcterms:W3CDTF">2019-11-07T11:04:00Z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