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ED51128-D236-4D19-A974-53EA6DBB3423" style="width:450.7pt;height:43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Σύμφωνα με το άρθρο 6 παράγραφος 2 της πράξης προσχώρησης, η Κροατία ανέλαβε την υποχρέωση να προσχωρήσει στις συμφωνίες που έχουν συνάψει ή υπογράψει η Ένωση και τα κράτη μέλη με τρίτες χώρες. Μεταξύ των συμφωνιών αυτών περιλαμβάνεται η συμφωνία αεροπορικών μεταφορών μεταξύ των Ηνωμένων Πολιτειών της Αμερικής, της Ευρωπαϊκής Ένωσης και των κρατών μελών της, της Ισλανδίας, και της Νορβηγίας (εφεξής «τετραμερής συμφωνία»), η οποία επεκτείνει το πεδίο εφαρμογής της συμφωνίας αεροπορικών μεταφορών μεταξύ των Ηνωμένων Πολιτειών και της Ευρωπαϊκής Κοινότητας και των κρατών μελών της (εφεξής «ΣΑΜ ΕΕ-ΗΠΑ») στις εν λόγω δύο χώρες.</w:t>
      </w:r>
    </w:p>
    <w:p>
      <w:pPr>
        <w:pBdr>
          <w:top w:val="nil"/>
          <w:left w:val="nil"/>
          <w:bottom w:val="nil"/>
          <w:right w:val="nil"/>
          <w:between w:val="nil"/>
          <w:bar w:val="nil"/>
        </w:pBdr>
        <w:spacing w:before="0" w:after="240"/>
        <w:rPr>
          <w:noProof/>
        </w:rPr>
      </w:pPr>
      <w:r>
        <w:rPr>
          <w:noProof/>
        </w:rPr>
        <w:t>Στην ως άνω διάταξη ορίζεται επίσης ότι η προσχώρηση της Κροατίας στις προαναφερθείσες συμφωνίες συμφωνείται με τη σύναψη πρωτοκόλλου στις εν λόγω συμφωνίες μεταξύ του Συμβουλίου, ενεργούντος ομοφώνως εξ ονόματος των κρατών μελών, και των οικείων τρίτων χωρών. Επίσης, η Επιτροπή διαπραγματεύεται τα εν λόγω πρωτόκολλα εξ ονόματος των κρατών μελών.</w:t>
      </w:r>
    </w:p>
    <w:p>
      <w:pPr>
        <w:pBdr>
          <w:top w:val="nil"/>
          <w:left w:val="nil"/>
          <w:bottom w:val="nil"/>
          <w:right w:val="nil"/>
          <w:between w:val="nil"/>
          <w:bar w:val="nil"/>
        </w:pBdr>
        <w:spacing w:before="0" w:after="240"/>
        <w:rPr>
          <w:noProof/>
        </w:rPr>
      </w:pPr>
      <w:r>
        <w:rPr>
          <w:noProof/>
        </w:rPr>
        <w:t>Ως εκ τούτου, η Επιτροπή διαπραγματεύθηκε τροποποιητικό πρωτόκολλο της τετραμερούς συμφωνίας για την προσχώρηση της Κροατίας σε αυτήν.</w:t>
      </w:r>
    </w:p>
    <w:p>
      <w:pPr>
        <w:pBdr>
          <w:top w:val="nil"/>
          <w:left w:val="nil"/>
          <w:bottom w:val="nil"/>
          <w:right w:val="nil"/>
          <w:between w:val="nil"/>
          <w:bar w:val="nil"/>
        </w:pBdr>
        <w:spacing w:before="0" w:after="240"/>
        <w:rPr>
          <w:noProof/>
        </w:rPr>
      </w:pPr>
      <w:r>
        <w:rPr>
          <w:noProof/>
        </w:rPr>
        <w:t>Αντικείμενο της παρούσας πρότασης είναι η έκδοση απόφασης του Συμβουλίου, βάσει του άρθρου 218 παράγραφος 5 της Συνθήκης για τη λειτουργία της Ευρωπαϊκής Ένωσης (εφεξής «ΣΛΕΕ») και του άρθρου 6 παράγραφος 2 της πράξης προσχώρησης, σχετικά με την υπογραφή του πρωτοκόλλου εξ ονόματος της Ένωσης και των κρατών μελών και την προσωρινή εφαρμογή του από την Ένωση και τα κράτη μέλη, σύμφωνα με το άρθρο 6 του πρωτοκόλλου, με την επιφύλαξη της σύναψής του σε μεταγενέστερη ημερομηνία.</w:t>
      </w:r>
    </w:p>
    <w:p>
      <w:pPr>
        <w:rPr>
          <w:noProof/>
          <w:color w:val="000000" w:themeColor="text1"/>
          <w:szCs w:val="24"/>
        </w:rPr>
      </w:pPr>
      <w:r>
        <w:rPr>
          <w:noProof/>
        </w:rPr>
        <w:t xml:space="preserv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Γενικό πλαίσιο</w:t>
      </w:r>
    </w:p>
    <w:p>
      <w:pPr>
        <w:rPr>
          <w:noProof/>
        </w:rPr>
      </w:pPr>
      <w:r>
        <w:rPr>
          <w:noProof/>
        </w:rPr>
        <w:t>Η ανάληψη υποχρέωσης από την Κροατία δυνάμει του άρθρου 6 παράγραφος 2 της πράξης προσχώρησης καλύπτει επίσης τη ΣΑΜ ΕΕ-ΗΠΑ, καθώς και τη συμπληρωματική συμφωνία μεταξύ της Ευρωπαϊκής Ένωσης και των κρατών μελών της, της Ισλανδίας, και της Νορβηγίας, η οποία διέπει τη σχέση μεταξύ των εν λόγω συμβαλλομένων μερών βάσει της τετραμερούς συμφωνίας.</w:t>
      </w:r>
    </w:p>
    <w:p>
      <w:pPr>
        <w:rPr>
          <w:noProof/>
        </w:rPr>
      </w:pPr>
      <w:r>
        <w:rPr>
          <w:noProof/>
        </w:rPr>
        <w:t xml:space="preserve">Ως εκ τούτου, η Επιτροπή διαπραγματεύθηκε τροποποιητικά πρωτόκολλα και των ως άνω συμφωνιών για την προσχώρηση της Κροατίας σε αυτές. Παράλληλα με την παρούσα πρόταση, υποβάλλονται προτάσεις αποφάσεων του Συμβουλίου σχετικά με την υπογραφή και την προσωρινή εφαρμογή αλλά και τη σύναψη των εν λόγω πρωτοκόλλων, καθώς και πρόταση απόφασης του Συμβουλίου σχετικά με τη σύναψη του τροποποιητικού πρωτοκόλλου της τετραμερούς συμφωνίας.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Συνοχή με ισχύουσες διατάξεις στον τομέα πολιτικής</w:t>
      </w:r>
    </w:p>
    <w:p>
      <w:pPr>
        <w:spacing w:before="100" w:beforeAutospacing="1" w:after="100" w:afterAutospacing="1"/>
        <w:rPr>
          <w:noProof/>
        </w:rPr>
      </w:pPr>
      <w:r>
        <w:rPr>
          <w:noProof/>
        </w:rPr>
        <w:t xml:space="preserve">Η ΣΑΜ ΕΕ-ΗΠΑ ήταν η πρώτη συνολική συμφωνία αεροπορικών μεταφορών με βασικό αεροπορικό εταίρο της Ένωσης. Είναι η σημαντικότερη συμφωνία αεροπορικών μεταφορών </w:t>
      </w:r>
      <w:r>
        <w:rPr>
          <w:noProof/>
        </w:rPr>
        <w:lastRenderedPageBreak/>
        <w:t>παγκοσμίως, καθώς παρέχει περισσότερες από 80 εκατομμύρια θέσεις επιβατών ετησίως και συνεπώς αποτελεί ακρογωνιαίο λίθο της εξωτερικής πολιτικής αερομεταφορών της ΕΕ. Η σημασία της αυξήθηκε με την επέκτασή της στην Ισλανδία και τη Νορβηγία δυνάμει της τετραμερούς συμφωνίας. Το πρωτόκολλο θα επιτρέψει στην Κροατία να ωφεληθεί από την εν λόγω συμφωνία.</w:t>
      </w:r>
    </w:p>
    <w:p>
      <w:pPr>
        <w:pStyle w:val="ManualHeading2"/>
        <w:rPr>
          <w:rFonts w:eastAsia="Arial Unicode MS"/>
          <w:noProof/>
        </w:rPr>
      </w:pPr>
      <w:r>
        <w:rPr>
          <w:noProof/>
          <w:u w:color="000000"/>
          <w:bdr w:val="nil"/>
        </w:rPr>
        <w:t>•</w:t>
      </w:r>
      <w:r>
        <w:rPr>
          <w:noProof/>
          <w:u w:color="000000"/>
          <w:bdr w:val="nil"/>
        </w:rPr>
        <w:tab/>
      </w:r>
      <w:r>
        <w:rPr>
          <w:noProof/>
        </w:rPr>
        <w:t>Συνοχή με ισχύουσες διατάξεις στον τομέα της πρότασης</w:t>
      </w:r>
    </w:p>
    <w:p>
      <w:pPr>
        <w:spacing w:before="100" w:beforeAutospacing="1" w:after="100" w:afterAutospacing="1"/>
        <w:rPr>
          <w:noProof/>
        </w:rPr>
      </w:pPr>
      <w:r>
        <w:rPr>
          <w:noProof/>
        </w:rPr>
        <w:t xml:space="preserve">Το πρωτόκολλο δίνει τη δυνατότητα στην Κροατία να εκπληρώσει την υποχρέωσή της δυνάμει του άρθρου 6 παράγραφος 2 της πράξης προσχώρησης και να προσχωρήσει στην τετραμερή συμφωνία.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Άρθρο 100 παράγραφος 2 σε συνδυασμό με το άρθρο 218 παράγραφος 5 της ΣΛΕΕ και άρθρο 6 παράγραφος 2 δεύτερο εδάφιο της πράξης προσχώρησης.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Style w:val="Text1"/>
        <w:spacing w:before="100" w:beforeAutospacing="1" w:after="100" w:afterAutospacing="1"/>
        <w:ind w:left="0"/>
        <w:rPr>
          <w:noProof/>
        </w:rPr>
      </w:pPr>
      <w:r>
        <w:rPr>
          <w:noProof/>
        </w:rPr>
        <w:t xml:space="preserve"> Το πρωτόκολλο θα επιτρέψει στην Κροατία να ωφεληθεί από την τετραμερή συμφωνία, η οποία διαμορφώνει ισότιμους και ενιαίους όρους πρόσβασης στην αγορά και λειτουργεί ως βάση για νέες ρυθμίσεις ρυθμιστικής συνεργασίας και σύγκλισης σε πεδία ουσιώδη για την ασφάλεια των πτήσεων, την αεροπορική ασφάλεια και την αποτελεσματική εκμετάλλευση των υπηρεσιών αεροπορικών μεταφορών. Οι ρυθμίσεις αυτές μπορούν να επιτευχθούν μόνον σε επίπεδο Ένωσης.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Το πρωτόκολλο περιορίζεται στην ρύθμιση του συγκεκριμένου ζητήματος, ήτοι της προσχώρησης της Κροατίας στην τετραμερή συμφωνία, και δεν διαλαμβάνει άλλα θέματα. </w:t>
      </w:r>
    </w:p>
    <w:p>
      <w:pPr>
        <w:pStyle w:val="ManualHeading2"/>
        <w:rPr>
          <w:rFonts w:eastAsia="Arial Unicode MS"/>
          <w:noProof/>
          <w:u w:color="000000"/>
          <w:bdr w:val="nil"/>
        </w:rPr>
      </w:pPr>
      <w:r>
        <w:rPr>
          <w:noProof/>
          <w:u w:color="000000"/>
          <w:bdr w:val="nil"/>
        </w:rPr>
        <w:t>•</w:t>
      </w:r>
      <w:r>
        <w:rPr>
          <w:noProof/>
          <w:u w:color="000000"/>
          <w:bdr w:val="nil"/>
        </w:rPr>
        <w:tab/>
        <w:t>Επιλογή νομικής πράξης</w:t>
      </w:r>
    </w:p>
    <w:p>
      <w:pPr>
        <w:pBdr>
          <w:top w:val="nil"/>
          <w:left w:val="nil"/>
          <w:bottom w:val="nil"/>
          <w:right w:val="nil"/>
          <w:between w:val="nil"/>
          <w:bar w:val="nil"/>
        </w:pBdr>
        <w:spacing w:before="0" w:after="240"/>
        <w:rPr>
          <w:rFonts w:eastAsia="Arial Unicode MS"/>
          <w:noProof/>
          <w:color w:val="000000" w:themeColor="text1"/>
          <w:szCs w:val="24"/>
        </w:rPr>
      </w:pPr>
      <w:r>
        <w:rPr>
          <w:noProof/>
        </w:rPr>
        <w:t>Διεθνής συμφωνία.</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Συλλογή και χρήση εμπειρογνωσίας</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Εκτίμηση επιπτώσεων</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100" w:beforeAutospacing="1" w:after="100" w:afterAutospacing="1"/>
        <w:rPr>
          <w:noProof/>
        </w:rPr>
      </w:pPr>
      <w:r>
        <w:rPr>
          <w:noProof/>
        </w:rPr>
        <w:t>Άνευ αντικειμένου.</w:t>
      </w:r>
    </w:p>
    <w:p>
      <w:pPr>
        <w:pStyle w:val="ManualHeading2"/>
        <w:rPr>
          <w:noProof/>
        </w:rPr>
      </w:pPr>
      <w:r>
        <w:rPr>
          <w:noProof/>
        </w:rPr>
        <w:t>4.</w:t>
      </w:r>
      <w:r>
        <w:rPr>
          <w:noProof/>
        </w:rPr>
        <w:tab/>
        <w:t>ΔΗΜΟΣΙΟΝΟΜΙΚΕΣ ΕΠΙΠΤΩΣΕΙΣ</w:t>
      </w:r>
    </w:p>
    <w:p>
      <w:pPr>
        <w:pBdr>
          <w:top w:val="nil"/>
          <w:left w:val="nil"/>
          <w:bottom w:val="nil"/>
          <w:right w:val="nil"/>
          <w:between w:val="nil"/>
          <w:bar w:val="nil"/>
        </w:pBdr>
        <w:spacing w:before="100" w:beforeAutospacing="1" w:after="100" w:afterAutospacing="1"/>
        <w:rPr>
          <w:noProof/>
        </w:rPr>
      </w:pPr>
      <w:r>
        <w:rPr>
          <w:noProof/>
        </w:rPr>
        <w:t>Η πρόταση δεν έχει επιπτώσεις στον προϋπολογισμό της Ένωσης.</w:t>
      </w:r>
    </w:p>
    <w:p>
      <w:pPr>
        <w:pStyle w:val="ManualHeading1"/>
        <w:rPr>
          <w:noProof/>
        </w:rPr>
      </w:pPr>
      <w:r>
        <w:rPr>
          <w:noProof/>
        </w:rPr>
        <w:t>5.</w:t>
      </w:r>
      <w:r>
        <w:rPr>
          <w:noProof/>
        </w:rPr>
        <w:tab/>
        <w:t>ΛΟΙΠΑ ΣΤΟΙΧΕΙΑ</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Σύνοψη της προτεινόμενης συμφωνίας  </w:t>
      </w:r>
    </w:p>
    <w:p>
      <w:pPr>
        <w:pBdr>
          <w:top w:val="nil"/>
          <w:left w:val="nil"/>
          <w:bottom w:val="nil"/>
          <w:right w:val="nil"/>
          <w:between w:val="nil"/>
          <w:bar w:val="nil"/>
        </w:pBdr>
        <w:spacing w:before="100" w:beforeAutospacing="1" w:after="100" w:afterAutospacing="1"/>
        <w:rPr>
          <w:noProof/>
        </w:rPr>
      </w:pPr>
      <w:r>
        <w:rPr>
          <w:noProof/>
        </w:rPr>
        <w:t>Το πρωτόκολλο αποτελείται από το κυρίως κείμενο που ρυθμίζει την προσχώρηση της Κροατίας στην τετραμερή συμφωνία και τις επακόλουθες τροποποιήσεις της, και από την κοινή δήλωση για την κύρωση πρόσθετων γλωσσικών εκδόσεων.</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2019/0259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την υπογραφή, εξ ονόματος της Ευρωπαϊκής Ένωσης και των κρατών μελών της, του τροποποιητικού πρωτοκόλλου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 σε συνδυασμό με το άρθρο 218 παράγραφος 5,</w:t>
      </w:r>
    </w:p>
    <w:p>
      <w:pPr>
        <w:rPr>
          <w:noProof/>
        </w:rPr>
      </w:pPr>
      <w:r>
        <w:rPr>
          <w:noProof/>
        </w:rPr>
        <w:t>Έχοντας υπόψη την πράξη προσχώρησης της Κροατίας, και ιδίως το άρθρο 6 παράγραφος 2 δεύτερο εδάφιο,</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Επιτροπή διαπραγματεύθηκε τροποποιητικό πρωτόκολλο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 (εφεξής «πρωτόκολλο»), σύμφωνα με την απόφαση 13351/12 του Συμβουλίου, της 14ης Σεπτεμβρίου 2012, με την οποία εξουσιοδοτήθηκε η Επιτροπή να αρχίσει διαπραγματεύσεις.</w:t>
      </w:r>
    </w:p>
    <w:p>
      <w:pPr>
        <w:pStyle w:val="ManualConsidrant"/>
        <w:rPr>
          <w:noProof/>
        </w:rPr>
      </w:pPr>
      <w:r>
        <w:t>(2)</w:t>
      </w:r>
      <w:r>
        <w:tab/>
      </w:r>
      <w:r>
        <w:rPr>
          <w:noProof/>
        </w:rPr>
        <w:t>Οι διαπραγματεύσεις ολοκληρώθηκαν επιτυχώς με τη μονογράφηση του πρωτοκόλλου στις 8 Μαρτίου 2019.</w:t>
      </w:r>
    </w:p>
    <w:p>
      <w:pPr>
        <w:pStyle w:val="ManualConsidrant"/>
        <w:rPr>
          <w:noProof/>
        </w:rPr>
      </w:pPr>
      <w:r>
        <w:t>(3)</w:t>
      </w:r>
      <w:r>
        <w:tab/>
      </w:r>
      <w:r>
        <w:rPr>
          <w:noProof/>
        </w:rPr>
        <w:t>Το πρωτόκολλο θα πρέπει να υπογραφεί και να τεθεί σε προσωρινή εφαρμογή από την Ένωση και τα κράτη μέλη της, σύμφωνα με το άρθρο 6 αυτού, με την επιφύλαξη της σύναψής του σε μεταγενέστερη ημερομηνία.</w:t>
      </w:r>
    </w:p>
    <w:p>
      <w:pPr>
        <w:pStyle w:val="Formuledadoption"/>
        <w:rPr>
          <w:noProof/>
        </w:rPr>
      </w:pPr>
      <w:r>
        <w:rPr>
          <w:noProof/>
        </w:rPr>
        <w:t xml:space="preserve">ΕΞΕΔΩΣΕ ΤΗΝ ΠΑΡΟΥΣΑ ΑΠΟΦΑΣΗ: </w:t>
      </w:r>
    </w:p>
    <w:p>
      <w:pPr>
        <w:pStyle w:val="Titrearticle"/>
        <w:spacing w:before="120"/>
        <w:outlineLvl w:val="0"/>
        <w:rPr>
          <w:noProof/>
        </w:rPr>
      </w:pPr>
      <w:r>
        <w:rPr>
          <w:noProof/>
        </w:rPr>
        <w:t>Άρθρο 1</w:t>
      </w:r>
      <w:r>
        <w:rPr>
          <w:noProof/>
        </w:rPr>
        <w:br/>
      </w:r>
    </w:p>
    <w:p>
      <w:pPr>
        <w:rPr>
          <w:noProof/>
        </w:rPr>
      </w:pPr>
      <w:r>
        <w:rPr>
          <w:noProof/>
        </w:rPr>
        <w:t xml:space="preserve">Εγκρίνεται εξ ονόματος της Ένωσης και των κρατών μελών της, με την επιφύλαξη της σύναψής του, η υπογραφή του τροποποιητικού πρωτοκόλλου της συμφωνίας αεροπορικών μεταφορών μεταξύ των Ηνωμένων Πολιτειών της Αμερικής ως πρώτου συμβαλλόμενου μέρους, της Ευρωπαϊκής Ένωσης και των κρατών μελών της ως δεύτερου συμβαλλόμενου μέρους, της Ισλανδίας ως τρίτου συμβαλλόμενου μέρους, και του Βασιλείου της Νορβηγίας </w:t>
      </w:r>
      <w:r>
        <w:rPr>
          <w:noProof/>
        </w:rPr>
        <w:lastRenderedPageBreak/>
        <w:t>ως τέταρτου συμβαλλόμενου μέρους, που υπεγράφη στις 16 και 21 Ιουνίου 2011, προκειμένου να ληφθεί υπόψη η προσχώρηση της Δημοκρατίας της Κροατίας στην Ευρωπαϊκή Ένωση (εφεξής «πρωτόκολλο»).</w:t>
      </w:r>
    </w:p>
    <w:p>
      <w:pPr>
        <w:rPr>
          <w:noProof/>
        </w:rPr>
      </w:pPr>
      <w:r>
        <w:rPr>
          <w:noProof/>
        </w:rPr>
        <w:t>Το κείμενο του πρωτοκόλλου επισυνάπτεται στην παρούσα απόφαση.</w:t>
      </w:r>
    </w:p>
    <w:p>
      <w:pPr>
        <w:pStyle w:val="Titrearticle"/>
        <w:rPr>
          <w:noProof/>
        </w:rPr>
      </w:pPr>
      <w:r>
        <w:rPr>
          <w:noProof/>
        </w:rPr>
        <w:t xml:space="preserve">Άρθρο 2 </w:t>
      </w:r>
    </w:p>
    <w:p>
      <w:pPr>
        <w:rPr>
          <w:noProof/>
        </w:rPr>
      </w:pPr>
      <w:r>
        <w:rPr>
          <w:noProof/>
        </w:rPr>
        <w:t>Ο πρόεδρος του Συμβουλίου εξουσιοδοτείται να ορίσει το πρόσωπο ή τα πρόσωπα που είναι αρμόδια να υπογράψουν το πρωτόκολλο εξ ονόματος της Ένωσης και των κρατών μελών της.</w:t>
      </w:r>
    </w:p>
    <w:p>
      <w:pPr>
        <w:pStyle w:val="Titrearticle"/>
        <w:spacing w:after="0"/>
        <w:rPr>
          <w:noProof/>
        </w:rPr>
      </w:pPr>
      <w:r>
        <w:rPr>
          <w:noProof/>
        </w:rPr>
        <w:t>Άρθρο 3</w:t>
      </w:r>
    </w:p>
    <w:p>
      <w:pPr>
        <w:rPr>
          <w:noProof/>
        </w:rPr>
      </w:pPr>
      <w:r>
        <w:rPr>
          <w:noProof/>
        </w:rPr>
        <w:t>Η Ένωση και τα κράτη μέλη της εφαρμόζουν προσωρινά το πρωτόκολλο, ενόσω εκκρεμεί η έναρξη ισχύος του, σύμφωνα με το άρθρο 6 αυτού.</w:t>
      </w:r>
    </w:p>
    <w:p>
      <w:pPr>
        <w:pStyle w:val="Text1"/>
        <w:rPr>
          <w:noProof/>
        </w:rPr>
      </w:pPr>
    </w:p>
    <w:p>
      <w:pPr>
        <w:pStyle w:val="Titrearticle"/>
        <w:spacing w:before="120"/>
        <w:outlineLvl w:val="0"/>
        <w:rPr>
          <w:noProof/>
        </w:rPr>
      </w:pPr>
      <w:r>
        <w:rPr>
          <w:noProof/>
        </w:rPr>
        <w:t>Άρθρο 4</w:t>
      </w:r>
    </w:p>
    <w:p>
      <w:pPr>
        <w:rPr>
          <w:noProof/>
        </w:rPr>
      </w:pPr>
      <w:r>
        <w:rPr>
          <w:noProof/>
        </w:rPr>
        <w:t xml:space="preserve">Η παρούσα απόφαση αρχίζει να ισχύει από την ημέρα έκδοσής της. </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O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0:28: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ED51128-D236-4D19-A974-53EA6DBB3423"/>
    <w:docVar w:name="LW_COVERPAGE_TYPE" w:val="1"/>
    <w:docVar w:name="LW_CROSSREFERENCE" w:val="&lt;UNUSED&gt;"/>
    <w:docVar w:name="LW_DocType" w:val="COM"/>
    <w:docVar w:name="LW_EMISSION" w:val="14.11.2019"/>
    <w:docVar w:name="LW_EMISSION_ISODATE" w:val="2019-11-14"/>
    <w:docVar w:name="LW_EMISSION_LOCATION" w:val="BRX"/>
    <w:docVar w:name="LW_EMISSION_PREFIX" w:val="Βρυξέλλες,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59"/>
    <w:docVar w:name="LW_REF.II.NEW.CP_YEAR" w:val="2019"/>
    <w:docVar w:name="LW_REF.INST.NEW" w:val="COM"/>
    <w:docVar w:name="LW_REF.INST.NEW_ADOPTED" w:val="final"/>
    <w:docVar w:name="LW_REF.INST.NEW_TEXT" w:val="(2019)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5?\u960?\u959?\u947?\u961?\u945?\u966?\u942?, \u949?\u958? \u959?\u957?\u972?\u956?\u945?\u964?\u959?\u962? \u964?\u951?\u962? \u917?\u965?\u961?\u969?\u960?\u945?\u970?\u954?\u942?\u962? \u904?\u957?\u969?\u963?\u951?\u962? \u954?\u945?\u953? \u964?\u969?\u957? \u954?\u961?\u945?\u964?\u974?\u957? \u956?\u949?\u955?\u974?\u957? \u964?\u951?\u962?, \u964?\u959?\u965? \u964?\u961?\u959?\u960?\u959?\u960?\u959?\u953?\u951?\u964?\u953?\u954?\u959?\u973? \u960?\u961?\u969?\u964?\u959?\u954?\u972?\u955?\u955?\u959?\u965? \u964?\u951?\u962? \u963?\u965?\u956?\u966?\u969?\u957?\u943?\u945?\u962? \u945?\u949?\u961?\u959?\u960?\u959?\u961?\u953?\u954?\u974?\u957? \u956?\u949?\u964?\u945?\u966?\u959?\u961?\u974?\u957? \u956?\u949?\u964?\u945?\u958?\u973? \u964?\u969?\u957? \u919?\u957?\u969?\u956?\u941?\u957?\u969?\u957? \u928?\u959?\u955?\u953?\u964?\u949?\u953?\u974?\u957? \u964?\u951?\u962? \u913?\u956?\u949?\u961?\u953?\u954?\u942?\u962? \u969?\u962? \u960?\u961?\u974?\u964?\u959?\u965? \u963?\u965?\u956?\u946?\u945?\u955?\u955?\u972?\u956?\u949?\u957?\u959?\u965? \u956?\u941?\u961?\u959?\u965?\u962?, \u964?\u951?\u962? \u917?\u965?\u961?\u969?\u960?\u945?\u970?\u954?\u942?\u962? \u904?\u957?\u969?\u963?\u951?\u962? \u954?\u945?\u953? \u964?\u969?\u957? \u954?\u961?\u945?\u964?\u974?\u957? \u956?\u949?\u955?\u974?\u957? \u964?\u951?\u962? \u969?\u962? \u948?\u949?\u973?\u964?\u949?\u961?\u959?\u965? \u963?\u965?\u956?\u946?\u945?\u955?\u955?\u972?\u956?\u949?\u957?\u959?\u965? \u956?\u941?\u961?\u959?\u965?\u962?, \u964?\u951?\u962? \u921?\u963?\u955?\u945?\u957?\u948?\u943?\u945?\u962? \u969?\u962? \u964?\u961?\u943?\u964?\u959?\u965? \u963?\u965?\u956?\u946?\u945?\u955?\u955?\u972?\u956?\u949?\u957?\u959?\u965? \u956?\u941?\u961?\u959?\u965?\u962?, \u954?\u945?\u953? \u964?\u959?\u965? \u914?\u945?\u963?\u953?\u955?\u949?\u943?\u959?\u965? \u964?\u951?\u962? \u925?\u959?\u961?\u946?\u951?\u947?\u943?\u945?\u962? \u969?\u962? \u964?\u941?\u964?\u945?\u961?\u964?\u959?\u965? \u963?\u965?\u956?\u946?\u945?\u955?\u955?\u972?\u956?\u949?\u957?\u959?\u965? \u956?\u941?\u961?\u959?\u965?\u962?, \u960?\u959?\u965? \u965?\u960?\u949?\u947?\u961?\u940?\u966?\u951? \u963?\u964?\u953?\u962? 16 \u954?\u945?\u953? 21 \u921?\u959?\u965?\u957?\u943?\u959?\u965? 2011, \u960?\u961?\u959?\u954?\u949?\u953?\u956?\u941?\u957?\u959?\u965? \u957?\u945? \u955?\u951?\u966?\u952?\u949?\u943? \u965?\u960?\u972?\u968?\u951? \u951? \u960?\u961?\u959?\u963?\u967?\u974?\u961?\u951?\u963?\u951? \u964?\u951?\u962? \u916?\u951?\u956?\u959?\u954?\u961?\u945?\u964?\u943?\u945?\u962? \u964?\u951?\u962? \u922?\u961?\u959?\u945?\u964?\u943?\u945?\u962? \u963?\u964?\u951?\u957? \u917?\u965?\u961?\u969?\u960?\u945?\u970?\u954?\u942? \u904?\u957?\u969?\u963?\u951?"/>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19F8-B626-4814-A74F-3DFC7EF0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1180</Words>
  <Characters>6941</Characters>
  <Application>Microsoft Office Word</Application>
  <DocSecurity>0</DocSecurity>
  <Lines>150</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2019-05-16T16:34:00Z</cp:lastPrinted>
  <dcterms:created xsi:type="dcterms:W3CDTF">2019-10-07T15:02:00Z</dcterms:created>
  <dcterms:modified xsi:type="dcterms:W3CDTF">2019-11-07T09:28:00Z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