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BE2122D-57F5-4BDC-8250-6D7C5E269FE6"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u w:color="000000"/>
          <w:bdr w:val="nil"/>
        </w:rPr>
        <w:tab/>
      </w:r>
      <w:r>
        <w:rPr>
          <w:noProof/>
        </w:rPr>
        <w:t>Pasiūlymo pagrindimas ir tikslai</w:t>
      </w:r>
    </w:p>
    <w:p>
      <w:pPr>
        <w:pBdr>
          <w:top w:val="nil"/>
          <w:left w:val="nil"/>
          <w:bottom w:val="nil"/>
          <w:right w:val="nil"/>
          <w:between w:val="nil"/>
          <w:bar w:val="nil"/>
        </w:pBdr>
        <w:spacing w:before="0" w:after="240"/>
        <w:rPr>
          <w:noProof/>
        </w:rPr>
      </w:pPr>
      <w:r>
        <w:rPr>
          <w:noProof/>
        </w:rPr>
        <w:t>Pagal Stojimo akto 6 straipsnio 2 dalį Kroatija įsipareigojo prisijungti prie Sąjungos ir valstybių narių su trečiosiomis šalimis sudarytų ar pasirašytų susitarimų. Tarp šių susitarimų – Jungtinių Amerikos Valstijų, Europos Sąjungos bei jos valstybių narių, Islandijos ir Norvegijos oro susisiekimo susitarimas (toliau – Keturšalis susitarimas), kuriuo Islandija ir Norvegija įtraukiamos į Europos bendrijos bei jos valstybių narių ir Jungtinių Amerikos Valstijų susitarimo dėl oro susisiekimo (toliau – ES ir JAV oro susisiekimo susitarimas) taikymo sritį.</w:t>
      </w:r>
    </w:p>
    <w:p>
      <w:pPr>
        <w:pBdr>
          <w:top w:val="nil"/>
          <w:left w:val="nil"/>
          <w:bottom w:val="nil"/>
          <w:right w:val="nil"/>
          <w:between w:val="nil"/>
          <w:bar w:val="nil"/>
        </w:pBdr>
        <w:spacing w:before="0" w:after="240"/>
        <w:rPr>
          <w:noProof/>
        </w:rPr>
      </w:pPr>
      <w:r>
        <w:rPr>
          <w:noProof/>
        </w:rPr>
        <w:t>Toje nuostatoje taip pat nustatyta, kad dėl Kroatijos prisijungimo prie tokių susitarimų Taryba, vieningai spręsdama valstybių narių vardu, susitaria su atitinkamomis trečiosiomis šalimis sudarydama protokolą, pridedamą prie tokių susitarimų. Be to, dėl tų protokolų valstybių narių vardu derasi Komisija.</w:t>
      </w:r>
    </w:p>
    <w:p>
      <w:pPr>
        <w:pBdr>
          <w:top w:val="nil"/>
          <w:left w:val="nil"/>
          <w:bottom w:val="nil"/>
          <w:right w:val="nil"/>
          <w:between w:val="nil"/>
          <w:bar w:val="nil"/>
        </w:pBdr>
        <w:spacing w:before="0" w:after="240"/>
        <w:rPr>
          <w:noProof/>
        </w:rPr>
      </w:pPr>
      <w:r>
        <w:rPr>
          <w:noProof/>
        </w:rPr>
        <w:t>Todėl Komisija derėjosi dėl protokolo, kuriuo iš dalies keičiamas Keturšalis susitarimas, siekiant sudaryti sąlygas Kroatijai prisijungti prie to susitarimo.</w:t>
      </w:r>
    </w:p>
    <w:p>
      <w:pPr>
        <w:pBdr>
          <w:top w:val="nil"/>
          <w:left w:val="nil"/>
          <w:bottom w:val="nil"/>
          <w:right w:val="nil"/>
          <w:between w:val="nil"/>
          <w:bar w:val="nil"/>
        </w:pBdr>
        <w:spacing w:before="0" w:after="240"/>
        <w:rPr>
          <w:noProof/>
        </w:rPr>
      </w:pPr>
      <w:r>
        <w:rPr>
          <w:noProof/>
        </w:rPr>
        <w:t>Šio pasiūlymo tikslas – pasiekti, kad būtų priimtas Sutarties dėl Europos Sąjungos veikimo (SESV) 218 straipsnio 5 dalimi ir Stojimo akto 6 straipsnio 2 dalimi pagrįstas Tarybos sprendimas, kuriuo suteikiami įgaliojimai Sąjungos bei jos valstybių narių vardu pasirašyti protokolą ir laikinai taikyti jį Sąjungoje ir valstybėse narėse pagal jo 6 straipsnį su sąlyga, kad jis bus sudarytas vėliau.</w:t>
      </w:r>
    </w:p>
    <w:p>
      <w:pPr>
        <w:rPr>
          <w:noProof/>
          <w:color w:val="000000" w:themeColor="text1"/>
          <w:szCs w:val="24"/>
        </w:rPr>
      </w:pPr>
      <w:r>
        <w:rPr>
          <w:noProof/>
        </w:rPr>
        <w:t xml:space="preserve"> </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Bendrosios aplinkybės</w:t>
      </w:r>
    </w:p>
    <w:p>
      <w:pPr>
        <w:rPr>
          <w:noProof/>
        </w:rPr>
      </w:pPr>
      <w:r>
        <w:rPr>
          <w:noProof/>
        </w:rPr>
        <w:t>Kroatijos įsipareigojimas pagal Stojimo akto 6  straipsnio 2 dalį taip pat taikomas ES ir JAV oro susisiekimo susitarimui ir Europos Sąjungos bei jos valstybių narių, Islandijos ir Norvegijos papildomam susitarimui, kuriuo reglamentuojami tų susitariančiųjų šalių santykiai pagal Keturšalį susitarimą.</w:t>
      </w:r>
    </w:p>
    <w:p>
      <w:pPr>
        <w:rPr>
          <w:noProof/>
        </w:rPr>
      </w:pPr>
      <w:r>
        <w:rPr>
          <w:noProof/>
        </w:rPr>
        <w:t xml:space="preserve">Todėl Komisija derėjosi dėl protokolų, kuriais iš dalies keičiami ir minėtieji susitarimai, siekiant sudaryti sąlygas Kroatijai prisijungti prie tų susitarimų. Kartu su šiuo pasiūlymu pateikiami pasiūlymai dėl Tarybos sprendimų dėl tų protokolų pasirašymo ir laikino taikymo, taip pat dėl jų sudarymo, kaip ir pasiūlymas dėl Tarybos sprendimo dėl protokolo, kuriuo iš dalies keičiamas Keturšalis susitarimas, sudarymo. </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Suderinamumas su toje pačioje politikos srityje galiojančiomis nuostatomis</w:t>
      </w:r>
    </w:p>
    <w:p>
      <w:pPr>
        <w:spacing w:before="100" w:beforeAutospacing="1" w:after="100" w:afterAutospacing="1"/>
        <w:rPr>
          <w:noProof/>
        </w:rPr>
      </w:pPr>
      <w:r>
        <w:rPr>
          <w:noProof/>
        </w:rPr>
        <w:t>ES ir JAV oro susisiekimo susitarimas buvo pirmasis išsamus oro susisiekimo susitarimas su pagrindine Sąjungos aviacijos partnere. Tai yra svarbiausias oro susisiekimo susitarimas pasaulyje, pagal kurį per metus skraidinama daugiau kaip 80 mln. keleivių ir kuris yra su aviacija susijusios ES išorės politikos pagrindas. Po to, kai tas susitarimas Keturšalio susitarimo pagrindu taip pat pradėtas taikyti Islandijai ir Norvegijai, jo svarba padidėjo. Protokolu Kroatijai bus suteikta galimybė pasinaudoti to susitarimo teikiamomis galimybėmis.</w:t>
      </w:r>
    </w:p>
    <w:p>
      <w:pPr>
        <w:pStyle w:val="ManualHeading2"/>
        <w:rPr>
          <w:rFonts w:eastAsia="Arial Unicode MS"/>
          <w:noProof/>
        </w:rPr>
      </w:pPr>
      <w:r>
        <w:rPr>
          <w:noProof/>
          <w:u w:color="000000"/>
          <w:bdr w:val="nil"/>
        </w:rPr>
        <w:lastRenderedPageBreak/>
        <w:t>•</w:t>
      </w:r>
      <w:r>
        <w:rPr>
          <w:noProof/>
          <w:u w:color="000000"/>
          <w:bdr w:val="nil"/>
        </w:rPr>
        <w:tab/>
      </w:r>
      <w:r>
        <w:rPr>
          <w:noProof/>
        </w:rPr>
        <w:t>Suderinamumas su galiojančiomis pasiūlymo srities nuostatomis</w:t>
      </w:r>
    </w:p>
    <w:p>
      <w:pPr>
        <w:spacing w:before="100" w:beforeAutospacing="1" w:after="100" w:afterAutospacing="1"/>
        <w:rPr>
          <w:noProof/>
        </w:rPr>
      </w:pPr>
      <w:r>
        <w:rPr>
          <w:noProof/>
        </w:rPr>
        <w:t xml:space="preserve">Protokolu Kroatijai suteikiama galimybė įvykdyti savo įsipareigojimą pagal Stojimo akto 6 straipsnio 2 dalį prisijungti prie Keturšalio susitarimo.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pStyle w:val="ListParagraph"/>
        <w:autoSpaceDE w:val="0"/>
        <w:autoSpaceDN w:val="0"/>
        <w:adjustRightInd w:val="0"/>
        <w:ind w:left="0"/>
        <w:jc w:val="both"/>
        <w:rPr>
          <w:rFonts w:ascii="Times New Roman" w:hAnsi="Times New Roman"/>
          <w:noProof/>
          <w:color w:val="000000" w:themeColor="text1"/>
          <w:sz w:val="24"/>
          <w:szCs w:val="24"/>
        </w:rPr>
      </w:pPr>
      <w:r>
        <w:rPr>
          <w:rFonts w:ascii="Times New Roman" w:hAnsi="Times New Roman"/>
          <w:noProof/>
        </w:rPr>
        <w:t xml:space="preserve">SESV 100 straipsnio 2 dalis kartu su 218 straipsnio 5 dalimi ir Stojimo akto 6 straipsnio 2 dalies antra pastraipa. </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pStyle w:val="Text1"/>
        <w:spacing w:before="100" w:beforeAutospacing="1" w:after="100" w:afterAutospacing="1"/>
        <w:ind w:left="0"/>
        <w:rPr>
          <w:noProof/>
        </w:rPr>
      </w:pPr>
      <w:r>
        <w:rPr>
          <w:noProof/>
        </w:rPr>
        <w:t xml:space="preserve"> Protokolu Kroatijai bus suteikta galimybė pasinaudoti Keturšalio susitarimo, kuriuo sudaromos vienodos patekimo į rinką sąlygos ir kuriuo remiantis rengiami nauja reguliavimo institucijų bendradarbiavimo ir konvergencijos susitarimai tose srityse, kurios yra būtinos siekiant teikti saugias, patikimas ir veiksmingas oro susisiekimo paslaugas, teikiamomis galimybėmis. Tokie susitarimai gali būti pasiekti tik Sąjungos lygmeniu.</w:t>
      </w:r>
    </w:p>
    <w:p>
      <w:pPr>
        <w:pStyle w:val="ManualHeading2"/>
        <w:rPr>
          <w:rFonts w:eastAsia="Arial Unicode MS"/>
          <w:noProof/>
          <w:u w:color="000000"/>
          <w:bdr w:val="nil"/>
        </w:rPr>
      </w:pPr>
      <w:r>
        <w:rPr>
          <w:noProof/>
          <w:u w:color="000000"/>
          <w:bdr w:val="nil"/>
        </w:rPr>
        <w:t>•</w:t>
      </w:r>
      <w:r>
        <w:rPr>
          <w:noProof/>
          <w:u w:color="000000"/>
          <w:bdr w:val="nil"/>
        </w:rPr>
        <w:tab/>
        <w:t>Proporcingumo principas</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Protokolas yra susijęs tik su nagrinėjamu klausimu, t. y. Kroatijos prisijungimu prie Keturšalio susitarimo, ir jame nesprendžiami kiti klausimai. </w:t>
      </w:r>
    </w:p>
    <w:p>
      <w:pPr>
        <w:pStyle w:val="ManualHeading2"/>
        <w:rPr>
          <w:rFonts w:eastAsia="Arial Unicode MS"/>
          <w:noProof/>
          <w:u w:color="000000"/>
          <w:bdr w:val="nil"/>
        </w:rPr>
      </w:pPr>
      <w:r>
        <w:rPr>
          <w:noProof/>
          <w:u w:color="000000"/>
          <w:bdr w:val="nil"/>
        </w:rPr>
        <w:t>•</w:t>
      </w:r>
      <w:r>
        <w:rPr>
          <w:noProof/>
          <w:u w:color="000000"/>
          <w:bdr w:val="nil"/>
        </w:rPr>
        <w:tab/>
        <w:t>Priemonės pasirinkimas</w:t>
      </w:r>
    </w:p>
    <w:p>
      <w:pPr>
        <w:pBdr>
          <w:top w:val="nil"/>
          <w:left w:val="nil"/>
          <w:bottom w:val="nil"/>
          <w:right w:val="nil"/>
          <w:between w:val="nil"/>
          <w:bar w:val="nil"/>
        </w:pBdr>
        <w:spacing w:before="0" w:after="240"/>
        <w:rPr>
          <w:rFonts w:eastAsia="Arial Unicode MS"/>
          <w:noProof/>
          <w:color w:val="000000" w:themeColor="text1"/>
          <w:szCs w:val="24"/>
        </w:rPr>
      </w:pPr>
      <w:r>
        <w:rPr>
          <w:noProof/>
        </w:rPr>
        <w:t>Tarptautinis susitarimas.</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Galiojančių teisės aktų </w:t>
      </w:r>
      <w:r>
        <w:rPr>
          <w:i/>
          <w:noProof/>
          <w:u w:color="000000"/>
          <w:bdr w:val="nil"/>
        </w:rPr>
        <w:t>ex post</w:t>
      </w:r>
      <w:r>
        <w:rPr>
          <w:noProof/>
          <w:u w:color="000000"/>
          <w:bdr w:val="nil"/>
        </w:rPr>
        <w:t xml:space="preserve"> vertinimas / tinkamumo patikrinimas</w:t>
      </w:r>
    </w:p>
    <w:p>
      <w:pPr>
        <w:pBdr>
          <w:top w:val="nil"/>
          <w:left w:val="nil"/>
          <w:bottom w:val="nil"/>
          <w:right w:val="nil"/>
          <w:between w:val="nil"/>
          <w:bar w:val="nil"/>
        </w:pBdr>
        <w:spacing w:before="100" w:beforeAutospacing="1" w:after="100" w:afterAutospacing="1"/>
        <w:rPr>
          <w:noProof/>
        </w:rPr>
      </w:pPr>
      <w:r>
        <w:rPr>
          <w:noProof/>
        </w:rPr>
        <w:t>Netaikoma.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Konsultacijos su suinteresuotosiomis šalimis</w:t>
      </w:r>
    </w:p>
    <w:p>
      <w:pPr>
        <w:pBdr>
          <w:top w:val="nil"/>
          <w:left w:val="nil"/>
          <w:bottom w:val="nil"/>
          <w:right w:val="nil"/>
          <w:between w:val="nil"/>
          <w:bar w:val="nil"/>
        </w:pBdr>
        <w:spacing w:before="100" w:beforeAutospacing="1" w:after="100" w:afterAutospacing="1"/>
        <w:rPr>
          <w:noProof/>
        </w:rPr>
      </w:pPr>
      <w:r>
        <w:rPr>
          <w:noProof/>
        </w:rPr>
        <w:t>Netaikoma.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Tiriamųjų duomenų rinkimas ir naudojimas</w:t>
      </w:r>
    </w:p>
    <w:p>
      <w:pPr>
        <w:pBdr>
          <w:top w:val="nil"/>
          <w:left w:val="nil"/>
          <w:bottom w:val="nil"/>
          <w:right w:val="nil"/>
          <w:between w:val="nil"/>
          <w:bar w:val="nil"/>
        </w:pBdr>
        <w:spacing w:before="100" w:beforeAutospacing="1" w:after="100" w:afterAutospacing="1"/>
        <w:rPr>
          <w:noProof/>
        </w:rPr>
      </w:pPr>
      <w:r>
        <w:rPr>
          <w:noProof/>
        </w:rPr>
        <w:t>Netaikoma.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Poveikio vertinimas</w:t>
      </w:r>
    </w:p>
    <w:p>
      <w:pPr>
        <w:pBdr>
          <w:top w:val="nil"/>
          <w:left w:val="nil"/>
          <w:bottom w:val="nil"/>
          <w:right w:val="nil"/>
          <w:between w:val="nil"/>
          <w:bar w:val="nil"/>
        </w:pBdr>
        <w:spacing w:before="100" w:beforeAutospacing="1" w:after="100" w:afterAutospacing="1"/>
        <w:rPr>
          <w:noProof/>
        </w:rPr>
      </w:pPr>
      <w:r>
        <w:rPr>
          <w:noProof/>
        </w:rPr>
        <w:t>Netaikoma.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Reglamentavimo tinkamumas ir supaprastinimas</w:t>
      </w:r>
    </w:p>
    <w:p>
      <w:pPr>
        <w:pBdr>
          <w:top w:val="nil"/>
          <w:left w:val="nil"/>
          <w:bottom w:val="nil"/>
          <w:right w:val="nil"/>
          <w:between w:val="nil"/>
          <w:bar w:val="nil"/>
        </w:pBdr>
        <w:spacing w:before="100" w:beforeAutospacing="1" w:after="100" w:afterAutospacing="1"/>
        <w:rPr>
          <w:noProof/>
        </w:rPr>
      </w:pPr>
      <w:r>
        <w:rPr>
          <w:noProof/>
        </w:rPr>
        <w:t>Netaikoma.</w:t>
      </w:r>
    </w:p>
    <w:p>
      <w:pPr>
        <w:pStyle w:val="ManualHeading2"/>
        <w:spacing w:before="100" w:beforeAutospacing="1" w:after="100" w:afterAutospacing="1"/>
        <w:rPr>
          <w:rFonts w:eastAsia="Arial Unicode MS"/>
          <w:noProof/>
          <w:color w:val="000000"/>
          <w:u w:color="000000"/>
          <w:bdr w:val="nil"/>
        </w:rPr>
      </w:pPr>
      <w:r>
        <w:rPr>
          <w:noProof/>
          <w:u w:color="000000"/>
          <w:bdr w:val="nil"/>
        </w:rPr>
        <w:lastRenderedPageBreak/>
        <w:t>•</w:t>
      </w:r>
      <w:r>
        <w:rPr>
          <w:noProof/>
          <w:u w:color="000000"/>
          <w:bdr w:val="nil"/>
        </w:rPr>
        <w:tab/>
        <w:t>Pagrindinės teisės</w:t>
      </w:r>
    </w:p>
    <w:p>
      <w:pPr>
        <w:pBdr>
          <w:top w:val="nil"/>
          <w:left w:val="nil"/>
          <w:bottom w:val="nil"/>
          <w:right w:val="nil"/>
          <w:between w:val="nil"/>
          <w:bar w:val="nil"/>
        </w:pBdr>
        <w:spacing w:before="100" w:beforeAutospacing="1" w:after="100" w:afterAutospacing="1"/>
        <w:rPr>
          <w:noProof/>
        </w:rPr>
      </w:pPr>
      <w:r>
        <w:rPr>
          <w:noProof/>
        </w:rPr>
        <w:t>Netaikoma.</w:t>
      </w:r>
    </w:p>
    <w:p>
      <w:pPr>
        <w:pStyle w:val="ManualHeading2"/>
        <w:rPr>
          <w:noProof/>
        </w:rPr>
      </w:pPr>
      <w:r>
        <w:rPr>
          <w:noProof/>
        </w:rPr>
        <w:t>4.</w:t>
      </w:r>
      <w:r>
        <w:rPr>
          <w:noProof/>
        </w:rPr>
        <w:tab/>
        <w:t>POVEIKIS BIUDŽETUI</w:t>
      </w:r>
    </w:p>
    <w:p>
      <w:pPr>
        <w:pBdr>
          <w:top w:val="nil"/>
          <w:left w:val="nil"/>
          <w:bottom w:val="nil"/>
          <w:right w:val="nil"/>
          <w:between w:val="nil"/>
          <w:bar w:val="nil"/>
        </w:pBdr>
        <w:spacing w:before="100" w:beforeAutospacing="1" w:after="100" w:afterAutospacing="1"/>
        <w:rPr>
          <w:noProof/>
        </w:rPr>
      </w:pPr>
      <w:r>
        <w:rPr>
          <w:noProof/>
        </w:rPr>
        <w:t>Pasiūlymas neturi poveikio Sąjungos biudžetui.</w:t>
      </w:r>
    </w:p>
    <w:p>
      <w:pPr>
        <w:pStyle w:val="ManualHeading1"/>
        <w:rPr>
          <w:noProof/>
        </w:rPr>
      </w:pPr>
      <w:r>
        <w:rPr>
          <w:noProof/>
        </w:rPr>
        <w:t>5.</w:t>
      </w:r>
      <w:r>
        <w:rPr>
          <w:noProof/>
        </w:rPr>
        <w:tab/>
        <w:t>KITI ELEMENTAI</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Siūlomo susitarimo santrauka  </w:t>
      </w:r>
    </w:p>
    <w:p>
      <w:pPr>
        <w:pBdr>
          <w:top w:val="nil"/>
          <w:left w:val="nil"/>
          <w:bottom w:val="nil"/>
          <w:right w:val="nil"/>
          <w:between w:val="nil"/>
          <w:bar w:val="nil"/>
        </w:pBdr>
        <w:spacing w:before="100" w:beforeAutospacing="1" w:after="100" w:afterAutospacing="1"/>
        <w:rPr>
          <w:noProof/>
        </w:rPr>
      </w:pPr>
      <w:r>
        <w:rPr>
          <w:noProof/>
        </w:rPr>
        <w:t>Protokolą sudaro dėstomoji dalis, kurioje numatytas Kroatijos prisijungimas prie Keturšalio susitarimo ir susijusios to susitarimo pataisos, ir bendra deklaracija dėl kitų kalbinių redakcijų autentiškumo patvirtinimo.</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2019/0259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Protokolo, kuriuo, atsižvelgiant į Kroatijos Respublikos įstojimą į Europos Sąjungą, iš dalies keičiamas 2011 m. birželio 16 ir 21 d. pasirašytas Jungtinių Amerikos Valstijų, Europos Sąjungos bei jos valstybių narių, Islandijos ir Norvegijos Karalystės oro susisiekimo susitarimas, pasirašymo Europos Sąjungos bei jos valstybių narių vardu</w:t>
      </w:r>
    </w:p>
    <w:p>
      <w:pPr>
        <w:pStyle w:val="Institutionquiagit"/>
        <w:rPr>
          <w:noProof/>
        </w:rPr>
      </w:pPr>
      <w:r>
        <w:rPr>
          <w:noProof/>
        </w:rPr>
        <w:t>EUROPOS SĄJUNGOS TARYBA,</w:t>
      </w:r>
    </w:p>
    <w:p>
      <w:pPr>
        <w:rPr>
          <w:noProof/>
        </w:rPr>
      </w:pPr>
      <w:r>
        <w:rPr>
          <w:noProof/>
        </w:rPr>
        <w:t>atsižvelgdama į Sutartį dėl Europos Sąjungos veikimo, ypač į jos 100 straipsnio 2 dalį kartu su 218 straipsnio 5 dalimi,</w:t>
      </w:r>
    </w:p>
    <w:p>
      <w:pPr>
        <w:rPr>
          <w:noProof/>
        </w:rPr>
      </w:pPr>
      <w:r>
        <w:rPr>
          <w:noProof/>
        </w:rPr>
        <w:t>atsižvelgdama į Kroatijos stojimo aktą, ypač į jo 6 straipsnio 2 dalies antrą pastraipą,</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 xml:space="preserve">remdamasi 2012 m. rugsėjo 14 d. Tarybos sprendimu 13351/12, kuriuo Komisija įgaliojama pradėti derybas, Komisija derėjosi dėl Protokolo, kuriuo, atsižvelgiant į Kroatijos  Respublikos įstojimą į Europos Sąjungą, iš dalies keičiamas 2011 m. birželio 16 ir 21 d. pasirašytas Jungtinių Amerikos Valstijų, Europos Sąjungos bei jos valstybių narių, Islandijos ir Norvegijos Karalystės oro susisiekimo susitarimas (toliau – Protokolas); </w:t>
      </w:r>
    </w:p>
    <w:p>
      <w:pPr>
        <w:pStyle w:val="ManualConsidrant"/>
        <w:rPr>
          <w:noProof/>
        </w:rPr>
      </w:pPr>
      <w:r>
        <w:t>(2)</w:t>
      </w:r>
      <w:r>
        <w:tab/>
      </w:r>
      <w:r>
        <w:rPr>
          <w:noProof/>
        </w:rPr>
        <w:t>derybos sėkmingai užbaigtos 2019 m. kovo 8 d. parafavus Protokolą;</w:t>
      </w:r>
    </w:p>
    <w:p>
      <w:pPr>
        <w:pStyle w:val="ManualConsidrant"/>
        <w:rPr>
          <w:noProof/>
        </w:rPr>
      </w:pPr>
      <w:r>
        <w:t>(3)</w:t>
      </w:r>
      <w:r>
        <w:tab/>
      </w:r>
      <w:r>
        <w:rPr>
          <w:noProof/>
        </w:rPr>
        <w:t>Sąjunga ir jos valstybės narės Protokolą turėtų pasirašyti ir laikinai taikyti pagal jo 6 straipsnį su sąlyga, kad jis bus sudarytas vėliau,</w:t>
      </w:r>
    </w:p>
    <w:p>
      <w:pPr>
        <w:pStyle w:val="Formuledadoption"/>
        <w:rPr>
          <w:noProof/>
        </w:rPr>
      </w:pPr>
      <w:r>
        <w:rPr>
          <w:noProof/>
        </w:rPr>
        <w:t xml:space="preserve">PRIĖMĖ ŠĮ SPRENDIMĄ: </w:t>
      </w:r>
    </w:p>
    <w:p>
      <w:pPr>
        <w:pStyle w:val="Titrearticle"/>
        <w:spacing w:before="120"/>
        <w:outlineLvl w:val="0"/>
        <w:rPr>
          <w:noProof/>
        </w:rPr>
      </w:pPr>
      <w:r>
        <w:rPr>
          <w:noProof/>
        </w:rPr>
        <w:t>1 straipsnis</w:t>
      </w:r>
      <w:r>
        <w:rPr>
          <w:noProof/>
        </w:rPr>
        <w:br/>
      </w:r>
    </w:p>
    <w:p>
      <w:pPr>
        <w:rPr>
          <w:noProof/>
        </w:rPr>
      </w:pPr>
      <w:r>
        <w:rPr>
          <w:noProof/>
        </w:rPr>
        <w:t>Sąjungos bei jos valstybių narių vardu įgaliojama pasirašyti Protokolą, kuriuo, atsižvelgiant į Kroatijos  Respublikos įstojimą į Europos Sąjungą, iš dalies keičiamas 2011 m. birželio 16 ir 21 d. pasirašytas Jungtinių Amerikos Valstijų, Europos Sąjungos bei jos valstybių narių, Islandijos ir Norvegijos Karalystės oro susisiekimo susitarimas, su sąlyga, kad Protokolas bus sudarytas.</w:t>
      </w:r>
    </w:p>
    <w:p>
      <w:pPr>
        <w:rPr>
          <w:noProof/>
        </w:rPr>
      </w:pPr>
      <w:r>
        <w:rPr>
          <w:noProof/>
        </w:rPr>
        <w:t>Protokolo tekstas pridedamas prie šio sprendimo.</w:t>
      </w:r>
    </w:p>
    <w:p>
      <w:pPr>
        <w:pStyle w:val="Titrearticle"/>
        <w:rPr>
          <w:noProof/>
        </w:rPr>
      </w:pPr>
      <w:r>
        <w:rPr>
          <w:noProof/>
        </w:rPr>
        <w:t xml:space="preserve">2 straipsnis </w:t>
      </w:r>
    </w:p>
    <w:p>
      <w:pPr>
        <w:rPr>
          <w:noProof/>
        </w:rPr>
      </w:pPr>
      <w:r>
        <w:rPr>
          <w:noProof/>
        </w:rPr>
        <w:t>Tarybos pirmininkas įgaliojamas paskirti asmenį (-is), įgaliotą (-us) Sąjungos ir jos valstybių narių vardu pasirašyti Protokolą.</w:t>
      </w:r>
    </w:p>
    <w:p>
      <w:pPr>
        <w:pStyle w:val="Titrearticle"/>
        <w:spacing w:after="0"/>
        <w:rPr>
          <w:noProof/>
        </w:rPr>
      </w:pPr>
      <w:r>
        <w:rPr>
          <w:noProof/>
        </w:rPr>
        <w:lastRenderedPageBreak/>
        <w:t>3 straipsnis</w:t>
      </w:r>
    </w:p>
    <w:p>
      <w:pPr>
        <w:rPr>
          <w:noProof/>
        </w:rPr>
      </w:pPr>
      <w:r>
        <w:rPr>
          <w:noProof/>
        </w:rPr>
        <w:t>Kol Protokolas neįsigaliojo, Sąjunga ir jos valstybės narės Protokolą laikinai taiko pagal jo 6 straipsnį.</w:t>
      </w:r>
    </w:p>
    <w:p>
      <w:pPr>
        <w:pStyle w:val="Text1"/>
        <w:rPr>
          <w:noProof/>
        </w:rPr>
      </w:pPr>
    </w:p>
    <w:p>
      <w:pPr>
        <w:pStyle w:val="Titrearticle"/>
        <w:spacing w:before="120"/>
        <w:outlineLvl w:val="0"/>
        <w:rPr>
          <w:noProof/>
        </w:rPr>
      </w:pPr>
      <w:r>
        <w:rPr>
          <w:noProof/>
        </w:rPr>
        <w:t>4 straipsnis</w:t>
      </w:r>
    </w:p>
    <w:p>
      <w:pPr>
        <w:rPr>
          <w:noProof/>
        </w:rPr>
      </w:pPr>
      <w:r>
        <w:rPr>
          <w:noProof/>
        </w:rPr>
        <w:t xml:space="preserve">Šis sprendimas įsigalioja jo priėmimo dieną. </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0:29: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BE2122D-57F5-4BDC-8250-6D7C5E269FE6"/>
    <w:docVar w:name="LW_COVERPAGE_TYPE" w:val="1"/>
    <w:docVar w:name="LW_CROSSREFERENCE" w:val="&lt;UNUSED&gt;"/>
    <w:docVar w:name="LW_DocType" w:val="COM"/>
    <w:docVar w:name="LW_EMISSION" w:val="2019 11 14"/>
    <w:docVar w:name="LW_EMISSION_ISODATE" w:val="2019-11-14"/>
    <w:docVar w:name="LW_EMISSION_LOCATION" w:val="BRX"/>
    <w:docVar w:name="LW_EMISSION_PREFIX" w:val="Briuseli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59"/>
    <w:docVar w:name="LW_REF.II.NEW.CP_YEAR" w:val="2019"/>
    <w:docVar w:name="LW_REF.INST.NEW" w:val="COM"/>
    <w:docVar w:name="LW_REF.INST.NEW_ADOPTED" w:val="final"/>
    <w:docVar w:name="LW_REF.INST.NEW_TEXT" w:val="(2019) 5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rotokolo, kuriuo, atsi\u382?velgiant \u303? Kroatijos Respublikos \u303?stojim\u261? \u303? Europos S\u261?jung\u261?, i\u353? dalies kei\u269?iamas 2011 m. bir\u382?elio 16 ir 21 d. pasira\u353?ytas Jungtini\u371? Amerikos Valstij\u371?, Europos S\u261?jungos bei jos valstybi\u371? nari\u371?, Islandijos ir Norvegijos Karalyst\u279?s oro susisiekimo susitarimas, pasira\u353?ymo Europos S\u261?jungos bei jos valstybi\u371? nari\u371? vardu"/>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9E01-EC2F-4831-92DD-346B15E1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891</Words>
  <Characters>6041</Characters>
  <Application>Microsoft Office Word</Application>
  <DocSecurity>0</DocSecurity>
  <Lines>128</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2019-05-16T16:34:00Z</cp:lastPrinted>
  <dcterms:created xsi:type="dcterms:W3CDTF">2019-10-04T12:49:00Z</dcterms:created>
  <dcterms:modified xsi:type="dcterms:W3CDTF">2019-11-07T09:29:00Z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