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F2FEEC4-6714-4D6F-901B-B77E3049A567" style="width:450.7pt;height:352.05pt">
            <v:imagedata r:id="rId10" o:title=""/>
          </v:shape>
        </w:pict>
      </w:r>
    </w:p>
    <w:p>
      <w:pPr>
        <w:rPr>
          <w:noProof/>
        </w:rPr>
        <w:sectPr>
          <w:footerReference w:type="default" r:id="rId11"/>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rFonts w:eastAsia="Arial Unicode MS"/>
          <w:noProof/>
        </w:rPr>
      </w:pPr>
      <w:r>
        <w:t>1.</w:t>
      </w:r>
      <w:r>
        <w:tab/>
      </w:r>
      <w:r>
        <w:rPr>
          <w:noProof/>
        </w:rPr>
        <w:t>Kavandatav reguleerimisese</w:t>
      </w:r>
    </w:p>
    <w:p>
      <w:pPr>
        <w:rPr>
          <w:rFonts w:eastAsia="Arial Unicode MS"/>
          <w:noProof/>
        </w:rPr>
      </w:pPr>
      <w:r>
        <w:rPr>
          <w:noProof/>
        </w:rPr>
        <w:t>Käesolevas ettepanekus käsitletakse otsust, millega määratakse kindlaks seisukoht, mis võetakse liidu nimel Kanada ning Euroopa Ühenduse ja selle liikmesriikide vahelise lennutranspordilepingu (edaspidi „leping“) alusel loodud ühiskomitees</w:t>
      </w:r>
      <w:r>
        <w:rPr>
          <w:rStyle w:val="FootnoteReference"/>
          <w:noProof/>
        </w:rPr>
        <w:footnoteReference w:id="1"/>
      </w:r>
      <w:r>
        <w:rPr>
          <w:noProof/>
        </w:rPr>
        <w:t>.</w:t>
      </w:r>
    </w:p>
    <w:p>
      <w:pPr>
        <w:pStyle w:val="ManualHeading1"/>
        <w:rPr>
          <w:noProof/>
        </w:rPr>
      </w:pPr>
      <w:r>
        <w:t>2.</w:t>
      </w:r>
      <w:r>
        <w:tab/>
      </w:r>
      <w:r>
        <w:rPr>
          <w:noProof/>
        </w:rPr>
        <w:t>Ettepaneku taust</w:t>
      </w:r>
    </w:p>
    <w:p>
      <w:pPr>
        <w:pStyle w:val="ManualHeading2"/>
        <w:rPr>
          <w:noProof/>
        </w:rPr>
      </w:pPr>
      <w:r>
        <w:t>2.1.</w:t>
      </w:r>
      <w:r>
        <w:tab/>
      </w:r>
      <w:r>
        <w:rPr>
          <w:noProof/>
        </w:rPr>
        <w:t>Kanada ning Euroopa Ühenduse ja selle liikmesriikide vaheline lennutranspordileping</w:t>
      </w:r>
    </w:p>
    <w:p>
      <w:pPr>
        <w:rPr>
          <w:rFonts w:eastAsia="Arial Unicode MS"/>
          <w:noProof/>
        </w:rPr>
      </w:pPr>
      <w:r>
        <w:rPr>
          <w:noProof/>
        </w:rPr>
        <w:t xml:space="preserve">Leping kujutab endast ulatuslikku lepet, millega asendatakse liikmesriikide ja Kanada vahel sõlmitud kehtivate kahepoolsete lepingute asjaomased sätted. Lepinguga kõrvaldatakse kõik kehtivad piirangud nii liidu kui ka Kanada lennuettevõtjate õigustele tegutseda Euroopa Liidus ja Kanadas asuvate punktide vahel. Lepinguga kõrvaldatakse takistused, mis ei lase liidu lennuettevõtjatel kasutada liidu piires asutamisõigust, sealhulgas õigust mittediskrimineerivale turulepääsule seoses lennuteenuste osutamisega Kanadasse ja Kanadast. </w:t>
      </w:r>
    </w:p>
    <w:p>
      <w:pPr>
        <w:rPr>
          <w:rFonts w:eastAsia="Arial Unicode MS"/>
          <w:noProof/>
        </w:rPr>
      </w:pPr>
      <w:r>
        <w:rPr>
          <w:noProof/>
        </w:rPr>
        <w:t xml:space="preserve">Leping jõustus 16. mail 2019. </w:t>
      </w:r>
    </w:p>
    <w:p>
      <w:pPr>
        <w:pStyle w:val="ManualHeading2"/>
        <w:rPr>
          <w:noProof/>
        </w:rPr>
      </w:pPr>
      <w:r>
        <w:t>2.2.</w:t>
      </w:r>
      <w:r>
        <w:tab/>
      </w:r>
      <w:r>
        <w:rPr>
          <w:noProof/>
        </w:rPr>
        <w:t>Ühiskomitee</w:t>
      </w:r>
    </w:p>
    <w:p>
      <w:pPr>
        <w:rPr>
          <w:rFonts w:eastAsia="Arial Unicode MS"/>
          <w:noProof/>
        </w:rPr>
      </w:pPr>
      <w:r>
        <w:rPr>
          <w:noProof/>
        </w:rPr>
        <w:t xml:space="preserve">Ühiskomitee moodustatakse lepingu artikli 17 alusel. Selle peamised ülesanded on edendada lepinguosaliste vahelist koostööd ja arutada kõiki lepingu toimimise või rakendamisega seotud küsimusi, sealhulgas, kuid mitte ainult: a) lepingukohaseid lennuteenuseid mõjutavate turutingimuste läbivaatamine; b) teabevahetus, sealhulgas nõu andmine lepingut mõjutavate siseriiklike õigusaktide ja poliitikasuundade muutmiseks; c) selliste võimalike valdkondade kaalumine, millega seoses võiks lepingut täiustada; d) soovituste esitamine selliste tingimuste, menetluste ja muudatuste kohta, mis on vajalikud selleks, et uued liikmesriigid saaksid käesoleva lepingu osalisteks; ning e) investeerimise, omandiõiguse ja kontrolliga seotud küsimuste arutamine ning 2. lisas sätestatud liiklusõiguste järkjärgulise andmise tingimuste täitmise kinnitamine. Ühiskomitee arendab ka koostööd ja soodustab uute seadusandlike ja regulatiivsete algatuste kohta teabe vahetamist ekspertide vahel. </w:t>
      </w:r>
    </w:p>
    <w:p>
      <w:pPr>
        <w:rPr>
          <w:rFonts w:eastAsia="Arial Unicode MS"/>
          <w:noProof/>
        </w:rPr>
      </w:pPr>
      <w:r>
        <w:rPr>
          <w:noProof/>
        </w:rPr>
        <w:t xml:space="preserve">Ühiskomitee võtab vastu otsuseid, kui see on lepinguga sõnaselgelt ette nähtud. Kõik otsused tehakse konsensuse alusel. Ühiskomitee võtab otsusega vastu oma töökorra. </w:t>
      </w:r>
    </w:p>
    <w:p>
      <w:pPr>
        <w:pStyle w:val="ManualHeading2"/>
        <w:rPr>
          <w:noProof/>
        </w:rPr>
      </w:pPr>
      <w:r>
        <w:t>2.3.</w:t>
      </w:r>
      <w:r>
        <w:tab/>
      </w:r>
      <w:r>
        <w:rPr>
          <w:noProof/>
        </w:rPr>
        <w:t>Ühiskomitee kavandatav akt</w:t>
      </w:r>
    </w:p>
    <w:p>
      <w:pPr>
        <w:rPr>
          <w:rFonts w:eastAsia="Arial Unicode MS"/>
          <w:noProof/>
        </w:rPr>
      </w:pPr>
      <w:r>
        <w:rPr>
          <w:noProof/>
        </w:rPr>
        <w:t xml:space="preserve">Esimesel koosolekul võtab ühiskomitee vastu otsuse ühiskomitee töökorra vastuvõtmise kohta (edaspidi „kavandatav akt“). </w:t>
      </w:r>
    </w:p>
    <w:p>
      <w:pPr>
        <w:rPr>
          <w:rFonts w:eastAsia="Arial Unicode MS"/>
          <w:noProof/>
        </w:rPr>
      </w:pPr>
      <w:r>
        <w:rPr>
          <w:noProof/>
        </w:rPr>
        <w:t>Kavandatava akti eesmärk on võtta lepingu artikli 17 lõike 8 kohaselt vastu ühiskomitee tegevust toetav töökord, et võimaldada lepingu rakendamist.</w:t>
      </w:r>
    </w:p>
    <w:p>
      <w:pPr>
        <w:pStyle w:val="ManualHeading1"/>
        <w:rPr>
          <w:rFonts w:eastAsia="Arial Unicode MS"/>
          <w:noProof/>
        </w:rPr>
      </w:pPr>
      <w:r>
        <w:lastRenderedPageBreak/>
        <w:t>3.</w:t>
      </w:r>
      <w:r>
        <w:tab/>
      </w:r>
      <w:r>
        <w:rPr>
          <w:noProof/>
        </w:rPr>
        <w:t>Liidu nimel võetav seisukoht</w:t>
      </w:r>
    </w:p>
    <w:p>
      <w:pPr>
        <w:rPr>
          <w:noProof/>
        </w:rPr>
      </w:pPr>
      <w:r>
        <w:rPr>
          <w:noProof/>
        </w:rPr>
        <w:t>Liidu nimel võetava seisukoha eesmärk peaks olema võtta vastu Kanada – ELi ühiskomitee töökord. Seisukoht peaks põhinema ühiskomitee otsuse eelnõul.</w:t>
      </w:r>
    </w:p>
    <w:p>
      <w:pPr>
        <w:pStyle w:val="ManualHeading1"/>
        <w:rPr>
          <w:noProof/>
        </w:rPr>
      </w:pPr>
      <w:r>
        <w:t>4.</w:t>
      </w:r>
      <w:r>
        <w:tab/>
      </w:r>
      <w:r>
        <w:rPr>
          <w:noProof/>
        </w:rPr>
        <w:t>Õiguslik alus</w:t>
      </w:r>
    </w:p>
    <w:p>
      <w:pPr>
        <w:pStyle w:val="ManualHeading2"/>
        <w:rPr>
          <w:noProof/>
        </w:rPr>
      </w:pPr>
      <w:r>
        <w:t>4.1.</w:t>
      </w:r>
      <w:r>
        <w:tab/>
      </w:r>
      <w:r>
        <w:rPr>
          <w:noProof/>
        </w:rPr>
        <w:t>Menetlusõiguslik alus</w:t>
      </w:r>
    </w:p>
    <w:p>
      <w:pPr>
        <w:pStyle w:val="ManualHeading3"/>
        <w:rPr>
          <w:noProof/>
        </w:rPr>
      </w:pPr>
      <w:r>
        <w:t>4.1.1.</w:t>
      </w:r>
      <w:r>
        <w:tab/>
      </w:r>
      <w:r>
        <w:rPr>
          <w:noProof/>
        </w:rPr>
        <w:t>Põhimõtted</w:t>
      </w:r>
    </w:p>
    <w:p>
      <w:pPr>
        <w:rPr>
          <w:i/>
          <w:noProof/>
        </w:rPr>
      </w:pPr>
      <w:r>
        <w:rPr>
          <w:noProof/>
        </w:rPr>
        <w:t>Euroopa Liidu toimimise lepingu (edaspidi „ELi toimimise leping“) artikli 218 lõikes 9 on sätestatud, et „[n]õukogu võtab komisjoni [...] ettepaneku põhjal vastu otsuse, millega […] kehtestatakse lepingus sätestatud organis liidu nimel võetavad seisukohad, kui asjaomasel organil tuleb vastu võtta õigusliku toimega akte, välja arvatud õigusaktid, millega täiendatakse või muudetakse lepingu institutsioonilist raamistikku.“</w:t>
      </w:r>
    </w:p>
    <w:p>
      <w:pPr>
        <w:rPr>
          <w:noProof/>
        </w:rPr>
      </w:pPr>
      <w:r>
        <w:rPr>
          <w:noProof/>
        </w:rPr>
        <w:t>Mõiste „õigusliku toimega aktid“ hõlmab akte, millel on õiguslik toime asjaomase organi suhtes kehtiva rahvusvahelise õiguse normide alusel. Siia hulka kuuluvad ka sellised õiguslikud vahendid, mis ei ole rahvusvahelise õiguse kohaselt siduvad, aga mis „võivad mõjutada otsustavalt liidu seadusandja vastu võetud õigusaktide sisu“.</w:t>
      </w:r>
    </w:p>
    <w:p>
      <w:pPr>
        <w:pStyle w:val="ManualHeading3"/>
        <w:rPr>
          <w:noProof/>
        </w:rPr>
      </w:pPr>
      <w:r>
        <w:t>4.1.2.</w:t>
      </w:r>
      <w:r>
        <w:tab/>
      </w:r>
      <w:r>
        <w:rPr>
          <w:noProof/>
        </w:rPr>
        <w:t>Kohaldamine käesoleval juhul</w:t>
      </w:r>
    </w:p>
    <w:p>
      <w:pPr>
        <w:rPr>
          <w:noProof/>
        </w:rPr>
      </w:pPr>
      <w:r>
        <w:rPr>
          <w:noProof/>
        </w:rPr>
        <w:t>Ühiskomitee on lepingu, nimelt Kanada ning Euroopa Ühenduse ja selle liikmesriikide vahelise lennutranspordilepingu alusel loodud organ.</w:t>
      </w:r>
    </w:p>
    <w:p>
      <w:pPr>
        <w:rPr>
          <w:noProof/>
        </w:rPr>
      </w:pPr>
      <w:r>
        <w:rPr>
          <w:noProof/>
        </w:rPr>
        <w:t xml:space="preserve">Õigusakt, mille ühiskomitee peaks vastu võtma, on õigusliku toimega akt, kuna sellega kehtestatakse lepinguosalistele rahvusvahelisest õigusest tulenevad kohustused. </w:t>
      </w:r>
    </w:p>
    <w:p>
      <w:pPr>
        <w:rPr>
          <w:noProof/>
        </w:rPr>
      </w:pPr>
      <w:r>
        <w:rPr>
          <w:noProof/>
        </w:rPr>
        <w:t>Kavandatav akt ei täienda ega muuda lepingu institutsioonilist raamistikku.</w:t>
      </w:r>
    </w:p>
    <w:p>
      <w:pPr>
        <w:rPr>
          <w:noProof/>
        </w:rPr>
      </w:pPr>
      <w:r>
        <w:rPr>
          <w:noProof/>
        </w:rPr>
        <w:t>Eelnevat arvesse võttes on esildatud otsuse menetlusõiguslik alus ELi toimimise lepingu artikli 218 lõige 9.</w:t>
      </w:r>
    </w:p>
    <w:p>
      <w:pPr>
        <w:pStyle w:val="ManualHeading2"/>
        <w:rPr>
          <w:noProof/>
        </w:rPr>
      </w:pPr>
      <w:r>
        <w:t>4.2.</w:t>
      </w:r>
      <w:r>
        <w:tab/>
      </w:r>
      <w:r>
        <w:rPr>
          <w:noProof/>
        </w:rPr>
        <w:t>Materiaalõiguslik alus</w:t>
      </w:r>
    </w:p>
    <w:p>
      <w:pPr>
        <w:pStyle w:val="ManualHeading3"/>
        <w:rPr>
          <w:noProof/>
        </w:rPr>
      </w:pPr>
      <w:r>
        <w:t>4.2.1.</w:t>
      </w:r>
      <w:r>
        <w:tab/>
      </w:r>
      <w:r>
        <w:rPr>
          <w:noProof/>
        </w:rPr>
        <w:t>Põhimõtted</w:t>
      </w:r>
    </w:p>
    <w:p>
      <w:pPr>
        <w:rPr>
          <w:noProof/>
        </w:rPr>
      </w:pPr>
      <w:r>
        <w:rPr>
          <w:noProof/>
        </w:rPr>
        <w:t>ELi toimimise lepingu artikli 218 lõike 9 kohase otsuse materiaalõiguslik alus sõltub eelkõige selle kavandatava akti eesmärgist ja sisust, mida liidu nimel võetav seisukoht puudutab. Kui kavandatava aktiga taotletakse kaht eesmärki või reguleeritakse kaht valdkonda ning üht neist võib pidada peamiseks või ülekaalukaks, samas kui teine on kõrvalise tähtsusega, peab ELi toimimise lepingu artikli 218 lõike 9 kohasel otsusel olema üksainus materiaalõiguslik alus, st peamise või ülekaaluka eesmärgi või valdkonna tõttu nõutav õiguslik alus.</w:t>
      </w:r>
    </w:p>
    <w:p>
      <w:pPr>
        <w:pStyle w:val="ManualHeading3"/>
        <w:rPr>
          <w:noProof/>
        </w:rPr>
      </w:pPr>
      <w:r>
        <w:t>4.2.2.</w:t>
      </w:r>
      <w:r>
        <w:tab/>
      </w:r>
      <w:r>
        <w:rPr>
          <w:noProof/>
        </w:rPr>
        <w:t>Kohaldamine käesoleval juhul</w:t>
      </w:r>
    </w:p>
    <w:p>
      <w:pPr>
        <w:rPr>
          <w:noProof/>
        </w:rPr>
      </w:pPr>
      <w:r>
        <w:rPr>
          <w:noProof/>
        </w:rPr>
        <w:t>Käesoleva kavandatava akti eesmärk ja sisu on seotud lennutranspordiga.</w:t>
      </w:r>
    </w:p>
    <w:p>
      <w:pPr>
        <w:rPr>
          <w:noProof/>
        </w:rPr>
      </w:pPr>
      <w:r>
        <w:rPr>
          <w:noProof/>
        </w:rPr>
        <w:t>Ettepanekus esitatud otsuse materiaalõiguslik alus on seega ELi toimimise lepingu artikli 100 lõige 2.</w:t>
      </w:r>
    </w:p>
    <w:p>
      <w:pPr>
        <w:pStyle w:val="ManualHeading2"/>
        <w:rPr>
          <w:noProof/>
        </w:rPr>
      </w:pPr>
      <w:r>
        <w:t>4.3.</w:t>
      </w:r>
      <w:r>
        <w:tab/>
      </w:r>
      <w:r>
        <w:rPr>
          <w:noProof/>
        </w:rPr>
        <w:t>Järeldus</w:t>
      </w:r>
    </w:p>
    <w:p>
      <w:pPr>
        <w:rPr>
          <w:noProof/>
        </w:rPr>
      </w:pPr>
      <w:r>
        <w:rPr>
          <w:noProof/>
        </w:rPr>
        <w:t>Ettepanekus esitatud otsuse õiguslik alus peaks seega olema Euroopa Liidu toimimise lepingu artikli 100 lõige 2 koostoimes artikli 218 lõikega 9.</w:t>
      </w:r>
    </w:p>
    <w:p>
      <w:pPr>
        <w:pStyle w:val="ManualHeading1"/>
        <w:rPr>
          <w:noProof/>
        </w:rPr>
      </w:pPr>
      <w:r>
        <w:lastRenderedPageBreak/>
        <w:t>5.</w:t>
      </w:r>
      <w:r>
        <w:tab/>
      </w:r>
      <w:r>
        <w:rPr>
          <w:noProof/>
        </w:rPr>
        <w:t>Kavandatava õigusakti avaldamine</w:t>
      </w:r>
    </w:p>
    <w:p>
      <w:pPr>
        <w:rPr>
          <w:noProof/>
        </w:rPr>
      </w:pPr>
      <w:r>
        <w:rPr>
          <w:noProof/>
        </w:rPr>
        <w:t xml:space="preserve">Kuna ühiskomitee aktiga võetakse vastu selle töökord, siis on asjakohane avaldada kavandatav akt pärast selle vastuvõtmist </w:t>
      </w:r>
      <w:r>
        <w:rPr>
          <w:i/>
          <w:iCs/>
          <w:noProof/>
        </w:rPr>
        <w:t>Euroopa Liidu Teatajas</w:t>
      </w:r>
      <w:r>
        <w:rPr>
          <w:noProof/>
        </w:rPr>
        <w:t>.</w:t>
      </w:r>
    </w:p>
    <w:p>
      <w:pPr>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2019/0260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seisukoha kohta, mis võetakse Euroopa Liidu nimel Kanada ning Euroopa Ühenduse ja selle liikmesriikide vahelise lennutranspordilepingu alusel loodud ühiskomitees</w:t>
      </w:r>
    </w:p>
    <w:p>
      <w:pPr>
        <w:pStyle w:val="Institutionquiagit"/>
        <w:rPr>
          <w:noProof/>
        </w:rPr>
      </w:pPr>
      <w:r>
        <w:rPr>
          <w:noProof/>
        </w:rPr>
        <w:t>EUROOPA LIIDU NÕUKOGU,</w:t>
      </w:r>
    </w:p>
    <w:p>
      <w:pPr>
        <w:rPr>
          <w:noProof/>
        </w:rPr>
      </w:pPr>
      <w:r>
        <w:rPr>
          <w:noProof/>
        </w:rPr>
        <w:t>võttes arvesse Euroopa Liidu toimimise lepingut, eriti selle artikli 100 lõiget 2 koostoimes artikli 218 lõikega 9,</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Kanada ning Euroopa Ühenduse ja selle liikmesriikide vahelise lennutranspordilepingu (edaspidi „leping“) sõlmis liit nõukogu otsusega (EL) 2019/702</w:t>
      </w:r>
      <w:r>
        <w:rPr>
          <w:rStyle w:val="FootnoteReference"/>
          <w:noProof/>
        </w:rPr>
        <w:footnoteReference w:id="2"/>
      </w:r>
      <w:r>
        <w:rPr>
          <w:noProof/>
        </w:rPr>
        <w:t xml:space="preserve"> ja see jõustus 16. mail 2019. </w:t>
      </w:r>
    </w:p>
    <w:p>
      <w:pPr>
        <w:pStyle w:val="ManualConsidrant"/>
        <w:rPr>
          <w:noProof/>
        </w:rPr>
      </w:pPr>
      <w:r>
        <w:t>(2)</w:t>
      </w:r>
      <w:r>
        <w:tab/>
      </w:r>
      <w:r>
        <w:rPr>
          <w:noProof/>
        </w:rPr>
        <w:t>Lepingu artikliga 17 on asutatud ühiskomitee, kelle ülesanne on tagada lepingu nõuetekohane toimimine ja rakendamine.</w:t>
      </w:r>
    </w:p>
    <w:p>
      <w:pPr>
        <w:pStyle w:val="ManualConsidrant"/>
        <w:rPr>
          <w:noProof/>
        </w:rPr>
      </w:pPr>
      <w:r>
        <w:t>(3)</w:t>
      </w:r>
      <w:r>
        <w:tab/>
      </w:r>
      <w:r>
        <w:rPr>
          <w:noProof/>
        </w:rPr>
        <w:t>Lepingu artikli 17 lõikes 8 on sätestatud, et ühiskomitee võtab vastu oma töökorra.</w:t>
      </w:r>
    </w:p>
    <w:p>
      <w:pPr>
        <w:pStyle w:val="ManualConsidrant"/>
        <w:rPr>
          <w:noProof/>
        </w:rPr>
      </w:pPr>
      <w:r>
        <w:t>(4)</w:t>
      </w:r>
      <w:r>
        <w:tab/>
      </w:r>
      <w:r>
        <w:rPr>
          <w:noProof/>
        </w:rPr>
        <w:t>Lepingu tulemusliku rakendamise tagamiseks tuleks võtta vastu ühiskomitee töökord.</w:t>
      </w:r>
    </w:p>
    <w:p>
      <w:pPr>
        <w:pStyle w:val="ManualConsidrant"/>
        <w:rPr>
          <w:noProof/>
        </w:rPr>
      </w:pPr>
      <w:r>
        <w:t>(5)</w:t>
      </w:r>
      <w:r>
        <w:tab/>
      </w:r>
      <w:r>
        <w:rPr>
          <w:noProof/>
        </w:rPr>
        <w:t>Liidu seisukoht ühiskomitees peaks põhinema lisatud ühiskomitee otsuse eelnõul,</w:t>
      </w:r>
    </w:p>
    <w:p>
      <w:pPr>
        <w:pStyle w:val="Formuledadoption"/>
        <w:rPr>
          <w:noProof/>
        </w:rPr>
      </w:pPr>
      <w:r>
        <w:rPr>
          <w:noProof/>
        </w:rPr>
        <w:t>ON VASTU VÕTNUD KÄESOLEVA OTSUSE:</w:t>
      </w:r>
    </w:p>
    <w:p>
      <w:pPr>
        <w:pStyle w:val="Titrearticle"/>
        <w:rPr>
          <w:noProof/>
        </w:rPr>
      </w:pPr>
      <w:r>
        <w:rPr>
          <w:noProof/>
        </w:rPr>
        <w:t>Artikkel 1</w:t>
      </w:r>
    </w:p>
    <w:p>
      <w:pPr>
        <w:rPr>
          <w:noProof/>
        </w:rPr>
      </w:pPr>
      <w:r>
        <w:rPr>
          <w:noProof/>
        </w:rPr>
        <w:t>Seisukoht, mis võetakse liidu nimel Kanada ning Euroopa Ühenduse ja selle liikmesriikide vahelise lennutranspordilepingu artikli 17 alusel loodud ühiskomitee esimesel koosolekul seoses ühiskomitee töökorra vastuvõtmisega, põhineb käesolevale otsusele lisatud ühiskomitee otsuse eelnõul.</w:t>
      </w:r>
    </w:p>
    <w:p>
      <w:pPr>
        <w:pStyle w:val="Titrearticle"/>
        <w:rPr>
          <w:noProof/>
        </w:rPr>
      </w:pPr>
      <w:r>
        <w:rPr>
          <w:noProof/>
        </w:rPr>
        <w:t>Artikkel 2</w:t>
      </w:r>
    </w:p>
    <w:p>
      <w:pPr>
        <w:pStyle w:val="Titrearticle"/>
        <w:jc w:val="both"/>
        <w:rPr>
          <w:noProof/>
        </w:rPr>
      </w:pPr>
      <w:r>
        <w:rPr>
          <w:i w:val="0"/>
          <w:noProof/>
        </w:rPr>
        <w:t>Käesolev otsus on adresseeritud komisjonile.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 xml:space="preserve">Nõukogu 15. aprilli 2019. aasta otsus (EL) 2019/702 ühelt poolt Euroopa Ühenduse ja selle liikmesriikide ning teiselt poolt Kanada vahelise lennutranspordilepingu liidu nimel sõlmimise kohta. </w:t>
      </w:r>
      <w:r>
        <w:rPr>
          <w:rStyle w:val="Emphasis"/>
        </w:rPr>
        <w:t>ELT L 120, 8.5.2019, lk 1–2.</w:t>
      </w:r>
    </w:p>
  </w:footnote>
  <w:footnote w:id="2">
    <w:p>
      <w:pPr>
        <w:pStyle w:val="FootnoteText"/>
      </w:pPr>
      <w:r>
        <w:rPr>
          <w:rStyle w:val="FootnoteReference"/>
        </w:rPr>
        <w:footnoteRef/>
      </w:r>
      <w:r>
        <w:tab/>
        <w:t>ELT L 120, 8.5.2019, lk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7 11:08: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F2FEEC4-6714-4D6F-901B-B77E3049A567"/>
    <w:docVar w:name="LW_COVERPAGE_TYPE" w:val="1"/>
    <w:docVar w:name="LW_CROSSREFERENCE" w:val="&lt;UNUSED&gt;"/>
    <w:docVar w:name="LW_DocType" w:val="COM"/>
    <w:docVar w:name="LW_EMISSION" w:val="14.11.2019"/>
    <w:docVar w:name="LW_EMISSION_ISODATE" w:val="2019-11-14"/>
    <w:docVar w:name="LW_EMISSION_LOCATION" w:val="BRX"/>
    <w:docVar w:name="LW_EMISSION_PREFIX" w:val="Brüssel,"/>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260"/>
    <w:docVar w:name="LW_REF.II.NEW.CP_YEAR" w:val="2019"/>
    <w:docVar w:name="LW_REF.INST.NEW" w:val="COM"/>
    <w:docVar w:name="LW_REF.INST.NEW_ADOPTED" w:val="final"/>
    <w:docVar w:name="LW_REF.INST.NEW_TEXT" w:val="(2019) 5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seisukoha kohta, mis võetakse Euroopa Liidu nimel Kanada ning Euroopa Ühenduse ja selle liikmesriikide vahelise lennutranspordilepingu alusel loodud ühiskomitees"/>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1414158517">
      <w:bodyDiv w:val="1"/>
      <w:marLeft w:val="0"/>
      <w:marRight w:val="0"/>
      <w:marTop w:val="0"/>
      <w:marBottom w:val="0"/>
      <w:divBdr>
        <w:top w:val="none" w:sz="0" w:space="0" w:color="auto"/>
        <w:left w:val="none" w:sz="0" w:space="0" w:color="auto"/>
        <w:bottom w:val="none" w:sz="0" w:space="0" w:color="auto"/>
        <w:right w:val="none" w:sz="0" w:space="0" w:color="auto"/>
      </w:divBdr>
      <w:divsChild>
        <w:div w:id="122113929">
          <w:marLeft w:val="0"/>
          <w:marRight w:val="0"/>
          <w:marTop w:val="0"/>
          <w:marBottom w:val="0"/>
          <w:divBdr>
            <w:top w:val="none" w:sz="0" w:space="0" w:color="auto"/>
            <w:left w:val="none" w:sz="0" w:space="0" w:color="auto"/>
            <w:bottom w:val="none" w:sz="0" w:space="0" w:color="auto"/>
            <w:right w:val="none" w:sz="0" w:space="0" w:color="auto"/>
          </w:divBdr>
        </w:div>
        <w:div w:id="179584271">
          <w:marLeft w:val="0"/>
          <w:marRight w:val="0"/>
          <w:marTop w:val="0"/>
          <w:marBottom w:val="0"/>
          <w:divBdr>
            <w:top w:val="none" w:sz="0" w:space="0" w:color="auto"/>
            <w:left w:val="none" w:sz="0" w:space="0" w:color="auto"/>
            <w:bottom w:val="none" w:sz="0" w:space="0" w:color="auto"/>
            <w:right w:val="none" w:sz="0" w:space="0" w:color="auto"/>
          </w:divBdr>
        </w:div>
        <w:div w:id="348021172">
          <w:marLeft w:val="0"/>
          <w:marRight w:val="0"/>
          <w:marTop w:val="0"/>
          <w:marBottom w:val="0"/>
          <w:divBdr>
            <w:top w:val="none" w:sz="0" w:space="0" w:color="auto"/>
            <w:left w:val="none" w:sz="0" w:space="0" w:color="auto"/>
            <w:bottom w:val="none" w:sz="0" w:space="0" w:color="auto"/>
            <w:right w:val="none" w:sz="0" w:space="0" w:color="auto"/>
          </w:divBdr>
        </w:div>
        <w:div w:id="1034618332">
          <w:marLeft w:val="0"/>
          <w:marRight w:val="0"/>
          <w:marTop w:val="0"/>
          <w:marBottom w:val="0"/>
          <w:divBdr>
            <w:top w:val="none" w:sz="0" w:space="0" w:color="auto"/>
            <w:left w:val="none" w:sz="0" w:space="0" w:color="auto"/>
            <w:bottom w:val="none" w:sz="0" w:space="0" w:color="auto"/>
            <w:right w:val="none" w:sz="0" w:space="0" w:color="auto"/>
          </w:divBdr>
        </w:div>
        <w:div w:id="1438863166">
          <w:marLeft w:val="0"/>
          <w:marRight w:val="0"/>
          <w:marTop w:val="0"/>
          <w:marBottom w:val="0"/>
          <w:divBdr>
            <w:top w:val="none" w:sz="0" w:space="0" w:color="auto"/>
            <w:left w:val="none" w:sz="0" w:space="0" w:color="auto"/>
            <w:bottom w:val="none" w:sz="0" w:space="0" w:color="auto"/>
            <w:right w:val="none" w:sz="0" w:space="0" w:color="auto"/>
          </w:divBdr>
        </w:div>
        <w:div w:id="1507868203">
          <w:marLeft w:val="0"/>
          <w:marRight w:val="0"/>
          <w:marTop w:val="0"/>
          <w:marBottom w:val="0"/>
          <w:divBdr>
            <w:top w:val="none" w:sz="0" w:space="0" w:color="auto"/>
            <w:left w:val="none" w:sz="0" w:space="0" w:color="auto"/>
            <w:bottom w:val="none" w:sz="0" w:space="0" w:color="auto"/>
            <w:right w:val="none" w:sz="0" w:space="0" w:color="auto"/>
          </w:divBdr>
        </w:div>
        <w:div w:id="16953781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ACD61C04-4B3F-4228-AA26-DCCF0734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Pages>
  <Words>798</Words>
  <Characters>5693</Characters>
  <Application>Microsoft Office Word</Application>
  <DocSecurity>0</DocSecurity>
  <Lines>109</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2019-10-31T05:04:00Z</dcterms:created>
  <dcterms:modified xsi:type="dcterms:W3CDTF">2019-11-07T10:08:00Z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