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2634328-E625-4D21-9A3C-785BF95210E8" style="width:450.75pt;height:366pt">
            <v:imagedata r:id="rId10" o:title=""/>
          </v:shape>
        </w:pict>
      </w:r>
    </w:p>
    <w:p>
      <w:pPr>
        <w:rPr>
          <w:noProof/>
        </w:rPr>
        <w:sectPr>
          <w:footerReference w:type="default" r:id="rId11"/>
          <w:pgSz w:w="11907" w:h="16839" w:code="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A javaslat tárgya</w:t>
      </w:r>
    </w:p>
    <w:p>
      <w:pPr>
        <w:rPr>
          <w:rFonts w:eastAsia="Arial Unicode MS"/>
          <w:noProof/>
        </w:rPr>
      </w:pPr>
      <w:r>
        <w:rPr>
          <w:noProof/>
        </w:rPr>
        <w:t>E javaslat tárgya az Unió által a Kanada, valamint az Európai Közösség és tagállamai közötti légiközlekedési megállapodással (a továbbiakban: a megállapodás)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létrehozott vegyes bizottságban képviselendő álláspont meghatározásáról szóló határozat.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A javaslat háttere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A Kanada, valamint az Európai Közösség és tagállamai közötti légiközlekedési megállapodás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megállapodás egy átfogó megállapodás, amely hatályon kívül helyezi a tagállamok és Kanada között meglévő kétoldalú megállapodások vonatkozó rendelkezéseit. A megállapodás mind az uniós, mind a kanadai légi fuvarozók tekintetében megszüntet minden korlátozást a légi járatoknak az Európai Unió pontjai és Kanada pontjai közötti üzemeltetéséhez fűződő jogokra vonatkozóan. E tekintetben a megállapodás megszünteti az uniós légi fuvarozók Unión belüli letelepedési jogára vonatkozó akadályokat – a megkülönböztetésmentes piaci hozzáférésre irányuló jogot is ideértve – a Kanadába irányuló és az onnan kiinduló légi járatok üzemeltetése vonatkozásában.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megállapodás 2019. május 16-án lépett hatályba.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A vegyes bizottság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vegyes bizottságot a megállapodás 17. cikke hozza létre. A vegyes bizottság elsősorban elősegíti a felek közötti együttműködést, és foglalkozhat bármely, az e megállapodás működésével vagy végrehajtásával kapcsolatos kérdéssel, ideértve többek között a következőket: a) az e megállapodás szerinti légi járatokat érintő piaci feltételek felülvizsgálata; b) információcsere, ideértve a nemzeti jognak és politikáknak a megállapodást érintő változásaival kapcsolatos tanácsadást is; c) a megállapodás adott esetben tovább fejleszthető területeinek mérlegelése, többek között ideértve a megállapodás módosítására vonatkozó ajánlásokat; d) az új tagállamok részére ahhoz szükséges feltételek, eljárások és módosítások ajánlása, hogy e megállapodás részes feleivé váljanak; és d) a befektetéssel, tulajdonjoggal és ellenőrzéssel kapcsolatos kérdések megvitatása, valamint annak megerősítése, hogy teljesülnek a forgalmi jogok fokozatos megnyitására vonatkozó, a megállapodás 2. mellékletében meghatározott feltételek. A vegyes bizottság emellett együttműködést alakít ki, és elősegíti a szakértői szintű cseréket az új jogalkotási vagy szabályozási kezdeményezések tekintetében.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vegyes bizottság továbbá határozatokat fogad el azokban az esetekben, amikor ezt a megállapodás kifejezetten előírja. A vegyes bizottság az összes határozatát konszenzussal hozza. A vegyes bizottság – határozat útján – elfogadja eljárási szabályzatát.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A vegyes bizottság tervezett jogi aktusa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A vegyes bizottságnak az első ülésén határozatot kell elfogadnia a vegyes bizottság eljárási szabályzatának elfogadásáról (a továbbiakban: a tervezett jogi aktus). 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>A tervezett jogi aktus célja, hogy a megállapodás 17. cikke (8) bekezdésének megfelelően elfogadják a vegyes bizottság működését szabályozó eljárási szabályzatot, hogy lehetővé váljon a megállapodás végrehajtása.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Az Unió által képviselendő álláspont</w:t>
      </w:r>
    </w:p>
    <w:p>
      <w:pPr>
        <w:rPr>
          <w:noProof/>
        </w:rPr>
      </w:pPr>
      <w:r>
        <w:rPr>
          <w:noProof/>
        </w:rPr>
        <w:t>Az Unió által képviselendő álláspontnak arra kell irányulnia, hogy fogadják el a Kanada–EU Vegyes Bizottság eljárási szabályzatát. Az álláspontnak a vegyes bizottság határozattervezetén kell alapulnia.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Jogalap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Eljárási jogalap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Általános elvek</w:t>
      </w:r>
    </w:p>
    <w:p>
      <w:pPr>
        <w:rPr>
          <w:i/>
          <w:noProof/>
        </w:rPr>
      </w:pPr>
      <w:r>
        <w:rPr>
          <w:noProof/>
        </w:rPr>
        <w:t xml:space="preserve">Az Európai Unió működéséről szóló szerződés (a továbbiakban: EUMSZ) 218. cikkének (9) bekezdése határozatok elfogadásáról rendelkezik </w:t>
      </w:r>
      <w:r>
        <w:rPr>
          <w:i/>
          <w:noProof/>
        </w:rPr>
        <w:t>„a megállapodásokkal létrehozott szervekben az Unió által képviselendő álláspontok kialakítására vonatkozóan, amennyiben az ilyen szervnek joghatással bíró jogi aktust kell elfogadnia, kivéve a megállapodás intézményi kereteit kiegészítő vagy módosító jogi aktusokat.”</w:t>
      </w:r>
    </w:p>
    <w:p>
      <w:pPr>
        <w:rPr>
          <w:noProof/>
        </w:rPr>
      </w:pPr>
      <w:r>
        <w:rPr>
          <w:noProof/>
        </w:rPr>
        <w:t>A „joghatással bíró jogi aktus” fogalmába beletartoznak a nemzetközi jognak a  kérdéses szervet szabályozó szabályai szerint joghatással bíró jogi aktusok.</w:t>
      </w:r>
      <w:r>
        <w:rPr>
          <w:noProof/>
        </w:rPr>
        <w:br/>
        <w:t xml:space="preserve"> Ezenfelül a fogalom magában foglalja azokat az eszközöket is, amelyek a nemzetközi jog szerint nem bírnak kötelező erővel, de „meghatározó módon befolyásolják az uniós jogalkotó által [...] elfogadott szabályozás tartalmát”.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vegyes bizottságot megállapodás, nevezetesen a Kanada, valamint az Európai Közösség és tagállamai közötti légiközlekedési megállapodás hozta létre.</w:t>
      </w:r>
    </w:p>
    <w:p>
      <w:pPr>
        <w:rPr>
          <w:noProof/>
        </w:rPr>
      </w:pPr>
      <w:r>
        <w:rPr>
          <w:noProof/>
        </w:rPr>
        <w:t xml:space="preserve">A vegyes bizottság által elfogadandó jogi aktus joghatással bíró jogi aktus, mivel a nemzetközi jog értelmében kötelezettségeket ró a felekre. </w:t>
      </w:r>
    </w:p>
    <w:p>
      <w:pPr>
        <w:rPr>
          <w:noProof/>
        </w:rPr>
      </w:pPr>
      <w:r>
        <w:rPr>
          <w:noProof/>
        </w:rPr>
        <w:t>A tervezett jogi aktus nem egészíti ki és nem is módosítja a megállapodás intézményi keretét.</w:t>
      </w:r>
    </w:p>
    <w:p>
      <w:pPr>
        <w:rPr>
          <w:noProof/>
        </w:rPr>
      </w:pPr>
      <w:r>
        <w:rPr>
          <w:noProof/>
        </w:rPr>
        <w:t>Ezért a javasolt határozat eljárási jogalapja az EUMSZ 218. cikkének (9) bekezdése.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Anyagi jogalap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Általános elvek</w:t>
      </w:r>
    </w:p>
    <w:p>
      <w:pPr>
        <w:rPr>
          <w:noProof/>
        </w:rPr>
      </w:pPr>
      <w:r>
        <w:rPr>
          <w:noProof/>
        </w:rPr>
        <w:t>Az EUMSZ 218. cikkének (9) bekezdése szerinti határozat anyagi jogalapja elsősorban azon tervezett jogi aktus célkitűzésétől és tartalmától függ, amellyel kapcsolatban az Unió által képviselendő álláspont meghatározásra kerül. Amennyiben a tervezett jogi aktus kettős célkitűzést követ, vagy két összetevőből áll, és ezek egyike elsődlegesként vagy döntő jellegűként azonosítható, míg a másik pusztán járulékos jellegű, az EUMSZ 218. cikkének (9) bekezdése szerinti határozatot egyetlen anyagi jogalapra, azaz az elsődleges, illetve döntő jellegű célkitűzés vagy összetevő által megkövetelt jogalapra kell alapítani.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 jelen esetre történő alkalmazás</w:t>
      </w:r>
    </w:p>
    <w:p>
      <w:pPr>
        <w:rPr>
          <w:noProof/>
        </w:rPr>
      </w:pPr>
      <w:r>
        <w:rPr>
          <w:noProof/>
        </w:rPr>
        <w:t>A tervezett jogi aktus elsődleges célkitűzése és tartalma a légi közlekedéssel kapcsolatos.</w:t>
      </w:r>
    </w:p>
    <w:p>
      <w:pPr>
        <w:rPr>
          <w:noProof/>
        </w:rPr>
      </w:pPr>
      <w:r>
        <w:rPr>
          <w:noProof/>
        </w:rPr>
        <w:t>Ezért a javasolt határozat anyagi jogalapja az EUMSZ 100. cikkének (2) bekezdése.</w:t>
      </w:r>
    </w:p>
    <w:p>
      <w:pPr>
        <w:pStyle w:val="ManualHeading2"/>
        <w:rPr>
          <w:noProof/>
        </w:rPr>
      </w:pPr>
      <w:r>
        <w:lastRenderedPageBreak/>
        <w:t>4.3.</w:t>
      </w:r>
      <w:r>
        <w:tab/>
      </w:r>
      <w:r>
        <w:rPr>
          <w:noProof/>
        </w:rPr>
        <w:t>Következtetés</w:t>
      </w:r>
    </w:p>
    <w:p>
      <w:pPr>
        <w:rPr>
          <w:noProof/>
        </w:rPr>
      </w:pPr>
      <w:r>
        <w:rPr>
          <w:noProof/>
        </w:rPr>
        <w:t>A javasolt határozat jogalapja ezért az EUMSZ 100. cikkének (2) bekezdése, összefüggésben az EUMSZ 218. cikkének (9) bekezdésével.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A TERVEZETT JOGI AKTUS KIHIRDETÉSE</w:t>
      </w:r>
    </w:p>
    <w:p>
      <w:pPr>
        <w:rPr>
          <w:noProof/>
        </w:rPr>
      </w:pPr>
      <w:r>
        <w:rPr>
          <w:noProof/>
        </w:rPr>
        <w:t>Mivel a vegyes bizottság jogi aktusa meghatározza az eljárási szabályzatát, elfogadását követően helyénvaló kihirdetni az Európai Unió Hivatalos Lapjában.</w:t>
      </w:r>
    </w:p>
    <w:p>
      <w:pPr>
        <w:rPr>
          <w:noProof/>
        </w:rPr>
        <w:sectPr>
          <w:footerReference w:type="default" r:id="rId12"/>
          <w:footerReference w:type="first" r:id="rId13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2019/0260 (NLE)</w:t>
      </w:r>
    </w:p>
    <w:p>
      <w:pPr>
        <w:pStyle w:val="Statut"/>
        <w:rPr>
          <w:noProof/>
        </w:rPr>
      </w:pPr>
      <w:r>
        <w:rPr>
          <w:noProof/>
        </w:rPr>
        <w:t>Javaslat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az Európai Unió által a Kanada, valamint az Európai Közösség és tagállamai között létrejött légiközlekedési megállapodás által létrehozott vegyes bizottságban képviselendő álláspontról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100. cikke (2) bekezdésére, összefüggésben 218. cikke (9) bekezdésével,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A Kanada, valamint az Európai Közösség és tagállamai közötti légiközlekedési megállapodást (a továbbiakban: a megállapodás) az Unió az (EU) 2019/702 tanácsi határozat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révén megkötötte, és a megállapodás 2019. május 16-án hatályba lépett.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 megállapodás 17. cikke vegyes bizottságot hozott létre a megállapodás megfelelő működtetésének és végrehajtásának biztosítása céljából.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megállapodás 17. cikkének (8) bekezdése előírja, hogy a vegyes bizottságnak el kell fogadnia eljárási szabályzatát.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megállapodás hatékony végrehajtásának biztosítása érdekében a vegyes bizottság eljárási szabályzatát el kell fogadni.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Az Unió vegyes bizottságon belüli álláspontjának ezért a mellékelt vegyes bizottsági határozattervezeten kell alapulnia,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r>
        <w:rPr>
          <w:noProof/>
        </w:rPr>
        <w:t>A Kanada, valamint az Európai Közösség és tagállamai között létrejött légiközlekedési megállapodás 17. cikke által létrehozott vegyes bizottság első ülésén az Unió által a vegyes bizottság eljárási szabályzatának elfogadásával kapcsolatban képviselendő álláspont a vegyes bizottság e határozathoz csatolt határozattervezetén alapul.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2. cikk</w:t>
      </w:r>
    </w:p>
    <w:p>
      <w:pPr>
        <w:pStyle w:val="Titrearticle"/>
        <w:jc w:val="both"/>
        <w:rPr>
          <w:noProof/>
        </w:rPr>
      </w:pPr>
      <w:r>
        <w:rPr>
          <w:i w:val="0"/>
          <w:noProof/>
        </w:rPr>
        <w:t>Ennek a határozatnak a Bizottság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A Tanács (EU) 2019/702 határozata (2019. április 15.) az egyrészről az Európai Közösség és tagállamai, másrészről Kanada közötti légiközlekedési megállapodásnak az Unió nevében történő megkötéséről </w:t>
      </w:r>
      <w:r>
        <w:rPr>
          <w:rStyle w:val="Emphasis"/>
        </w:rPr>
        <w:t>(HL L 120., 2019.5.8., 1-2. o.).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HL L 120., 2019.5.8., 1. 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1908D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D26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F64F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5864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E624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4675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23A2E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1E60C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removePersonalInformation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07 11:08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C2634328-E625-4D21-9A3C-785BF95210E8"/>
    <w:docVar w:name="LW_COVERPAGE_TYPE" w:val="1"/>
    <w:docVar w:name="LW_CROSSREFERENCE" w:val="&lt;UNUSED&gt;"/>
    <w:docVar w:name="LW_DocType" w:val="COM"/>
    <w:docVar w:name="LW_EMISSION" w:val="2019.11.14."/>
    <w:docVar w:name="LW_EMISSION_ISODATE" w:val="2019-11-14"/>
    <w:docVar w:name="LW_EMISSION_LOCATION" w:val="BRX"/>
    <w:docVar w:name="LW_EMISSION_PREFIX" w:val="Brüsszel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60"/>
    <w:docVar w:name="LW_REF.II.NEW.CP_YEAR" w:val="2019"/>
    <w:docVar w:name="LW_REF.INST.NEW" w:val="COM"/>
    <w:docVar w:name="LW_REF.INST.NEW_ADOPTED" w:val="final"/>
    <w:docVar w:name="LW_REF.INST.NEW_TEXT" w:val="(2019) 5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z Európai Unió által a Kanada, valamint az Európai Közösség és tagállamai között létrejött légiközlekedési megállapodás által létrehozott vegyes bizottságban képviselend\u337? álláspont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character" w:styleId="EndnoteReference">
    <w:name w:val="endnote reference"/>
    <w:rPr>
      <w:vertAlign w:val="superscrip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character" w:styleId="CommentReference">
    <w:name w:val="annotation reference"/>
    <w:semiHidden/>
    <w:rPr>
      <w:sz w:val="16"/>
      <w:szCs w:val="16"/>
      <w:shd w:val="clear" w:color="auto" w:fill="auto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character" w:styleId="EndnoteReference">
    <w:name w:val="endnote reference"/>
    <w:rPr>
      <w:vertAlign w:val="superscript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23BD-5803-4232-801C-7DC981E2A5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DA9AFD-34E8-4FA4-95B9-22404299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6</Pages>
  <Words>958</Words>
  <Characters>6530</Characters>
  <Application>Microsoft Office Word</Application>
  <DocSecurity>0</DocSecurity>
  <Lines>120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2019-11-04T15:48:00Z</dcterms:created>
  <dcterms:modified xsi:type="dcterms:W3CDTF">2019-11-07T10:08:00Z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7.0, Build 20190717</vt:lpwstr>
  </property>
  <property fmtid="{D5CDD505-2E9C-101B-9397-08002B2CF9AE}" pid="3" name="Category">
    <vt:lpwstr>COM/PL/ORG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LWTemplateID">
    <vt:lpwstr>SJ-019</vt:lpwstr>
  </property>
  <property fmtid="{D5CDD505-2E9C-101B-9397-08002B2CF9AE}" pid="7" name="Level of sensitivity">
    <vt:lpwstr>Standard treatment</vt:lpwstr>
  </property>
  <property fmtid="{D5CDD505-2E9C-101B-9397-08002B2CF9AE}" pid="8" name="DQCStatus">
    <vt:lpwstr>Green (DQC version 03)</vt:lpwstr>
  </property>
</Properties>
</file>