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8DBE1A7-BB06-4AF2-B39F-BDB68BA06FB3" style="width:450.7pt;height:365.6pt">
            <v:imagedata r:id="rId10" o:title=""/>
          </v:shape>
        </w:pict>
      </w:r>
    </w:p>
    <w:p>
      <w:pPr>
        <w:rPr>
          <w:noProof/>
        </w:rPr>
        <w:sectPr>
          <w:footerReference w:type="default" r:id="rId11"/>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rFonts w:eastAsia="Arial Unicode MS"/>
          <w:noProof/>
        </w:rPr>
      </w:pPr>
      <w:r>
        <w:t>1.</w:t>
      </w:r>
      <w:r>
        <w:tab/>
      </w:r>
      <w:r>
        <w:rPr>
          <w:noProof/>
        </w:rPr>
        <w:t>Obiectul propunerii</w:t>
      </w:r>
    </w:p>
    <w:p>
      <w:pPr>
        <w:rPr>
          <w:rFonts w:eastAsia="Arial Unicode MS"/>
          <w:noProof/>
        </w:rPr>
      </w:pPr>
      <w:r>
        <w:rPr>
          <w:noProof/>
        </w:rPr>
        <w:t>Prezenta propunere se referă la decizia de stabilire a poziției care trebuie adoptată în numele Uniunii în cadrul Comitetului mixt instituit prin Acordul privind transportul aerian dintre Canada și Comunitatea Europeană și statele sale membre („acordul”)</w:t>
      </w:r>
      <w:r>
        <w:rPr>
          <w:rStyle w:val="FootnoteReference"/>
          <w:noProof/>
        </w:rPr>
        <w:footnoteReference w:id="1"/>
      </w:r>
      <w:r>
        <w:rPr>
          <w:noProof/>
        </w:rPr>
        <w:t>.</w:t>
      </w:r>
    </w:p>
    <w:p>
      <w:pPr>
        <w:pStyle w:val="ManualHeading1"/>
        <w:rPr>
          <w:noProof/>
        </w:rPr>
      </w:pPr>
      <w:r>
        <w:t>2.</w:t>
      </w:r>
      <w:r>
        <w:tab/>
      </w:r>
      <w:r>
        <w:rPr>
          <w:noProof/>
        </w:rPr>
        <w:t>Contextul propunerii</w:t>
      </w:r>
    </w:p>
    <w:p>
      <w:pPr>
        <w:pStyle w:val="ManualHeading2"/>
        <w:rPr>
          <w:noProof/>
        </w:rPr>
      </w:pPr>
      <w:r>
        <w:t>2.1.</w:t>
      </w:r>
      <w:r>
        <w:tab/>
      </w:r>
      <w:r>
        <w:rPr>
          <w:noProof/>
        </w:rPr>
        <w:t>Acordul privind transportul aerian dintre Canada și Comunitatea Europeană și statele sale membre</w:t>
      </w:r>
    </w:p>
    <w:p>
      <w:pPr>
        <w:rPr>
          <w:rFonts w:eastAsia="Arial Unicode MS"/>
          <w:noProof/>
        </w:rPr>
      </w:pPr>
      <w:r>
        <w:rPr>
          <w:noProof/>
        </w:rPr>
        <w:t xml:space="preserve">Acest acord este un acord cuprinzător care înlocuiește dispozițiile relevante ale acordurilor bilaterale existente încheiate de statele membre cu Canada. Acordul elimină toate restricțiile existente în ceea ce privește drepturile transportatorilor aerieni atât din Uniune, cât și din Canada de a opera zboruri între puncte din Uniunea Europeană și puncte din Canada. În acest sens, acordul elimină obstacolele din calea capacității transportatorilor aerieni din Uniune de a beneficia de dreptul de stabilire pe teritoriul Uniunii, inclusiv de dreptul de acces nediscriminatoriu la piață, în legătură cu furnizarea de servicii aeriene către și dinspre Canada. </w:t>
      </w:r>
    </w:p>
    <w:p>
      <w:pPr>
        <w:rPr>
          <w:rFonts w:eastAsia="Arial Unicode MS"/>
          <w:noProof/>
        </w:rPr>
      </w:pPr>
      <w:r>
        <w:rPr>
          <w:noProof/>
        </w:rPr>
        <w:t xml:space="preserve">Acordul a intrat în vigoare la 16 mai 2019. </w:t>
      </w:r>
    </w:p>
    <w:p>
      <w:pPr>
        <w:pStyle w:val="ManualHeading2"/>
        <w:rPr>
          <w:noProof/>
        </w:rPr>
      </w:pPr>
      <w:r>
        <w:t>2.2.</w:t>
      </w:r>
      <w:r>
        <w:tab/>
      </w:r>
      <w:r>
        <w:rPr>
          <w:noProof/>
        </w:rPr>
        <w:t>Comitetul mixt</w:t>
      </w:r>
    </w:p>
    <w:p>
      <w:pPr>
        <w:rPr>
          <w:rFonts w:eastAsia="Arial Unicode MS"/>
          <w:noProof/>
        </w:rPr>
      </w:pPr>
      <w:r>
        <w:rPr>
          <w:noProof/>
        </w:rPr>
        <w:t xml:space="preserve">Comitetul mixt este instituit prin articolul 17 din acord. Sarcinile sale principale sunt de a încuraja cooperarea dintre părți și de a examina orice aspect legat de funcționarea sau de punerea în aplicare a acestui acord, inclusiv (dar fără a se limita la): (a) examinarea condițiilor de piață care afectează serviciile aeriene vizate de acord; (b) schimbul de informații, inclusiv consilierea cu privire la modificările aduse legislației și politicilor interne, care afectează acordul; (c) examinarea unor domenii potențiale pentru a fi incluse în acord, inclusiv recomandarea introducerii unor modificări în textul acordului; (d) recomandarea condițiilor, a procedurilor și a modificărilor necesare pentru ca noile state membre să devină părți la acord; și (e) discutarea aspectelor legate de investiții, de proprietate și de control și confirmarea îndeplinirii condițiilor pentru deschiderea progresivă a drepturilor de trafic, astfel cum se prevede în anexa 2 la acord. De asemenea, comitetul mixt dezvoltă cooperarea și încurajează schimburile la nivel de experți cu privire la noile inițiative legislative sau de reglementare. </w:t>
      </w:r>
    </w:p>
    <w:p>
      <w:pPr>
        <w:rPr>
          <w:rFonts w:eastAsia="Arial Unicode MS"/>
          <w:noProof/>
        </w:rPr>
      </w:pPr>
      <w:r>
        <w:rPr>
          <w:noProof/>
        </w:rPr>
        <w:t xml:space="preserve">Comitetul mixt adoptă decizii, în cazul în care acordul prevede în mod expres acest lucru, și toate deciziile se iau prin consens. Comitetul mixt își adoptă, printr-o decizie, regulamentul de procedură. </w:t>
      </w:r>
    </w:p>
    <w:p>
      <w:pPr>
        <w:pStyle w:val="ManualHeading2"/>
        <w:rPr>
          <w:noProof/>
        </w:rPr>
      </w:pPr>
      <w:r>
        <w:t>2.3.</w:t>
      </w:r>
      <w:r>
        <w:tab/>
      </w:r>
      <w:r>
        <w:rPr>
          <w:noProof/>
        </w:rPr>
        <w:t>Actul avut în vedere al comitetului mixt</w:t>
      </w:r>
    </w:p>
    <w:p>
      <w:pPr>
        <w:rPr>
          <w:rFonts w:eastAsia="Arial Unicode MS"/>
          <w:noProof/>
        </w:rPr>
      </w:pPr>
      <w:r>
        <w:rPr>
          <w:noProof/>
        </w:rPr>
        <w:t xml:space="preserve">În cursul primei sale reuniuni, comitetul mixt urmează să adopte o decizie privind adoptarea regulamentului său de procedură („actul avut în vedere”). </w:t>
      </w:r>
    </w:p>
    <w:p>
      <w:pPr>
        <w:rPr>
          <w:rFonts w:eastAsia="Arial Unicode MS"/>
          <w:noProof/>
        </w:rPr>
      </w:pPr>
      <w:r>
        <w:rPr>
          <w:noProof/>
        </w:rPr>
        <w:t>Scopul actului avut în vedere este adoptarea, în conformitate cu articolul 17 alineatul (8) din acord, a regulamentului de procedură pe care se bazează organizarea comitetului mixt, pentru a permite punerea în aplicare a acordului.</w:t>
      </w:r>
    </w:p>
    <w:p>
      <w:pPr>
        <w:pStyle w:val="ManualHeading1"/>
        <w:rPr>
          <w:rFonts w:eastAsia="Arial Unicode MS"/>
          <w:noProof/>
        </w:rPr>
      </w:pPr>
      <w:r>
        <w:lastRenderedPageBreak/>
        <w:t>3.</w:t>
      </w:r>
      <w:r>
        <w:tab/>
      </w:r>
      <w:r>
        <w:rPr>
          <w:noProof/>
        </w:rPr>
        <w:t>Poziția care trebuie adoptată în numele Uniunii</w:t>
      </w:r>
    </w:p>
    <w:p>
      <w:pPr>
        <w:rPr>
          <w:noProof/>
        </w:rPr>
      </w:pPr>
      <w:r>
        <w:rPr>
          <w:noProof/>
        </w:rPr>
        <w:t>Poziția care trebuie adoptată în numele Uniunii ar trebui să vizeze adoptarea regulamentului de procedură al comitetului mixt Canada-UE. Această poziție ar trebui să se bazeze pe proiectul de decizie a comitetului mixt.</w:t>
      </w:r>
    </w:p>
    <w:p>
      <w:pPr>
        <w:pStyle w:val="ManualHeading1"/>
        <w:rPr>
          <w:noProof/>
        </w:rPr>
      </w:pPr>
      <w:r>
        <w:t>4.</w:t>
      </w:r>
      <w:r>
        <w:tab/>
      </w:r>
      <w:r>
        <w:rPr>
          <w:noProof/>
        </w:rPr>
        <w:t>Temeiul juridic</w:t>
      </w:r>
    </w:p>
    <w:p>
      <w:pPr>
        <w:pStyle w:val="ManualHeading2"/>
        <w:rPr>
          <w:noProof/>
        </w:rPr>
      </w:pPr>
      <w:r>
        <w:t>4.1.</w:t>
      </w:r>
      <w:r>
        <w:tab/>
      </w:r>
      <w:r>
        <w:rPr>
          <w:noProof/>
        </w:rPr>
        <w:t>Temeiul juridic procedural</w:t>
      </w:r>
    </w:p>
    <w:p>
      <w:pPr>
        <w:pStyle w:val="ManualHeading3"/>
        <w:rPr>
          <w:noProof/>
        </w:rPr>
      </w:pPr>
      <w:r>
        <w:t>4.1.1.</w:t>
      </w:r>
      <w:r>
        <w:tab/>
      </w:r>
      <w:r>
        <w:rPr>
          <w:noProof/>
        </w:rPr>
        <w:t>Principii</w:t>
      </w:r>
    </w:p>
    <w:p>
      <w:pPr>
        <w:rPr>
          <w:i/>
          <w:noProof/>
        </w:rPr>
      </w:pPr>
      <w:r>
        <w:rPr>
          <w:noProof/>
        </w:rPr>
        <w:t xml:space="preserve">Articolul 218 alineatul (9) din Tratatul privind funcționarea Uniunii Europene (TFUE) prevede posibilitatea adoptării unor decizii de stabilire </w:t>
      </w:r>
      <w:r>
        <w:rPr>
          <w:i/>
          <w:noProof/>
        </w:rPr>
        <w:t>„a pozițiilor care trebuie adoptate în numele Uniunii în cadrul unui organism creat printr-un acord, în cazul în care acest organism trebuie să adopte acte cu efecte juridice, cu excepția actelor care modifică sau completează cadrul instituțional al acordului”</w:t>
      </w:r>
      <w:r>
        <w:rPr>
          <w:noProof/>
        </w:rPr>
        <w:t>.</w:t>
      </w:r>
    </w:p>
    <w:p>
      <w:pPr>
        <w:rPr>
          <w:noProof/>
        </w:rPr>
      </w:pPr>
      <w:r>
        <w:rPr>
          <w:noProof/>
        </w:rPr>
        <w:t>Conceptul de „acte cu efecte juridice” include actele care au efecte juridice în temeiul normelor de drept internațional aplicabile organismului în cauză. El include, de asemenea, instrumentele care nu au un caracter obligatoriu în temeiul dreptului internațional, dar care „au vocația de a influența în mod decisiv conținutul reglementării adoptate de legiuitorul Uniunii”.</w:t>
      </w:r>
    </w:p>
    <w:p>
      <w:pPr>
        <w:pStyle w:val="ManualHeading3"/>
        <w:rPr>
          <w:noProof/>
        </w:rPr>
      </w:pPr>
      <w:r>
        <w:t>4.1.2.</w:t>
      </w:r>
      <w:r>
        <w:tab/>
      </w:r>
      <w:r>
        <w:rPr>
          <w:noProof/>
        </w:rPr>
        <w:t>Aplicarea în cazul de față</w:t>
      </w:r>
    </w:p>
    <w:p>
      <w:pPr>
        <w:rPr>
          <w:noProof/>
        </w:rPr>
      </w:pPr>
      <w:r>
        <w:rPr>
          <w:noProof/>
        </w:rPr>
        <w:t>Comitetul mixt este un organism instituit printr-un acord, și anume prin Acordul privind transportul aerian dintre Canada și Comunitatea Europeană și statele sale membre.</w:t>
      </w:r>
    </w:p>
    <w:p>
      <w:pPr>
        <w:rPr>
          <w:noProof/>
        </w:rPr>
      </w:pPr>
      <w:r>
        <w:rPr>
          <w:noProof/>
        </w:rPr>
        <w:t xml:space="preserve">Actul pe care comitetul mixt este invitat să îl adopte este un act cu efecte juridice, deoarece impune părților obligații în temeiul dreptului internațional. </w:t>
      </w:r>
    </w:p>
    <w:p>
      <w:pPr>
        <w:rPr>
          <w:noProof/>
        </w:rPr>
      </w:pPr>
      <w:r>
        <w:rPr>
          <w:noProof/>
        </w:rPr>
        <w:t>Actul avut în vedere nu completează și nici nu schimbă cadrul instituțional al acordului.</w:t>
      </w:r>
    </w:p>
    <w:p>
      <w:pPr>
        <w:rPr>
          <w:noProof/>
        </w:rPr>
      </w:pPr>
      <w:r>
        <w:rPr>
          <w:noProof/>
        </w:rPr>
        <w:t>Prin urmare, temeiul juridic procedural al propunerii de decizie este articolul 218 alineatul (9) din TFUE.</w:t>
      </w:r>
    </w:p>
    <w:p>
      <w:pPr>
        <w:pStyle w:val="ManualHeading2"/>
        <w:rPr>
          <w:noProof/>
        </w:rPr>
      </w:pPr>
      <w:r>
        <w:t>4.2.</w:t>
      </w:r>
      <w:r>
        <w:tab/>
      </w:r>
      <w:r>
        <w:rPr>
          <w:noProof/>
        </w:rPr>
        <w:t>Temeiul juridic material</w:t>
      </w:r>
    </w:p>
    <w:p>
      <w:pPr>
        <w:pStyle w:val="ManualHeading3"/>
        <w:rPr>
          <w:noProof/>
        </w:rPr>
      </w:pPr>
      <w:r>
        <w:t>4.2.1.</w:t>
      </w:r>
      <w:r>
        <w:tab/>
      </w:r>
      <w:r>
        <w:rPr>
          <w:noProof/>
        </w:rPr>
        <w:t>Principii</w:t>
      </w:r>
    </w:p>
    <w:p>
      <w:pPr>
        <w:rPr>
          <w:noProof/>
        </w:rPr>
      </w:pPr>
      <w:r>
        <w:rPr>
          <w:noProof/>
        </w:rPr>
        <w:t>Temeiul juridic material al unei decizii adoptate în temeiul articolului 218 alineatul (9) din TFUE depinde în primul rând de obiectivul și de conținutul actului avut în vedere cu privire la care se adoptă o poziție în numele Uniunii. Dacă actul avut în vedere urmărește două obiective sau include două elemente, iar unul dintre aceste obiective sau elemente poate fi identificat ca fiind obiectivul sau elementul principal, iar celălalt obiectiv sau element are mai degrabă un caracter accesoriu, decizia adoptată în temeiul articolului 218 alineatul (9) din TFUE trebuie să se întemeieze pe un singur temei juridic material, respectiv cel impus de obiectivul sau de elementul principal sau predominant.</w:t>
      </w:r>
    </w:p>
    <w:p>
      <w:pPr>
        <w:pStyle w:val="ManualHeading3"/>
        <w:rPr>
          <w:noProof/>
        </w:rPr>
      </w:pPr>
      <w:r>
        <w:t>4.2.2.</w:t>
      </w:r>
      <w:r>
        <w:tab/>
      </w:r>
      <w:r>
        <w:rPr>
          <w:noProof/>
        </w:rPr>
        <w:t>Aplicarea în cazul de față</w:t>
      </w:r>
    </w:p>
    <w:p>
      <w:pPr>
        <w:rPr>
          <w:noProof/>
        </w:rPr>
      </w:pPr>
      <w:r>
        <w:rPr>
          <w:noProof/>
        </w:rPr>
        <w:t>Obiectivul principal și conținutul actului avut în vedere se referă la transportul aerian.</w:t>
      </w:r>
    </w:p>
    <w:p>
      <w:pPr>
        <w:rPr>
          <w:noProof/>
        </w:rPr>
      </w:pPr>
      <w:r>
        <w:rPr>
          <w:noProof/>
        </w:rPr>
        <w:t>Prin urmare, temeiul juridic material al deciziei propuse este articolul 100 alineatul (2) din TFUE.</w:t>
      </w:r>
    </w:p>
    <w:p>
      <w:pPr>
        <w:pStyle w:val="ManualHeading2"/>
        <w:rPr>
          <w:noProof/>
        </w:rPr>
      </w:pPr>
      <w:r>
        <w:lastRenderedPageBreak/>
        <w:t>4.3.</w:t>
      </w:r>
      <w:r>
        <w:tab/>
      </w:r>
      <w:r>
        <w:rPr>
          <w:noProof/>
        </w:rPr>
        <w:t>Concluzie</w:t>
      </w:r>
    </w:p>
    <w:p>
      <w:pPr>
        <w:rPr>
          <w:noProof/>
        </w:rPr>
      </w:pPr>
      <w:r>
        <w:rPr>
          <w:noProof/>
        </w:rPr>
        <w:t>Temeiul juridic al deciziei propuse ar trebui să fie articolul 100 alineatul (2) din TFUE, coroborat cu articolul 218 alineatul (9) din TFUE.</w:t>
      </w:r>
    </w:p>
    <w:p>
      <w:pPr>
        <w:pStyle w:val="ManualHeading1"/>
        <w:rPr>
          <w:noProof/>
        </w:rPr>
      </w:pPr>
      <w:r>
        <w:t>5.</w:t>
      </w:r>
      <w:r>
        <w:tab/>
      </w:r>
      <w:r>
        <w:rPr>
          <w:noProof/>
        </w:rPr>
        <w:t>Publicarea actului avut în vedere</w:t>
      </w:r>
    </w:p>
    <w:p>
      <w:pPr>
        <w:rPr>
          <w:noProof/>
        </w:rPr>
      </w:pPr>
      <w:r>
        <w:rPr>
          <w:noProof/>
        </w:rPr>
        <w:t xml:space="preserve">Întrucât actul comitetului mixt va stabili regulamentul său de procedură, este oportună publicarea acestuia în </w:t>
      </w:r>
      <w:r>
        <w:rPr>
          <w:i/>
          <w:iCs/>
          <w:noProof/>
        </w:rPr>
        <w:t>Jurnalul Oficial al Uniunii Europene</w:t>
      </w:r>
      <w:r>
        <w:rPr>
          <w:noProof/>
        </w:rPr>
        <w:t xml:space="preserve"> după adoptare.</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2019/0260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trebuie adoptată în numele Uniunii Europene în cadrul comitetului mixt instituit prin Acordul privind transportul aerian dintre Canada și Comunitatea Europeană și statele sale membre</w:t>
      </w:r>
    </w:p>
    <w:p>
      <w:pPr>
        <w:pStyle w:val="Institutionquiagit"/>
        <w:rPr>
          <w:noProof/>
        </w:rPr>
      </w:pPr>
      <w:r>
        <w:rPr>
          <w:noProof/>
        </w:rPr>
        <w:t>CONSILIUL UNIUNII EUROPENE,</w:t>
      </w:r>
    </w:p>
    <w:p>
      <w:pPr>
        <w:rPr>
          <w:noProof/>
        </w:rPr>
      </w:pPr>
      <w:r>
        <w:rPr>
          <w:noProof/>
        </w:rPr>
        <w:t>având în vedere Tratatul privind funcționarea Uniunii Europene, în special articolul 100 alineatul (2), coroborat cu articolul 218 alineatul (9),</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Acordul privind transportul aerian dintre Canada și Comunitatea Europeană și statele sale membre („acordul”) a fost încheiat de Uniune prin Decizia (UE) 2019/702 a Consiliului</w:t>
      </w:r>
      <w:r>
        <w:rPr>
          <w:rStyle w:val="FootnoteReference"/>
          <w:noProof/>
        </w:rPr>
        <w:footnoteReference w:id="2"/>
      </w:r>
      <w:r>
        <w:rPr>
          <w:noProof/>
        </w:rPr>
        <w:t xml:space="preserve"> și a intrat în vigoare la 16 mai 2019. </w:t>
      </w:r>
    </w:p>
    <w:p>
      <w:pPr>
        <w:pStyle w:val="ManualConsidrant"/>
        <w:rPr>
          <w:noProof/>
        </w:rPr>
      </w:pPr>
      <w:r>
        <w:t>(2)</w:t>
      </w:r>
      <w:r>
        <w:tab/>
      </w:r>
      <w:r>
        <w:rPr>
          <w:noProof/>
        </w:rPr>
        <w:t>Articolul 17 din acord instituie un comitet mixt însărcinat să asigure funcționarea și punerea în aplicare corespunzătoare a acordului.</w:t>
      </w:r>
    </w:p>
    <w:p>
      <w:pPr>
        <w:pStyle w:val="ManualConsidrant"/>
        <w:rPr>
          <w:noProof/>
        </w:rPr>
      </w:pPr>
      <w:r>
        <w:t>(3)</w:t>
      </w:r>
      <w:r>
        <w:tab/>
      </w:r>
      <w:r>
        <w:rPr>
          <w:noProof/>
        </w:rPr>
        <w:t>Conform articolului 17 alineatul (8) din acord, comitetul mixt trebuie să își adopte propriul regulament de procedură.</w:t>
      </w:r>
    </w:p>
    <w:p>
      <w:pPr>
        <w:pStyle w:val="ManualConsidrant"/>
        <w:rPr>
          <w:noProof/>
        </w:rPr>
      </w:pPr>
      <w:r>
        <w:t>(4)</w:t>
      </w:r>
      <w:r>
        <w:tab/>
      </w:r>
      <w:r>
        <w:rPr>
          <w:noProof/>
        </w:rPr>
        <w:t>Pentru a asigura punerea în aplicare eficace a acordului, regulamentul de procedură al comitetului mixt ar trebui adoptat.</w:t>
      </w:r>
    </w:p>
    <w:p>
      <w:pPr>
        <w:pStyle w:val="ManualConsidrant"/>
        <w:rPr>
          <w:noProof/>
        </w:rPr>
      </w:pPr>
      <w:r>
        <w:t>(5)</w:t>
      </w:r>
      <w:r>
        <w:tab/>
      </w:r>
      <w:r>
        <w:rPr>
          <w:noProof/>
        </w:rPr>
        <w:t>Poziția Uniunii în cadrul comitetului mixt ar trebui, prin urmare, să se bazeze pe proiectul de decizie a comitetului mixt atașat,</w:t>
      </w: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Poziția care trebuie adoptată în numele Uniunii în cadrul primei reuniuni a comitetului mixt instituit prin articolul 17 din Acordul privind transportul aerian dintre Canada și Comunitatea Europeană și statele sale membre, în legătură cu adoptarea regulamentului de procedură al comitetului mixt, se bazează pe proiectul de decizie a comitetului mixt atașat la prezenta decizie.</w:t>
      </w:r>
    </w:p>
    <w:p>
      <w:pPr>
        <w:pStyle w:val="Titrearticle"/>
        <w:rPr>
          <w:noProof/>
        </w:rPr>
      </w:pPr>
      <w:r>
        <w:rPr>
          <w:noProof/>
        </w:rPr>
        <w:lastRenderedPageBreak/>
        <w:t>Articolul 2</w:t>
      </w:r>
    </w:p>
    <w:p>
      <w:pPr>
        <w:pStyle w:val="Titrearticle"/>
        <w:jc w:val="both"/>
        <w:rPr>
          <w:noProof/>
        </w:rPr>
      </w:pPr>
      <w:r>
        <w:rPr>
          <w:i w:val="0"/>
          <w:noProof/>
        </w:rPr>
        <w:t>Prezenta decizie se adresează Comisiei.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 xml:space="preserve">Decizia (UE) 2019/702 a Consiliului din 15 aprilie 2019 privind încheierea, în numele Uniunii, a Acordului privind transportul aerian dintre Comunitatea Europeană și statele sale membre, pe de o parte, și Canada, pe de altă parte. </w:t>
      </w:r>
      <w:r>
        <w:rPr>
          <w:rStyle w:val="Emphasis"/>
        </w:rPr>
        <w:t>JO L 120, 8.5.2019, p. 1-2.</w:t>
      </w:r>
    </w:p>
  </w:footnote>
  <w:footnote w:id="2">
    <w:p>
      <w:pPr>
        <w:pStyle w:val="FootnoteText"/>
      </w:pPr>
      <w:r>
        <w:rPr>
          <w:rStyle w:val="FootnoteReference"/>
        </w:rPr>
        <w:footnoteRef/>
      </w:r>
      <w:r>
        <w:tab/>
        <w:t>JO L 120, 8.5.2019,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7 11:08: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8DBE1A7-BB06-4AF2-B39F-BDB68BA06FB3"/>
    <w:docVar w:name="LW_COVERPAGE_TYPE" w:val="1"/>
    <w:docVar w:name="LW_CROSSREFERENCE" w:val="&lt;UNUSED&gt;"/>
    <w:docVar w:name="LW_DocType" w:val="COM"/>
    <w:docVar w:name="LW_EMISSION" w:val="14.11.2019"/>
    <w:docVar w:name="LW_EMISSION_ISODATE" w:val="2019-11-14"/>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260"/>
    <w:docVar w:name="LW_REF.II.NEW.CP_YEAR" w:val="2019"/>
    <w:docVar w:name="LW_REF.INST.NEW" w:val="COM"/>
    <w:docVar w:name="LW_REF.INST.NEW_ADOPTED" w:val="final"/>
    <w:docVar w:name="LW_REF.INST.NEW_TEXT" w:val="(2019) 5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pozi\u539?ia care trebuie adoptat\u259? în numele Uniunii Europene în cadrul comitetului mixt instituit prin Acordul privind transportul aerian dintre Canada \u537?i Comunitatea European\u259? \u537?i statele sale membre"/>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1414158517">
      <w:bodyDiv w:val="1"/>
      <w:marLeft w:val="0"/>
      <w:marRight w:val="0"/>
      <w:marTop w:val="0"/>
      <w:marBottom w:val="0"/>
      <w:divBdr>
        <w:top w:val="none" w:sz="0" w:space="0" w:color="auto"/>
        <w:left w:val="none" w:sz="0" w:space="0" w:color="auto"/>
        <w:bottom w:val="none" w:sz="0" w:space="0" w:color="auto"/>
        <w:right w:val="none" w:sz="0" w:space="0" w:color="auto"/>
      </w:divBdr>
      <w:divsChild>
        <w:div w:id="122113929">
          <w:marLeft w:val="0"/>
          <w:marRight w:val="0"/>
          <w:marTop w:val="0"/>
          <w:marBottom w:val="0"/>
          <w:divBdr>
            <w:top w:val="none" w:sz="0" w:space="0" w:color="auto"/>
            <w:left w:val="none" w:sz="0" w:space="0" w:color="auto"/>
            <w:bottom w:val="none" w:sz="0" w:space="0" w:color="auto"/>
            <w:right w:val="none" w:sz="0" w:space="0" w:color="auto"/>
          </w:divBdr>
        </w:div>
        <w:div w:id="179584271">
          <w:marLeft w:val="0"/>
          <w:marRight w:val="0"/>
          <w:marTop w:val="0"/>
          <w:marBottom w:val="0"/>
          <w:divBdr>
            <w:top w:val="none" w:sz="0" w:space="0" w:color="auto"/>
            <w:left w:val="none" w:sz="0" w:space="0" w:color="auto"/>
            <w:bottom w:val="none" w:sz="0" w:space="0" w:color="auto"/>
            <w:right w:val="none" w:sz="0" w:space="0" w:color="auto"/>
          </w:divBdr>
        </w:div>
        <w:div w:id="348021172">
          <w:marLeft w:val="0"/>
          <w:marRight w:val="0"/>
          <w:marTop w:val="0"/>
          <w:marBottom w:val="0"/>
          <w:divBdr>
            <w:top w:val="none" w:sz="0" w:space="0" w:color="auto"/>
            <w:left w:val="none" w:sz="0" w:space="0" w:color="auto"/>
            <w:bottom w:val="none" w:sz="0" w:space="0" w:color="auto"/>
            <w:right w:val="none" w:sz="0" w:space="0" w:color="auto"/>
          </w:divBdr>
        </w:div>
        <w:div w:id="1034618332">
          <w:marLeft w:val="0"/>
          <w:marRight w:val="0"/>
          <w:marTop w:val="0"/>
          <w:marBottom w:val="0"/>
          <w:divBdr>
            <w:top w:val="none" w:sz="0" w:space="0" w:color="auto"/>
            <w:left w:val="none" w:sz="0" w:space="0" w:color="auto"/>
            <w:bottom w:val="none" w:sz="0" w:space="0" w:color="auto"/>
            <w:right w:val="none" w:sz="0" w:space="0" w:color="auto"/>
          </w:divBdr>
        </w:div>
        <w:div w:id="1438863166">
          <w:marLeft w:val="0"/>
          <w:marRight w:val="0"/>
          <w:marTop w:val="0"/>
          <w:marBottom w:val="0"/>
          <w:divBdr>
            <w:top w:val="none" w:sz="0" w:space="0" w:color="auto"/>
            <w:left w:val="none" w:sz="0" w:space="0" w:color="auto"/>
            <w:bottom w:val="none" w:sz="0" w:space="0" w:color="auto"/>
            <w:right w:val="none" w:sz="0" w:space="0" w:color="auto"/>
          </w:divBdr>
        </w:div>
        <w:div w:id="1507868203">
          <w:marLeft w:val="0"/>
          <w:marRight w:val="0"/>
          <w:marTop w:val="0"/>
          <w:marBottom w:val="0"/>
          <w:divBdr>
            <w:top w:val="none" w:sz="0" w:space="0" w:color="auto"/>
            <w:left w:val="none" w:sz="0" w:space="0" w:color="auto"/>
            <w:bottom w:val="none" w:sz="0" w:space="0" w:color="auto"/>
            <w:right w:val="none" w:sz="0" w:space="0" w:color="auto"/>
          </w:divBdr>
        </w:div>
        <w:div w:id="16953781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35344284-1FEE-4714-857E-EC5C71D5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1128</Words>
  <Characters>6565</Characters>
  <Application>Microsoft Office Word</Application>
  <DocSecurity>0</DocSecurity>
  <Lines>121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2019-11-04T13:37:00Z</dcterms:created>
  <dcterms:modified xsi:type="dcterms:W3CDTF">2019-11-07T10:08:00Z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