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CA0FC7F-5268-4AC6-9944-E39597C8345D" style="width:449.75pt;height:447.9pt">
            <v:imagedata r:id="rId8" o:title=""/>
          </v:shape>
        </w:pict>
      </w:r>
    </w:p>
    <w:bookmarkEnd w:id="0"/>
    <w:p>
      <w:pPr>
        <w:rPr>
          <w:rFonts w:ascii="Times New Roman" w:hAnsi="Times New Roman" w:cs="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PROTOKOLL,</w:t>
      </w:r>
    </w:p>
    <w:p>
      <w:pPr>
        <w:jc w:val="center"/>
        <w:rPr>
          <w:rFonts w:ascii="Times New Roman" w:hAnsi="Times New Roman" w:cs="Times New Roman"/>
          <w:b/>
          <w:noProof/>
          <w:sz w:val="24"/>
          <w:szCs w:val="24"/>
        </w:rPr>
      </w:pPr>
      <w:r>
        <w:rPr>
          <w:rFonts w:ascii="Times New Roman" w:hAnsi="Times New Roman" w:cs="Times New Roman"/>
          <w:b/>
          <w:noProof/>
          <w:sz w:val="24"/>
          <w:szCs w:val="24"/>
        </w:rPr>
        <w:t>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w:t>
      </w:r>
    </w:p>
    <w:p>
      <w:pPr>
        <w:jc w:val="both"/>
        <w:rPr>
          <w:rFonts w:ascii="Times New Roman" w:hAnsi="Times New Roman" w:cs="Times New Roman"/>
          <w:noProof/>
          <w:sz w:val="24"/>
          <w:szCs w:val="24"/>
        </w:rPr>
      </w:pPr>
      <w:r>
        <w:rPr>
          <w:rFonts w:ascii="Times New Roman" w:hAnsi="Times New Roman" w:cs="Times New Roman"/>
          <w:noProof/>
          <w:sz w:val="24"/>
          <w:szCs w:val="24"/>
        </w:rPr>
        <w:t>AUSTRIA VABARIIK,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BELGIA KUNINGRIIK,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BULGAARIA VABARIIK, </w:t>
      </w:r>
    </w:p>
    <w:p>
      <w:pPr>
        <w:jc w:val="both"/>
        <w:rPr>
          <w:rFonts w:ascii="Times New Roman" w:hAnsi="Times New Roman" w:cs="Times New Roman"/>
          <w:noProof/>
          <w:sz w:val="24"/>
          <w:szCs w:val="24"/>
        </w:rPr>
      </w:pPr>
      <w:r>
        <w:rPr>
          <w:rFonts w:ascii="Times New Roman" w:hAnsi="Times New Roman" w:cs="Times New Roman"/>
          <w:noProof/>
          <w:sz w:val="24"/>
          <w:szCs w:val="24"/>
        </w:rPr>
        <w:t>HORVAATIA VABARIIK,</w:t>
      </w:r>
    </w:p>
    <w:p>
      <w:pPr>
        <w:jc w:val="both"/>
        <w:rPr>
          <w:rFonts w:ascii="Times New Roman" w:hAnsi="Times New Roman" w:cs="Times New Roman"/>
          <w:noProof/>
          <w:sz w:val="24"/>
          <w:szCs w:val="24"/>
        </w:rPr>
      </w:pPr>
      <w:r>
        <w:rPr>
          <w:rFonts w:ascii="Times New Roman" w:hAnsi="Times New Roman" w:cs="Times New Roman"/>
          <w:noProof/>
          <w:sz w:val="24"/>
          <w:szCs w:val="24"/>
        </w:rPr>
        <w:t>KÜPROSE VABARIIK,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TŠEHHI 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TAANI KUNINGRIIK,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EESTI VABARIIK, </w:t>
      </w:r>
    </w:p>
    <w:p>
      <w:pPr>
        <w:jc w:val="both"/>
        <w:rPr>
          <w:rFonts w:ascii="Times New Roman" w:hAnsi="Times New Roman" w:cs="Times New Roman"/>
          <w:noProof/>
          <w:sz w:val="24"/>
          <w:szCs w:val="24"/>
        </w:rPr>
      </w:pPr>
      <w:r>
        <w:rPr>
          <w:rFonts w:ascii="Times New Roman" w:hAnsi="Times New Roman" w:cs="Times New Roman"/>
          <w:noProof/>
          <w:sz w:val="24"/>
          <w:szCs w:val="24"/>
        </w:rPr>
        <w:t>SOOME VABARIIK,</w:t>
      </w:r>
    </w:p>
    <w:p>
      <w:pPr>
        <w:jc w:val="both"/>
        <w:rPr>
          <w:rFonts w:ascii="Times New Roman" w:hAnsi="Times New Roman" w:cs="Times New Roman"/>
          <w:noProof/>
          <w:sz w:val="24"/>
          <w:szCs w:val="24"/>
        </w:rPr>
      </w:pPr>
      <w:r>
        <w:rPr>
          <w:rFonts w:ascii="Times New Roman" w:hAnsi="Times New Roman" w:cs="Times New Roman"/>
          <w:noProof/>
          <w:sz w:val="24"/>
          <w:szCs w:val="24"/>
        </w:rPr>
        <w:t>PRANTSUSE VABARIIK,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SAKSAMAA LIITVABARIIK,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KREEKA VABARIIK, </w:t>
      </w:r>
    </w:p>
    <w:p>
      <w:pPr>
        <w:jc w:val="both"/>
        <w:rPr>
          <w:rFonts w:ascii="Times New Roman" w:hAnsi="Times New Roman" w:cs="Times New Roman"/>
          <w:noProof/>
          <w:sz w:val="24"/>
          <w:szCs w:val="24"/>
        </w:rPr>
      </w:pPr>
      <w:r>
        <w:rPr>
          <w:rFonts w:ascii="Times New Roman" w:hAnsi="Times New Roman" w:cs="Times New Roman"/>
          <w:noProof/>
          <w:sz w:val="24"/>
          <w:szCs w:val="24"/>
        </w:rPr>
        <w:t>UNGARI,</w:t>
      </w:r>
    </w:p>
    <w:p>
      <w:pPr>
        <w:jc w:val="both"/>
        <w:rPr>
          <w:rFonts w:ascii="Times New Roman" w:hAnsi="Times New Roman" w:cs="Times New Roman"/>
          <w:noProof/>
          <w:sz w:val="24"/>
          <w:szCs w:val="24"/>
        </w:rPr>
      </w:pPr>
      <w:r>
        <w:rPr>
          <w:rFonts w:ascii="Times New Roman" w:hAnsi="Times New Roman" w:cs="Times New Roman"/>
          <w:noProof/>
          <w:sz w:val="24"/>
          <w:szCs w:val="24"/>
        </w:rPr>
        <w:t>IIRIMAA,</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ITAALIA 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LÄTI 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LEEDU 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LUKSEMBURGI SUURHERTSOGIRIIK,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MALTA,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MADALMAADE KUNINGRIIK,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POOLA VABARIIK,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PORTUGALI VABARIIK, </w:t>
      </w:r>
    </w:p>
    <w:p>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RUMEENIA, </w:t>
      </w:r>
    </w:p>
    <w:p>
      <w:pPr>
        <w:jc w:val="both"/>
        <w:rPr>
          <w:rFonts w:ascii="Times New Roman" w:hAnsi="Times New Roman" w:cs="Times New Roman"/>
          <w:noProof/>
          <w:sz w:val="24"/>
          <w:szCs w:val="24"/>
        </w:rPr>
      </w:pPr>
      <w:r>
        <w:rPr>
          <w:rFonts w:ascii="Times New Roman" w:hAnsi="Times New Roman" w:cs="Times New Roman"/>
          <w:noProof/>
          <w:sz w:val="24"/>
          <w:szCs w:val="24"/>
        </w:rPr>
        <w:t>SLOVAKI VABARIIK,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SLOVEENIA VABARIIK, </w:t>
      </w:r>
    </w:p>
    <w:p>
      <w:pPr>
        <w:jc w:val="both"/>
        <w:rPr>
          <w:rFonts w:ascii="Times New Roman" w:hAnsi="Times New Roman" w:cs="Times New Roman"/>
          <w:noProof/>
          <w:sz w:val="24"/>
          <w:szCs w:val="24"/>
        </w:rPr>
      </w:pPr>
      <w:r>
        <w:rPr>
          <w:rFonts w:ascii="Times New Roman" w:hAnsi="Times New Roman" w:cs="Times New Roman"/>
          <w:noProof/>
          <w:sz w:val="24"/>
          <w:szCs w:val="24"/>
        </w:rPr>
        <w:t>HISPAANIA KUNINGRIIK,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ROOTSI KUNINGRIIK,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SUURBRITANNIA JA PÕHJA-IIRI ÜHENDKUNINGRIIK, </w:t>
      </w:r>
    </w:p>
    <w:p>
      <w:pPr>
        <w:jc w:val="both"/>
        <w:rPr>
          <w:rFonts w:ascii="Times New Roman" w:hAnsi="Times New Roman" w:cs="Times New Roman"/>
          <w:noProof/>
          <w:sz w:val="24"/>
          <w:szCs w:val="24"/>
        </w:rPr>
      </w:pPr>
      <w:r>
        <w:rPr>
          <w:rFonts w:ascii="Times New Roman" w:hAnsi="Times New Roman" w:cs="Times New Roman"/>
          <w:noProof/>
          <w:sz w:val="24"/>
          <w:szCs w:val="24"/>
        </w:rPr>
        <w:t>kes on Euroopa Liidu lepingu ja Euroopa Liidu toimimise lepingu osalisriigid ning Euroopa Liidu liikmesriigid (edaspidi „liikmesriigid“), ja</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EUROOPA LIIT </w:t>
      </w:r>
    </w:p>
    <w:p>
      <w:pPr>
        <w:jc w:val="both"/>
        <w:rPr>
          <w:rFonts w:ascii="Times New Roman" w:hAnsi="Times New Roman" w:cs="Times New Roman"/>
          <w:noProof/>
          <w:sz w:val="24"/>
          <w:szCs w:val="24"/>
        </w:rPr>
      </w:pPr>
      <w:r>
        <w:rPr>
          <w:rFonts w:ascii="Times New Roman" w:hAnsi="Times New Roman" w:cs="Times New Roman"/>
          <w:noProof/>
          <w:sz w:val="24"/>
          <w:szCs w:val="24"/>
        </w:rPr>
        <w:t>ühelt poolt;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ISLAND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teiselt poolt; ning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NORRA KUNINGRIIK, </w:t>
      </w:r>
    </w:p>
    <w:p>
      <w:pPr>
        <w:jc w:val="both"/>
        <w:rPr>
          <w:rFonts w:ascii="Times New Roman" w:hAnsi="Times New Roman" w:cs="Times New Roman"/>
          <w:noProof/>
          <w:sz w:val="24"/>
          <w:szCs w:val="24"/>
        </w:rPr>
      </w:pPr>
      <w:r>
        <w:rPr>
          <w:rFonts w:ascii="Times New Roman" w:hAnsi="Times New Roman" w:cs="Times New Roman"/>
          <w:noProof/>
          <w:sz w:val="24"/>
          <w:szCs w:val="24"/>
        </w:rPr>
        <w:t>kolmandalt poolt</w:t>
      </w:r>
    </w:p>
    <w:p>
      <w:pPr>
        <w:jc w:val="both"/>
        <w:rPr>
          <w:rFonts w:ascii="Times New Roman" w:hAnsi="Times New Roman" w:cs="Times New Roman"/>
          <w:noProof/>
          <w:sz w:val="24"/>
          <w:szCs w:val="24"/>
        </w:rPr>
      </w:pPr>
      <w:r>
        <w:rPr>
          <w:rFonts w:ascii="Times New Roman" w:hAnsi="Times New Roman" w:cs="Times New Roman"/>
          <w:noProof/>
          <w:sz w:val="24"/>
          <w:szCs w:val="24"/>
        </w:rPr>
        <w:t>võttes arvesse Horvaatia Vabariigi ühinemist Euroopa Liiduga 1. juulil 2013,</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ON KOKKU LEPPINUD JÄRGMISES: </w:t>
      </w:r>
    </w:p>
    <w:p>
      <w:pPr>
        <w:jc w:val="center"/>
        <w:rPr>
          <w:rFonts w:ascii="Times New Roman" w:hAnsi="Times New Roman" w:cs="Times New Roman"/>
          <w:i/>
          <w:noProof/>
          <w:sz w:val="24"/>
          <w:szCs w:val="24"/>
        </w:rPr>
      </w:pPr>
      <w:r>
        <w:rPr>
          <w:rFonts w:ascii="Times New Roman" w:hAnsi="Times New Roman" w:cs="Times New Roman"/>
          <w:i/>
          <w:noProof/>
          <w:sz w:val="24"/>
          <w:szCs w:val="24"/>
        </w:rPr>
        <w:t xml:space="preserve">Artikkel 1 </w:t>
      </w:r>
    </w:p>
    <w:p>
      <w:pPr>
        <w:rPr>
          <w:rFonts w:ascii="Times New Roman" w:hAnsi="Times New Roman" w:cs="Times New Roman"/>
          <w:noProof/>
          <w:sz w:val="24"/>
          <w:szCs w:val="24"/>
        </w:rPr>
      </w:pPr>
      <w:r>
        <w:rPr>
          <w:rFonts w:ascii="Times New Roman" w:hAnsi="Times New Roman" w:cs="Times New Roman"/>
          <w:noProof/>
          <w:sz w:val="24"/>
          <w:szCs w:val="24"/>
        </w:rPr>
        <w:t>Horvaatia Vabariik on osaline ühelt poolt Euroopa Liidu ja selle liikmesriikide, teiselt poolt Islandi ning kolmandalt poolt Norra Kuningriigi vahelises, 16. ja 21. juunil 2011 alla kirjutatud kõrvallepingus (ühelt poolt Ameerika Ühendriikide ning teiselt poolt Euroopa Liidu ja selle liikmesriikide, kolmandalt poolt Islandi ning neljandalt poolt Norra Kuningriigi vahelise lennutranspordilepingu kohaldamise kohta) (edaspidi „kõrvalleping“).</w:t>
      </w:r>
    </w:p>
    <w:p>
      <w:pPr>
        <w:jc w:val="center"/>
        <w:rPr>
          <w:rFonts w:ascii="Times New Roman" w:hAnsi="Times New Roman" w:cs="Times New Roman"/>
          <w:i/>
          <w:noProof/>
          <w:sz w:val="24"/>
          <w:szCs w:val="24"/>
        </w:rPr>
      </w:pPr>
      <w:r>
        <w:rPr>
          <w:rFonts w:ascii="Times New Roman" w:hAnsi="Times New Roman" w:cs="Times New Roman"/>
          <w:i/>
          <w:noProof/>
          <w:sz w:val="24"/>
          <w:szCs w:val="24"/>
        </w:rPr>
        <w:t xml:space="preserve">Artikkel 2 </w:t>
      </w:r>
    </w:p>
    <w:p>
      <w:pPr>
        <w:jc w:val="both"/>
        <w:rPr>
          <w:rFonts w:ascii="Times New Roman" w:hAnsi="Times New Roman" w:cs="Times New Roman"/>
          <w:noProof/>
          <w:sz w:val="24"/>
          <w:szCs w:val="24"/>
        </w:rPr>
      </w:pPr>
      <w:r>
        <w:rPr>
          <w:rFonts w:ascii="Times New Roman" w:hAnsi="Times New Roman" w:cs="Times New Roman"/>
          <w:noProof/>
          <w:sz w:val="24"/>
          <w:szCs w:val="24"/>
        </w:rPr>
        <w:t>Kõrvallepingu horvaadikeelne tekst, mis on lisatud käesolevale protokollile, on autentne samadel tingimustel kui muukeelsed versioonid.</w:t>
      </w:r>
    </w:p>
    <w:p>
      <w:pPr>
        <w:jc w:val="center"/>
        <w:rPr>
          <w:rFonts w:ascii="Times New Roman" w:hAnsi="Times New Roman" w:cs="Times New Roman"/>
          <w:i/>
          <w:noProof/>
          <w:sz w:val="24"/>
          <w:szCs w:val="24"/>
        </w:rPr>
      </w:pPr>
    </w:p>
    <w:p>
      <w:pPr>
        <w:jc w:val="center"/>
        <w:rPr>
          <w:rFonts w:ascii="Times New Roman" w:hAnsi="Times New Roman" w:cs="Times New Roman"/>
          <w:i/>
          <w:noProof/>
          <w:sz w:val="24"/>
          <w:szCs w:val="24"/>
        </w:rPr>
      </w:pPr>
      <w:r>
        <w:rPr>
          <w:rFonts w:ascii="Times New Roman" w:hAnsi="Times New Roman" w:cs="Times New Roman"/>
          <w:i/>
          <w:noProof/>
          <w:sz w:val="24"/>
          <w:szCs w:val="24"/>
        </w:rPr>
        <w:t>Artikkel 3</w:t>
      </w:r>
    </w:p>
    <w:p>
      <w:pPr>
        <w:jc w:val="both"/>
        <w:rPr>
          <w:rFonts w:ascii="Times New Roman" w:hAnsi="Times New Roman" w:cs="Times New Roman"/>
          <w:noProof/>
          <w:sz w:val="24"/>
          <w:szCs w:val="24"/>
        </w:rPr>
      </w:pPr>
      <w:r>
        <w:rPr>
          <w:rFonts w:ascii="Times New Roman" w:hAnsi="Times New Roman" w:cs="Times New Roman"/>
          <w:noProof/>
          <w:sz w:val="24"/>
          <w:szCs w:val="24"/>
        </w:rPr>
        <w:t>Käesolev protokoll jõustub (olenevalt sellest, milline kuupäev on hilisem):</w:t>
      </w:r>
    </w:p>
    <w:p>
      <w:pPr>
        <w:jc w:val="both"/>
        <w:rPr>
          <w:rFonts w:ascii="Times New Roman" w:hAnsi="Times New Roman" w:cs="Times New Roman"/>
          <w:noProof/>
          <w:sz w:val="24"/>
          <w:szCs w:val="24"/>
        </w:rPr>
      </w:pPr>
      <w:r>
        <w:rPr>
          <w:rFonts w:ascii="Times New Roman" w:hAnsi="Times New Roman" w:cs="Times New Roman"/>
          <w:noProof/>
          <w:sz w:val="24"/>
          <w:szCs w:val="24"/>
        </w:rPr>
        <w:t>1. kõrvallepingu jõustumise kuupäeval või</w:t>
      </w:r>
    </w:p>
    <w:p>
      <w:pPr>
        <w:jc w:val="both"/>
        <w:rPr>
          <w:rFonts w:ascii="Times New Roman" w:hAnsi="Times New Roman" w:cs="Times New Roman"/>
          <w:noProof/>
          <w:sz w:val="24"/>
          <w:szCs w:val="24"/>
        </w:rPr>
      </w:pPr>
      <w:r>
        <w:rPr>
          <w:rFonts w:ascii="Times New Roman" w:hAnsi="Times New Roman" w:cs="Times New Roman"/>
          <w:noProof/>
          <w:sz w:val="24"/>
          <w:szCs w:val="24"/>
        </w:rPr>
        <w:t>2. üks kuu pärast seda, kui lepinguosalised on vahetanud viimase diplomaatilise noodi, millega kinnitatakse, et kõik käesoleva protokolli jõustamiseks vajalikud menetlused on lõpule viidud.</w:t>
      </w:r>
    </w:p>
    <w:p>
      <w:pPr>
        <w:jc w:val="center"/>
        <w:rPr>
          <w:rFonts w:ascii="Times New Roman" w:hAnsi="Times New Roman" w:cs="Times New Roman"/>
          <w:i/>
          <w:noProof/>
          <w:sz w:val="24"/>
          <w:szCs w:val="24"/>
        </w:rPr>
      </w:pPr>
      <w:r>
        <w:rPr>
          <w:rFonts w:ascii="Times New Roman" w:hAnsi="Times New Roman" w:cs="Times New Roman"/>
          <w:i/>
          <w:noProof/>
          <w:sz w:val="24"/>
          <w:szCs w:val="24"/>
        </w:rPr>
        <w:t xml:space="preserve">Artikkel 4 </w:t>
      </w:r>
    </w:p>
    <w:p>
      <w:pPr>
        <w:jc w:val="both"/>
        <w:rPr>
          <w:rFonts w:ascii="Times New Roman" w:hAnsi="Times New Roman" w:cs="Times New Roman"/>
          <w:noProof/>
          <w:sz w:val="24"/>
          <w:szCs w:val="24"/>
        </w:rPr>
      </w:pPr>
      <w:r>
        <w:rPr>
          <w:rFonts w:ascii="Times New Roman" w:hAnsi="Times New Roman" w:cs="Times New Roman"/>
          <w:noProof/>
          <w:sz w:val="24"/>
          <w:szCs w:val="24"/>
        </w:rPr>
        <w:t>Lepinguosalised lepivad kokku, et kohaldatava siseriikliku õigusega lubatud ulatuses kohaldatakse käesolevat protokolli ajutiselt alates sellele alla kirjutamise kuupäevast kuni selle jõustumiseni.</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Koostatud… (koht)…. 2019 (kuupäev) kolmes eksemplaris bulgaaria, eesti, hispaania, hollandi, horvaadi, inglise, islandi, itaalia, kreeka, leedu, läti, malta, norra, poola, portugali, prantsuse, rootsi, rumeenia, saksa, slovaki, sloveeni, soome, taani, tšehhi ja ungari keeles, kusjuures kõik tekstid on võrdselt autentsed.</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Liikmesriikide nimel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pPr>
        <w:rPr>
          <w:rFonts w:ascii="Times New Roman" w:hAnsi="Times New Roman" w:cs="Times New Roman"/>
          <w:noProof/>
          <w:sz w:val="24"/>
          <w:szCs w:val="24"/>
        </w:rPr>
      </w:pPr>
      <w:r>
        <w:rPr>
          <w:rFonts w:ascii="Times New Roman" w:hAnsi="Times New Roman" w:cs="Times New Roman"/>
          <w:noProof/>
          <w:sz w:val="24"/>
          <w:szCs w:val="24"/>
        </w:rPr>
        <w:t>Euroopa Liidu nimel</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 xml:space="preserve">Islandi nimel </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Norra Kuningriigi nimel</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Yu Gothic UI"/>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729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B17"/>
    <w:multiLevelType w:val="hybridMultilevel"/>
    <w:tmpl w:val="9B023A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1CA0FC7F-5268-4AC6-9944-E39597C8345D"/>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protokollile, 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 Euroopa Liidu ja selle liikmesriikide nimel allakirjutamise kohta"/>
    <w:docVar w:name="LW_PART_NBR" w:val="1"/>
    <w:docVar w:name="LW_PART_NBR_TOTAL" w:val="1"/>
    <w:docVar w:name="LW_REF.INST.NEW" w:val="COM"/>
    <w:docVar w:name="LW_REF.INST.NEW_ADOPTED" w:val="final"/>
    <w:docVar w:name="LW_REF.INST.NEW_TEXT" w:val="(2019)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_x000b_"/>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831902">
      <w:bodyDiv w:val="1"/>
      <w:marLeft w:val="0"/>
      <w:marRight w:val="0"/>
      <w:marTop w:val="0"/>
      <w:marBottom w:val="0"/>
      <w:divBdr>
        <w:top w:val="none" w:sz="0" w:space="0" w:color="auto"/>
        <w:left w:val="none" w:sz="0" w:space="0" w:color="auto"/>
        <w:bottom w:val="none" w:sz="0" w:space="0" w:color="auto"/>
        <w:right w:val="none" w:sz="0" w:space="0" w:color="auto"/>
      </w:divBdr>
    </w:div>
    <w:div w:id="18822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347</Words>
  <Characters>2562</Characters>
  <Application>Microsoft Office Word</Application>
  <DocSecurity>0</DocSecurity>
  <Lines>82</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REJTHAROVA Jana (MOVE)</dc:creator>
  <cp:lastModifiedBy>WES PDFC Administrator</cp:lastModifiedBy>
  <cp:revision>10</cp:revision>
  <cp:lastPrinted>2019-01-25T15:10:00Z</cp:lastPrinted>
  <dcterms:created xsi:type="dcterms:W3CDTF">2019-09-18T12:17:00Z</dcterms:created>
  <dcterms:modified xsi:type="dcterms:W3CDTF">2019-11-07T09:16:00Z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