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1396E12-49A4-4AF0-90D6-8311C4F06AF1" style="width:450.8pt;height:40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u w:color="000000"/>
          <w:bdr w:val="nil"/>
        </w:rPr>
        <w:t>•</w:t>
      </w:r>
      <w:r>
        <w:rPr>
          <w:noProof/>
          <w:u w:color="000000"/>
          <w:bdr w:val="nil"/>
        </w:rPr>
        <w:tab/>
      </w:r>
      <w:r>
        <w:rPr>
          <w:noProof/>
        </w:rPr>
        <w:t>Priekšlikuma pamatojums un mērķi</w:t>
      </w:r>
    </w:p>
    <w:p>
      <w:pPr>
        <w:pStyle w:val="Point0"/>
        <w:rPr>
          <w:noProof/>
        </w:rPr>
      </w:pPr>
      <w:r>
        <w:t>(a)</w:t>
      </w:r>
      <w:r>
        <w:tab/>
      </w:r>
      <w:r>
        <w:rPr>
          <w:noProof/>
        </w:rPr>
        <w:t>Pastāvošo regulu piemērošanas termiņa pagarināšana</w:t>
      </w:r>
    </w:p>
    <w:p>
      <w:pPr>
        <w:rPr>
          <w:rFonts w:eastAsia="Times New Roman"/>
          <w:noProof/>
          <w:szCs w:val="24"/>
        </w:rPr>
      </w:pPr>
      <w:r>
        <w:rPr>
          <w:noProof/>
        </w:rPr>
        <w:t>Komisijas reformu priekšlikumi</w:t>
      </w:r>
      <w:r>
        <w:rPr>
          <w:rStyle w:val="FootnoteReference0"/>
          <w:noProof/>
        </w:rPr>
        <w:footnoteReference w:id="1"/>
      </w:r>
      <w:r>
        <w:rPr>
          <w:noProof/>
        </w:rPr>
        <w:t xml:space="preserve"> attiecībā uz kopējo lauksaimniecības politiku (KLP) pēc 2020. gada nosaka, ka dalībvalstis sāk īstenot savus stratēģiskos plānus no 2021. gada 1. janvāra. Tas nozīmētu to, ka dalībvalstis iesniegtu savus stratēģiskos plānus ne vēlāk kā 2020. gada 1. janvārī un ka Komisija šos plānus apstiprinātu gada laikā. Ņemot vērā pašreizējo situāciju gan Parlamentā, gan Padomē, ir skaidrs, ka pamatakti un turpmāki deleģētie un īstenošanas akti netiks oficiāli pieņemti līdz 2020. gada janvārim un ka tāpēc būs nepieciešams plānot pārejas laiku.</w:t>
      </w:r>
    </w:p>
    <w:p>
      <w:pPr>
        <w:rPr>
          <w:rFonts w:eastAsia="Times New Roman"/>
          <w:noProof/>
          <w:szCs w:val="24"/>
        </w:rPr>
      </w:pPr>
      <w:r>
        <w:rPr>
          <w:noProof/>
        </w:rPr>
        <w:t>Lai nodrošinātu šo pārejas periodu, būs jāpagarina pastāvošā tiesiskā regulējuma piemērošanas termiņš un jāpielāgo konkrēti noteikumi, lai nodrošinātu to, ka KLP turpinās līdz laikam, kad spēkā stājas jaunā sistēma.</w:t>
      </w:r>
    </w:p>
    <w:p>
      <w:pPr>
        <w:rPr>
          <w:rFonts w:eastAsia="Times New Roman"/>
          <w:noProof/>
          <w:szCs w:val="24"/>
        </w:rPr>
      </w:pPr>
      <w:r>
        <w:rPr>
          <w:noProof/>
        </w:rPr>
        <w:t xml:space="preserve">Regulas (ES) Nr. 1305/2013, (ES) Nr. 1306/2013, (ES) Nr. 1307/2013 un (ES) Nr. 1308/2013 nav oficiāli ierobežotas laikā un tāpēc turpinās būt piemērojamas līdz to atcelšanai. Regulu (ES) Nr. 1305/2013 turpinās piemērot atbalstam, ko Komisija apstiprinājusi saskaņā ar Regulu (ES) Nr. 1305/2013.  </w:t>
      </w:r>
    </w:p>
    <w:p>
      <w:pPr>
        <w:rPr>
          <w:rFonts w:eastAsia="Times New Roman"/>
          <w:noProof/>
          <w:szCs w:val="24"/>
        </w:rPr>
      </w:pPr>
      <w:r>
        <w:rPr>
          <w:noProof/>
        </w:rPr>
        <w:t xml:space="preserve">Taču Tiešo maksājumu regulā (Regula (ES) Nr. 1307/2013) un Lauku attīstības regulā (Regula (ES) Nr. 1305/2013) nav noteikts ne Savienības atbalsta apjoms, ne valstu maksimālie apjomi laikposmam pēc 2020. gada. Tie nav noteikti arī Regulā (ES) Nr. 228/2013 par īpašiem pasākumiem lauksaimniecības jomā attālākajiem Savienības reģioniem un Regulā (ES) Nr. 229/2013 par īpašiem pasākumiem lauksaimniecībā par labu Egejas jūras nelielajām salām. Tādējādi šīs regulas praksē vairs nebūs piemērojamas no 2021. gada. Tāpēc tās ir jāgroza tā, lai tās ietvertu atbilstošos apjomus / maksimālos apjomus, kad par tiem būs izlemts attiecībā uz jauno DFS 2021.–2027. gadam. Turklāt daži Tiešo maksājumu regulas (Regula (ES) Nr. 1307/2013) noteikumi ir piemērojami tikai līdz 2019. gadam. Regulā (ES) 2019/288, ar ko groza Tiešo maksājumu regulu, ir izklāstīti noteikumi 2020. kalendārajam gadam. Šie noteikumi būs vēlreiz jāpagarina uz pārejas laiku. Lai nodrošinātu skaidrību un juridisko noteiktību, ir jāpievieno arī konkrēti noteikumi vai konkrēti pastāvoši noteikumi ir jāgroza, lai nodrošinātu nepārtrauktību. </w:t>
      </w:r>
    </w:p>
    <w:p>
      <w:pPr>
        <w:rPr>
          <w:rFonts w:eastAsia="Times New Roman"/>
          <w:noProof/>
          <w:szCs w:val="24"/>
        </w:rPr>
      </w:pPr>
      <w:r>
        <w:rPr>
          <w:noProof/>
        </w:rPr>
        <w:t xml:space="preserve">Regulā (ES) Nr. 1303/2013 ir izklāstīti noteikumi attiecībā uz 2014.–2020. gada plānošanas periodu. Tā kā pašreizējais plānošanas periods lauku attīstības jomā būs jāpagarina tā, lai tas </w:t>
      </w:r>
      <w:r>
        <w:rPr>
          <w:noProof/>
        </w:rPr>
        <w:lastRenderedPageBreak/>
        <w:t xml:space="preserve">būtu spēkā arī pēc šā laika, būs atbilstoši jāpielāgo konkrēti regulatīvie termiņi, kuri ir noteikti minētajā regulā. </w:t>
      </w:r>
    </w:p>
    <w:p>
      <w:pPr>
        <w:rPr>
          <w:rFonts w:eastAsia="Times New Roman"/>
          <w:noProof/>
          <w:szCs w:val="24"/>
        </w:rPr>
      </w:pPr>
      <w:r>
        <w:rPr>
          <w:noProof/>
        </w:rPr>
        <w:t>Noteikumi par KLP finansēšanu, pārvaldību un uzraudzību, kas izklāstīti Regulā (ES) Nr. 1306/2013, turpina būt spēkā, taču būtu jāveic konkrētas izmaiņas, lai nodrošinātu nepārtrauktību pārejas laikā.</w:t>
      </w:r>
    </w:p>
    <w:p>
      <w:pPr>
        <w:rPr>
          <w:rFonts w:eastAsia="Times New Roman"/>
          <w:noProof/>
          <w:szCs w:val="24"/>
        </w:rPr>
      </w:pPr>
      <w:r>
        <w:rPr>
          <w:noProof/>
        </w:rPr>
        <w:t>Šā priekšlikuma mērķis ir, pagarinot pašreizējā tiesiskā regulējuma piemērošanas termiņu līdz jaunās KLP piemērošanas sākumam, nodrošināt noteiktību un nepārtrauktību atbalsta piešķiršanā Eiropas lauksaimniekiem un nodrošināt lauku attīstības atbalsta nepārtrauktību pārejas laikā tām dalībvalstīm, kuras ir izlietojušas savus 2014.–2020. gada ELFLA piešķīrumus. Lai dalībvalstis varētu veikt nepieciešamos pielāgojumus valsts līmenī, Padomei un Eiropas Parlamentam šīs izmaiņas būtu jāpieņem līdz 2020. gada vidum.</w:t>
      </w:r>
    </w:p>
    <w:p>
      <w:pPr>
        <w:pStyle w:val="Point0"/>
        <w:rPr>
          <w:noProof/>
        </w:rPr>
      </w:pPr>
      <w:r>
        <w:t>(b)</w:t>
      </w:r>
      <w:r>
        <w:tab/>
      </w:r>
      <w:r>
        <w:rPr>
          <w:noProof/>
        </w:rPr>
        <w:t>Pāreja uz nākamo KLP laikposmu</w:t>
      </w:r>
    </w:p>
    <w:p>
      <w:pPr>
        <w:rPr>
          <w:rFonts w:eastAsia="Times New Roman"/>
          <w:noProof/>
          <w:szCs w:val="24"/>
        </w:rPr>
      </w:pPr>
      <w:r>
        <w:rPr>
          <w:noProof/>
        </w:rPr>
        <w:t xml:space="preserve">Līdz ar jauno KLP ir ieviestas būtiskas pārmaiņas. Ir nepieciešami pārejas noteikumi, lai nodrošinātu netraucētu pāreju no pašreizējā KLP laikposma uz nākamo. </w:t>
      </w:r>
    </w:p>
    <w:p>
      <w:pPr>
        <w:rPr>
          <w:noProof/>
        </w:rPr>
      </w:pPr>
      <w:r>
        <w:rPr>
          <w:noProof/>
        </w:rPr>
        <w:t xml:space="preserve">Kas attiecas uz otro pīlāru, pārejas noteikumu noteikšana pārejas laikam starp abiem plānošanas periodiem ir standarta prakse. Pārejas noteikumi parasti ir nepieciešami, lai saistītu divus secīgus plānošanas periodus. Ņemot vērā būtiskās pārmaiņas, ko paredz Komisijas reformu priekšlikumi, pārejas laika noteikumi ir vēl jo vairāk nepieciešami — īpaši attiecībā uz to daudzgadu saistību turpināšanu, ko uzņēmušies pašreizējā un iepriekšējos plānošanas periodos. </w:t>
      </w:r>
    </w:p>
    <w:p>
      <w:pPr>
        <w:rPr>
          <w:noProof/>
        </w:rPr>
      </w:pPr>
      <w:r>
        <w:rPr>
          <w:noProof/>
        </w:rPr>
        <w:t xml:space="preserve">Vienotas TKO regulā (Regula (ES) Nr. 1308/2013) ir izklāstīti noteikumi par lauksaimniecības tirgu kopīgu organizāciju, arī par atbalsta shēmām konkrētām nozarēm. Tajā ir noteikti parametri intervencei lauksaimniecības tirgos un atbalsta sniegšanai konkrētām nozarēm. Lai nodrošinātu saskaņotību, lielākā daļa jaunās KLP intervences pasākumu, tai skaitā vairāki nozaru intervences pasākumi, kas izklāstīti Regulā (ES) Nr. 1308/2013, būs daļa no viena stratēģiska KLP atbalsta plāna katrai dalībvalstij. Saskaņā ar pašreizējiem noteikumiem dažādajās nozaru programmās tiek ievēroti atšķirīgi termiņi. Lai nodrošinātu saskaņotību, nepārtrauktību un raitu pāreju starp atbalsta shēmām, kas paredzētas Regulā (ES) Nr. 1308/2013, un nozariskajām intervencēm, kas paredzētas jaunajā KLP, ir jānosaka noteikumi par katras minētās atbalsta shēmas ilgumu, ņemot vērā dalībvalstu KLP stratēģisko plānu piemērošanas sākumu. Attiecībā uz atbalsta shēmām augļu un dārzeņu nozarē un olīveļļas un galda olīvu nozarē ir nepieciešams regulēt darbības programmu un darba programmu turpināšanu un pārveidi.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Atbilstība spēkā esošajiem noteikumiem konkrētajā rīcībpolitikas jomā</w:t>
      </w:r>
    </w:p>
    <w:p>
      <w:pPr>
        <w:pBdr>
          <w:top w:val="nil"/>
          <w:left w:val="nil"/>
          <w:bottom w:val="nil"/>
          <w:right w:val="nil"/>
          <w:between w:val="nil"/>
          <w:bar w:val="nil"/>
        </w:pBdr>
        <w:spacing w:before="0" w:after="240"/>
        <w:rPr>
          <w:rFonts w:eastAsia="Arial Unicode MS"/>
          <w:noProof/>
        </w:rPr>
      </w:pPr>
      <w:r>
        <w:rPr>
          <w:noProof/>
        </w:rPr>
        <w:t>Ierosinātie grozījumi atbilst pastāvošajām Regulām (ES) Nr. 1305/2013, (ES) Nr. 1307/2013 un (ES) Nr. 1308/2013, tāpēc priekšlikums atbilst spēkā esošajiem KLP noteikumiem.</w:t>
      </w:r>
    </w:p>
    <w:p>
      <w:pPr>
        <w:pStyle w:val="ManualHeading2"/>
        <w:rPr>
          <w:rFonts w:eastAsia="Arial Unicode MS"/>
          <w:noProof/>
        </w:rPr>
      </w:pPr>
      <w:r>
        <w:rPr>
          <w:noProof/>
          <w:u w:color="000000"/>
          <w:bdr w:val="nil"/>
        </w:rPr>
        <w:t>•</w:t>
      </w:r>
      <w:r>
        <w:rPr>
          <w:noProof/>
          <w:u w:color="000000"/>
          <w:bdr w:val="nil"/>
        </w:rPr>
        <w:tab/>
      </w:r>
      <w:r>
        <w:rPr>
          <w:noProof/>
        </w:rPr>
        <w:t>Atbilstība pārējām Savienības rīcībpolitikām</w:t>
      </w:r>
    </w:p>
    <w:p>
      <w:pPr>
        <w:spacing w:before="0" w:after="0"/>
        <w:rPr>
          <w:noProof/>
        </w:rPr>
      </w:pPr>
      <w:r>
        <w:rPr>
          <w:noProof/>
        </w:rPr>
        <w:t>Ierosinātie grozījumi atbilst priekšlikumam par regulu, ar ko nosaka daudzgadu finanšu shēmu 2021.–2027. gadam (DFS)</w:t>
      </w:r>
      <w:r>
        <w:rPr>
          <w:rStyle w:val="FootnoteReference0"/>
          <w:noProof/>
        </w:rPr>
        <w:footnoteReference w:id="2"/>
      </w:r>
      <w:r>
        <w:rPr>
          <w:noProof/>
        </w:rPr>
        <w:t>, un priekšlikumam par kopīgo noteikumu regulu (KNR)</w:t>
      </w:r>
      <w:r>
        <w:rPr>
          <w:rStyle w:val="FootnoteReference0"/>
          <w:noProof/>
        </w:rPr>
        <w:footnoteReference w:id="3"/>
      </w:r>
      <w:r>
        <w:rPr>
          <w:noProof/>
        </w:rPr>
        <w:t xml:space="preserve">. </w:t>
      </w:r>
    </w:p>
    <w:p>
      <w:pPr>
        <w:pStyle w:val="ManualHeading1"/>
        <w:rPr>
          <w:noProof/>
        </w:rPr>
      </w:pPr>
      <w:r>
        <w:rPr>
          <w:noProof/>
        </w:rPr>
        <w:lastRenderedPageBreak/>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u w:color="000000"/>
          <w:bdr w:val="nil"/>
        </w:rPr>
        <w:tab/>
        <w:t>Juridiskais pamats</w:t>
      </w:r>
    </w:p>
    <w:p>
      <w:pPr>
        <w:pBdr>
          <w:top w:val="nil"/>
          <w:left w:val="nil"/>
          <w:bottom w:val="nil"/>
          <w:right w:val="nil"/>
          <w:between w:val="nil"/>
          <w:bar w:val="nil"/>
        </w:pBdr>
        <w:spacing w:before="0" w:after="240"/>
        <w:rPr>
          <w:rFonts w:eastAsia="Arial Unicode MS"/>
          <w:noProof/>
        </w:rPr>
      </w:pPr>
      <w:r>
        <w:rPr>
          <w:noProof/>
        </w:rPr>
        <w:t xml:space="preserve">Līguma par Eiropas Savienības darbību (LESD) 43. panta 2. punkts un 349. pants. </w:t>
      </w:r>
    </w:p>
    <w:p>
      <w:pPr>
        <w:pStyle w:val="ManualHeading2"/>
        <w:rPr>
          <w:rFonts w:eastAsia="Arial Unicode MS"/>
          <w:noProof/>
          <w:u w:color="000000"/>
          <w:bdr w:val="nil"/>
        </w:rPr>
      </w:pPr>
      <w:r>
        <w:rPr>
          <w:noProof/>
          <w:u w:color="000000"/>
          <w:bdr w:val="nil"/>
        </w:rPr>
        <w:t>•</w:t>
      </w:r>
      <w:r>
        <w:rPr>
          <w:noProof/>
          <w:u w:color="000000"/>
          <w:bdr w:val="nil"/>
        </w:rPr>
        <w:tab/>
        <w:t xml:space="preserve">Subsidiaritāte (neekskluzīvas kompetences gadījumā) </w:t>
      </w:r>
    </w:p>
    <w:p>
      <w:pPr>
        <w:rPr>
          <w:rFonts w:eastAsia="Arial Unicode MS"/>
          <w:noProof/>
        </w:rPr>
      </w:pPr>
      <w:r>
        <w:rPr>
          <w:noProof/>
        </w:rPr>
        <w:t>LESD nosaka, ka kompetenci attiecībā uz lauksaimniecību Savienība dala ar dalībvalstīm. Savienība īsteno savu kompetenci, pieņemot dažādus tiesību aktus, kas tai dod iespēju noteikt un īstenot kopēju ES lauksaimniecības politiku, kā paredzēts Līguma par Eiropas Savienības darbību 38.–44. pantā. Šā priekšlikuma mērķis ir, pagarinot pašreizējā juridiskā satvara piemērošanas laiku, savienot pašreizējo periodu ar brīdi, kad kļūs piemērojama jaunā KLP, un nodrošināt raitu pāreju no pašreizējā KLP laikposma uz nākamo. Šos mērķus var sasniegt, vienīgi grozot Regulas (ES) Nr. 1305/2013, (ES) Nr. 1306/2013, (ES) Nr. 1307/2013, (ES) Nr. 1308/2013, (ES) Nr. 228/2013 un (ES) Nr. 229/2013, kā arī nosakot konkrētus pārejas noteikumus.</w:t>
      </w:r>
    </w:p>
    <w:p>
      <w:pPr>
        <w:pStyle w:val="ManualHeading2"/>
        <w:rPr>
          <w:rFonts w:eastAsia="Arial Unicode MS"/>
          <w:b w:val="0"/>
          <w:noProof/>
          <w:u w:color="000000"/>
          <w:bdr w:val="nil"/>
        </w:rPr>
      </w:pPr>
      <w:r>
        <w:rPr>
          <w:noProof/>
          <w:u w:color="000000"/>
          <w:bdr w:val="nil"/>
        </w:rPr>
        <w:t>•</w:t>
      </w:r>
      <w:r>
        <w:rPr>
          <w:noProof/>
          <w:u w:color="000000"/>
          <w:bdr w:val="nil"/>
        </w:rPr>
        <w:tab/>
      </w:r>
      <w:r>
        <w:rPr>
          <w:noProof/>
        </w:rPr>
        <w:t>Proporcionalitāte</w:t>
      </w:r>
    </w:p>
    <w:p>
      <w:pPr>
        <w:pBdr>
          <w:top w:val="nil"/>
          <w:left w:val="nil"/>
          <w:bottom w:val="nil"/>
          <w:right w:val="nil"/>
          <w:between w:val="nil"/>
          <w:bar w:val="nil"/>
        </w:pBdr>
        <w:spacing w:before="0" w:after="240"/>
        <w:rPr>
          <w:noProof/>
          <w:u w:color="000000"/>
          <w:bdr w:val="nil"/>
        </w:rPr>
      </w:pPr>
      <w:r>
        <w:rPr>
          <w:noProof/>
          <w:u w:color="000000"/>
          <w:bdr w:val="nil"/>
        </w:rPr>
        <w:t xml:space="preserve">Priekšlikums nerada nekādas jaunas rīcībpolitiskas pārmaiņas, kas jau nebūtu paredzētas tiesību aktos, kurus paredzēts ar to grozīt, un tiesiskajā regulējumā, uz kuru šis priekšlikums plāno veidot pāreju. Pastāvošās regulas ar priekšlikumu tiek grozītas tikai tiktāl, cik nepieciešams, lai sasniegtu iepriekš izklāstītos mērķus. </w:t>
      </w:r>
    </w:p>
    <w:p>
      <w:pPr>
        <w:pStyle w:val="ManualHeading2"/>
        <w:rPr>
          <w:rFonts w:eastAsia="Arial Unicode MS"/>
          <w:noProof/>
          <w:u w:color="000000"/>
          <w:bdr w:val="nil"/>
        </w:rPr>
      </w:pPr>
      <w:r>
        <w:rPr>
          <w:noProof/>
          <w:u w:color="000000"/>
          <w:bdr w:val="nil"/>
        </w:rPr>
        <w:t>•</w:t>
      </w:r>
      <w:r>
        <w:rPr>
          <w:noProof/>
          <w:u w:color="000000"/>
          <w:bdr w:val="nil"/>
        </w:rPr>
        <w:tab/>
      </w:r>
      <w:r>
        <w:rPr>
          <w:noProof/>
        </w:rPr>
        <w:t>Juridiskā instrumenta izvēle</w:t>
      </w:r>
    </w:p>
    <w:p>
      <w:pPr>
        <w:pBdr>
          <w:top w:val="nil"/>
          <w:left w:val="nil"/>
          <w:bottom w:val="nil"/>
          <w:right w:val="nil"/>
          <w:between w:val="nil"/>
          <w:bar w:val="nil"/>
        </w:pBdr>
        <w:spacing w:before="0" w:after="240"/>
        <w:rPr>
          <w:rFonts w:eastAsia="Arial Unicode MS"/>
          <w:noProof/>
        </w:rPr>
      </w:pPr>
      <w:r>
        <w:rPr>
          <w:noProof/>
        </w:rPr>
        <w:t xml:space="preserve">Tā kā sākotnējie tiesību akti ir Eiropas Parlamenta un Padomes regulas, arī grozījumi ir jāievieš ar Eiropas Parlamenta un Padomes regulu, ievērojot parasto likumdošanas procedūru. </w:t>
      </w: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u w:color="000000"/>
          <w:bdr w:val="nil"/>
        </w:rPr>
        <w:tab/>
      </w:r>
      <w:r>
        <w:rPr>
          <w:i/>
          <w:iCs/>
          <w:noProof/>
          <w:u w:color="000000"/>
          <w:bdr w:val="nil"/>
        </w:rPr>
        <w:t>Ex post</w:t>
      </w:r>
      <w:r>
        <w:rPr>
          <w:noProof/>
          <w:u w:color="000000"/>
          <w:bdr w:val="nil"/>
        </w:rPr>
        <w:t xml:space="preserve"> izvērtējumi / spēkā esošo tiesību aktu atbilstības pārbaude</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u w:color="000000"/>
          <w:bdr w:val="nil"/>
        </w:rPr>
        <w:t>•</w:t>
      </w:r>
      <w:r>
        <w:rPr>
          <w:noProof/>
          <w:u w:color="000000"/>
          <w:bdr w:val="nil"/>
        </w:rPr>
        <w:tab/>
        <w:t>Apspriešanās ar ieinteresētajām personām</w:t>
      </w:r>
    </w:p>
    <w:p>
      <w:pPr>
        <w:pBdr>
          <w:top w:val="nil"/>
          <w:left w:val="nil"/>
          <w:bottom w:val="nil"/>
          <w:right w:val="nil"/>
          <w:between w:val="nil"/>
          <w:bar w:val="nil"/>
        </w:pBdr>
        <w:spacing w:before="0" w:after="240"/>
        <w:rPr>
          <w:noProof/>
        </w:rPr>
      </w:pPr>
      <w:r>
        <w:rPr>
          <w:noProof/>
        </w:rPr>
        <w:t>Neattiecas.</w:t>
      </w:r>
    </w:p>
    <w:p>
      <w:pPr>
        <w:pStyle w:val="ManualHeading2"/>
        <w:rPr>
          <w:rFonts w:eastAsia="Arial Unicode MS"/>
          <w:noProof/>
          <w:u w:color="000000"/>
          <w:bdr w:val="nil"/>
        </w:rPr>
      </w:pPr>
      <w:r>
        <w:rPr>
          <w:noProof/>
          <w:u w:color="000000"/>
          <w:bdr w:val="nil"/>
        </w:rPr>
        <w:t>•</w:t>
      </w:r>
      <w:r>
        <w:rPr>
          <w:noProof/>
          <w:u w:color="000000"/>
          <w:bdr w:val="nil"/>
        </w:rPr>
        <w:tab/>
        <w:t>Ekspertu atzinumu pieprasīšana un izmantošana</w:t>
      </w:r>
    </w:p>
    <w:p>
      <w:pPr>
        <w:pBdr>
          <w:top w:val="nil"/>
          <w:left w:val="nil"/>
          <w:bottom w:val="nil"/>
          <w:right w:val="nil"/>
          <w:between w:val="nil"/>
          <w:bar w:val="nil"/>
        </w:pBdr>
        <w:spacing w:before="0" w:after="240"/>
        <w:rPr>
          <w:noProof/>
        </w:rPr>
      </w:pPr>
      <w:r>
        <w:rPr>
          <w:noProof/>
        </w:rPr>
        <w:t>Neattiecas.</w:t>
      </w:r>
    </w:p>
    <w:p>
      <w:pPr>
        <w:pStyle w:val="ManualHeading2"/>
        <w:rPr>
          <w:rFonts w:eastAsia="Arial Unicode MS"/>
          <w:noProof/>
          <w:u w:color="000000"/>
          <w:bdr w:val="nil"/>
        </w:rPr>
      </w:pPr>
      <w:r>
        <w:rPr>
          <w:noProof/>
          <w:u w:color="000000"/>
          <w:bdr w:val="nil"/>
        </w:rPr>
        <w:t>•</w:t>
      </w:r>
      <w:r>
        <w:rPr>
          <w:noProof/>
          <w:u w:color="000000"/>
          <w:bdr w:val="nil"/>
        </w:rPr>
        <w:tab/>
        <w:t>Ietekmes novērtējums</w:t>
      </w:r>
    </w:p>
    <w:p>
      <w:pPr>
        <w:pBdr>
          <w:top w:val="nil"/>
          <w:left w:val="nil"/>
          <w:bottom w:val="nil"/>
          <w:right w:val="nil"/>
          <w:between w:val="nil"/>
          <w:bar w:val="nil"/>
        </w:pBdr>
        <w:spacing w:before="0" w:after="240"/>
        <w:rPr>
          <w:rFonts w:eastAsia="Arial Unicode MS"/>
          <w:noProof/>
        </w:rPr>
      </w:pPr>
      <w:r>
        <w:rPr>
          <w:noProof/>
        </w:rPr>
        <w:t>Ar priekšlikumu tiek apmierinātas juridiskās vajadzības, kuras izriet no jaunās KLP piemērošanas novēlošanās, ko izraisījusi pašreizējā situācija iestāžu apspriedēs par KLP reformu. Bez šādiem tiesību aktiem lauksaimnieki un citi KLP atbalsta saņēmēji riskē nesaņemt atbalstu 2021. gadā. Tāpēc dalībvalstis lūdz Komisijai ierosināt šādu tiesību aktu. Tā arī ierosina pārejas pielāgojumus, kas ir nepieciešami tāpēc, ka Komisijas reformu priekšlikumi radīs būtiskas izmaiņas. Šajā kontekstā ietekmes novērtējums nav piemērojams.</w:t>
      </w:r>
    </w:p>
    <w:p>
      <w:pPr>
        <w:pStyle w:val="ManualHeading2"/>
        <w:rPr>
          <w:rFonts w:eastAsia="Arial Unicode MS"/>
          <w:noProof/>
          <w:u w:color="000000"/>
          <w:bdr w:val="nil"/>
        </w:rPr>
      </w:pPr>
      <w:r>
        <w:rPr>
          <w:noProof/>
          <w:u w:color="000000"/>
          <w:bdr w:val="nil"/>
        </w:rPr>
        <w:t>•</w:t>
      </w:r>
      <w:r>
        <w:rPr>
          <w:noProof/>
          <w:u w:color="000000"/>
          <w:bdr w:val="nil"/>
        </w:rPr>
        <w:tab/>
        <w:t>Normatīvā atbilstība un vienkāršošana</w:t>
      </w:r>
    </w:p>
    <w:p>
      <w:pPr>
        <w:pBdr>
          <w:top w:val="nil"/>
          <w:left w:val="nil"/>
          <w:bottom w:val="nil"/>
          <w:right w:val="nil"/>
          <w:between w:val="nil"/>
          <w:bar w:val="nil"/>
        </w:pBdr>
        <w:spacing w:before="0" w:after="240"/>
        <w:rPr>
          <w:noProof/>
        </w:rPr>
      </w:pPr>
      <w:r>
        <w:rPr>
          <w:noProof/>
        </w:rPr>
        <w:t>Neattiecas.</w:t>
      </w:r>
    </w:p>
    <w:p>
      <w:pPr>
        <w:pStyle w:val="ManualHeading2"/>
        <w:rPr>
          <w:rFonts w:eastAsia="Arial Unicode MS"/>
          <w:noProof/>
          <w:u w:color="000000"/>
          <w:bdr w:val="nil"/>
        </w:rPr>
      </w:pPr>
      <w:r>
        <w:rPr>
          <w:noProof/>
          <w:u w:color="000000"/>
          <w:bdr w:val="nil"/>
        </w:rPr>
        <w:lastRenderedPageBreak/>
        <w:t>•</w:t>
      </w:r>
      <w:r>
        <w:rPr>
          <w:noProof/>
          <w:u w:color="000000"/>
          <w:bdr w:val="nil"/>
        </w:rPr>
        <w:tab/>
        <w:t>Pamattiesības</w:t>
      </w:r>
    </w:p>
    <w:p>
      <w:pPr>
        <w:pBdr>
          <w:top w:val="nil"/>
          <w:left w:val="nil"/>
          <w:bottom w:val="nil"/>
          <w:right w:val="nil"/>
          <w:between w:val="nil"/>
          <w:bar w:val="nil"/>
        </w:pBdr>
        <w:spacing w:before="0" w:after="240"/>
        <w:rPr>
          <w:rFonts w:eastAsia="Arial Unicode MS"/>
          <w:noProof/>
        </w:rPr>
      </w:pPr>
      <w:r>
        <w:rPr>
          <w:noProof/>
        </w:rPr>
        <w:t>Priekšlikumā tiek ievērotas pamattiesības, un tas atbilst principiem, kas jo īpaši nostiprināti Eiropas Savienības Pamattiesību hartā.</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Pašreizējās Regulās (ES) Nr. 1305/2013 par lauku attīstību un (ES) Nr. 1307/2013 par tiešajiem maksājumiem nav noteikti piešķīrumi pārejas periodam (pēc 2020. kalendārā gada). Tāpēc iniciatīvai ir ietekme uz budžetu, jo ar to tiek pievienoti piešķīrumi tiešajiem maksājumiem un lauku attīstībai attiecīgajā pārejas periodā, lai nodrošinātu plūdenu turpinājumu. Šie piešķīrumi ir vienādi ar tiem, kas noteikti KLP plāna priekšlikumā, un tie atbilst Komisijas priekšlikumam par DFS 2021.–2027. gadam. Ja dalībvalstis izlems nepagarināt savas pašreizējās lauku attīstības programmas, ELFLA piešķīrumi 2021. gadam tiks pārvirzīti uz ELFLA piešķīrumiem 2022.–2025. gadam.</w:t>
      </w:r>
    </w:p>
    <w:p>
      <w:pPr>
        <w:pBdr>
          <w:top w:val="nil"/>
          <w:left w:val="nil"/>
          <w:bottom w:val="nil"/>
          <w:right w:val="nil"/>
          <w:between w:val="nil"/>
          <w:bar w:val="nil"/>
        </w:pBdr>
        <w:spacing w:before="0" w:after="240"/>
        <w:rPr>
          <w:noProof/>
        </w:rPr>
      </w:pPr>
      <w:r>
        <w:rPr>
          <w:noProof/>
        </w:rPr>
        <w:t>Tāpat arī attiecībā uz pārejas laiku tie piešķīrumi, kas ietverti Regulās (ES) Nr. 1308/2013, (ES) Nr. 228/2013 un (ES) Nr. 229/2013, ir jāpielāgo, lai ievērotu kopējos Eiropas Lauksaimniecības garantiju fonda (ELGF) apjomus, kas ir iekļauti DFS priekšlikumā.</w:t>
      </w:r>
    </w:p>
    <w:p>
      <w:pPr>
        <w:pBdr>
          <w:top w:val="nil"/>
          <w:left w:val="nil"/>
          <w:bottom w:val="nil"/>
          <w:right w:val="nil"/>
          <w:between w:val="nil"/>
          <w:bar w:val="nil"/>
        </w:pBdr>
        <w:spacing w:before="0" w:after="240"/>
        <w:rPr>
          <w:noProof/>
        </w:rPr>
      </w:pPr>
      <w:r>
        <w:rPr>
          <w:noProof/>
        </w:rPr>
        <w:t>Tiek ierosināts, ka rezerve krīzes situācijām lauksaimniecības nozarē, kas ir paredzēta Regulas (ES) Nr. 1306/2013 25. pantā, ir jāsaglabā visā pārejas laikā, lai tādējādi nodrošinātu nepārtrauktību. Tā jāfinansē, izmantojot tiešajiem maksājumiem piemēroto finanšu disciplīnu. Pati par sevi tā neparedz nekādus papildu izdevumus.</w:t>
      </w:r>
    </w:p>
    <w:p>
      <w:pPr>
        <w:pBdr>
          <w:top w:val="nil"/>
          <w:left w:val="nil"/>
          <w:bottom w:val="nil"/>
          <w:right w:val="nil"/>
          <w:between w:val="nil"/>
          <w:bar w:val="nil"/>
        </w:pBdr>
        <w:spacing w:before="0" w:after="240"/>
        <w:rPr>
          <w:noProof/>
        </w:rPr>
      </w:pPr>
      <w:r>
        <w:rPr>
          <w:noProof/>
        </w:rPr>
        <w:t xml:space="preserve">Kopējās budžeta saistības pašreizējais priekšlikums neietekmē. Ietekme uz maksājumu apropriāciju paredzamo plānu būs atkarīga no dalībvalstu lēmumiem par pašreizējo lauku attīstības programmu pagarināšanu. </w:t>
      </w:r>
    </w:p>
    <w:p>
      <w:pPr>
        <w:pBdr>
          <w:top w:val="nil"/>
          <w:left w:val="nil"/>
          <w:bottom w:val="nil"/>
          <w:right w:val="nil"/>
          <w:between w:val="nil"/>
          <w:bar w:val="nil"/>
        </w:pBdr>
        <w:spacing w:before="0" w:after="240"/>
        <w:rPr>
          <w:noProof/>
        </w:rPr>
      </w:pPr>
      <w:r>
        <w:rPr>
          <w:noProof/>
        </w:rPr>
        <w:t xml:space="preserve">Tāpat arī neviens dalībvalstu lēmums pārvirzīt līdzekļus starp tiešajiem maksājumiem un lauku attīstību neietekmēs kopējās budžeta saistības, taču tam var būt ietekme uz maksājumu veikšanas laiku, kuru gan nav iespējams prognozēt. </w:t>
      </w:r>
    </w:p>
    <w:p>
      <w:pPr>
        <w:pBdr>
          <w:top w:val="nil"/>
          <w:left w:val="nil"/>
          <w:bottom w:val="nil"/>
          <w:right w:val="nil"/>
          <w:between w:val="nil"/>
          <w:bar w:val="nil"/>
        </w:pBdr>
        <w:spacing w:before="0" w:after="240"/>
        <w:rPr>
          <w:noProof/>
        </w:rPr>
      </w:pPr>
      <w:r>
        <w:rPr>
          <w:noProof/>
        </w:rPr>
        <w:t>Papildu informācija par pašreizējā priekšlikuma finansiālo ietekmi ir izklāstīta priekšlikumam pievienotajā finanšu pārskatā.</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u w:color="000000"/>
          <w:bdr w:val="nil"/>
        </w:rPr>
        <w:tab/>
        <w:t>Īstenošanas plāni un uzraudzīšanas, izvērtēšanas un pārskatu sniegšanas kārtība</w:t>
      </w:r>
    </w:p>
    <w:p>
      <w:pPr>
        <w:pBdr>
          <w:top w:val="nil"/>
          <w:left w:val="nil"/>
          <w:bottom w:val="nil"/>
          <w:right w:val="nil"/>
          <w:between w:val="nil"/>
          <w:bar w:val="nil"/>
        </w:pBdr>
        <w:spacing w:before="0" w:after="240"/>
        <w:rPr>
          <w:noProof/>
        </w:rPr>
      </w:pPr>
      <w:r>
        <w:rPr>
          <w:noProof/>
        </w:rPr>
        <w:t>Pašreizējā sistēma ar tās īstenošanas plāniem un uzraudzīšanas, izvērtēšanas un pārskatu sniegšanas kārtību tiek pagarināta.</w:t>
      </w:r>
    </w:p>
    <w:p>
      <w:pPr>
        <w:pStyle w:val="ManualHeading2"/>
        <w:rPr>
          <w:rFonts w:eastAsia="Arial Unicode MS"/>
          <w:noProof/>
          <w:u w:color="000000"/>
          <w:bdr w:val="nil"/>
        </w:rPr>
      </w:pPr>
      <w:r>
        <w:rPr>
          <w:noProof/>
          <w:u w:color="000000"/>
          <w:bdr w:val="nil"/>
        </w:rPr>
        <w:t>•</w:t>
      </w:r>
      <w:r>
        <w:rPr>
          <w:noProof/>
          <w:u w:color="000000"/>
          <w:bdr w:val="nil"/>
        </w:rPr>
        <w:tab/>
        <w:t>Skaidrojošie dokumenti (direktīvām)</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u w:color="000000"/>
          <w:bdr w:val="nil"/>
        </w:rPr>
        <w:t>•</w:t>
      </w:r>
      <w:r>
        <w:rPr>
          <w:noProof/>
          <w:u w:color="000000"/>
          <w:bdr w:val="nil"/>
        </w:rPr>
        <w:tab/>
      </w:r>
    </w:p>
    <w:p>
      <w:pPr>
        <w:spacing w:before="0" w:after="200" w:line="276" w:lineRule="auto"/>
        <w:jc w:val="left"/>
        <w:rPr>
          <w:rFonts w:eastAsia="Arial Unicode MS"/>
          <w:b/>
          <w:noProof/>
          <w:u w:color="000000"/>
          <w:bdr w:val="nil"/>
        </w:rPr>
      </w:pPr>
      <w:r>
        <w:rPr>
          <w:noProof/>
        </w:rPr>
        <w:br w:type="page"/>
      </w:r>
    </w:p>
    <w:p>
      <w:pPr>
        <w:pStyle w:val="ManualHeading2"/>
        <w:rPr>
          <w:rFonts w:eastAsia="Arial Unicode MS"/>
          <w:noProof/>
          <w:u w:color="000000"/>
          <w:bdr w:val="nil"/>
        </w:rPr>
      </w:pPr>
      <w:r>
        <w:rPr>
          <w:noProof/>
          <w:u w:color="000000"/>
          <w:bdr w:val="nil"/>
        </w:rPr>
        <w:lastRenderedPageBreak/>
        <w:t>Detalizēts konkrētu priekšlikuma noteikumu skaidrojums</w:t>
      </w:r>
    </w:p>
    <w:p>
      <w:pPr>
        <w:pBdr>
          <w:top w:val="nil"/>
          <w:left w:val="nil"/>
          <w:bottom w:val="nil"/>
          <w:right w:val="nil"/>
          <w:between w:val="nil"/>
          <w:bar w:val="nil"/>
        </w:pBdr>
        <w:spacing w:before="0" w:after="240"/>
        <w:rPr>
          <w:noProof/>
        </w:rPr>
      </w:pPr>
      <w:r>
        <w:rPr>
          <w:noProof/>
        </w:rPr>
        <w:t>Priekšlikums skar septiņas regulas:</w:t>
      </w:r>
    </w:p>
    <w:p>
      <w:pPr>
        <w:pStyle w:val="ListBullet1"/>
        <w:rPr>
          <w:noProof/>
        </w:rPr>
      </w:pPr>
      <w:r>
        <w:rPr>
          <w:noProof/>
        </w:rPr>
        <w:t>Eiropas Parlamenta un Padomes Regulu (ES) Nr. 1303/2013, ar ko paredz kopīgus noteikumus par Eiropas Reģionālās attīstības fondu, Eiropas Sociālo fondu, Kohēzijas fondu, Eiropas Lauksaimniecības fondu lauku attīstībai un Eiropas Jūrlietu un zivsaimniecības fondu (turpmāk “KNR”);</w:t>
      </w:r>
    </w:p>
    <w:p>
      <w:pPr>
        <w:pStyle w:val="ListBullet1"/>
        <w:rPr>
          <w:noProof/>
        </w:rPr>
      </w:pPr>
      <w:r>
        <w:rPr>
          <w:noProof/>
        </w:rPr>
        <w:t>Eiropas Parlamenta un Padomes Regulu (ES) Nr. 1305/2013 par atbalstu lauku attīstībai no Eiropas Lauksaimniecības fonda lauku attīstībai (turpmāk “LA regula”);</w:t>
      </w:r>
    </w:p>
    <w:p>
      <w:pPr>
        <w:pStyle w:val="ListBullet1"/>
        <w:rPr>
          <w:noProof/>
        </w:rPr>
      </w:pPr>
      <w:r>
        <w:rPr>
          <w:noProof/>
        </w:rPr>
        <w:t>Eiropas Parlamenta un Padomes Regulu (ES) Nr. 1306/2013 par kopējās lauksaimniecības politikas finansēšanu, pārvaldību un uzraudzību (turpmāk “Horizontālā regula”);</w:t>
      </w:r>
    </w:p>
    <w:p>
      <w:pPr>
        <w:pStyle w:val="ListBullet1"/>
        <w:rPr>
          <w:noProof/>
        </w:rPr>
      </w:pPr>
      <w:r>
        <w:rPr>
          <w:noProof/>
        </w:rPr>
        <w:t>Eiropas Parlamenta un Padomes Regulu (ES) Nr. 1307/2013, ar ko izveido noteikumus par lauksaimniekiem paredzētiem tiešajiem maksājumiem, kurus veic saskaņā ar kopējās lauksaimniecības politikas atbalsta shēmām (turpmāk “TM regula”);</w:t>
      </w:r>
    </w:p>
    <w:p>
      <w:pPr>
        <w:pStyle w:val="ListBullet1"/>
        <w:rPr>
          <w:noProof/>
        </w:rPr>
      </w:pPr>
      <w:r>
        <w:rPr>
          <w:noProof/>
        </w:rPr>
        <w:t>Eiropas Parlamenta un Padomes Regulu (ES) Nr. 1308/2013, ar ko izveido lauksaimniecības produktu tirgu kopīgu organizāciju (turpmāk “TKO regula”);</w:t>
      </w:r>
    </w:p>
    <w:p>
      <w:pPr>
        <w:pStyle w:val="ListBullet1"/>
        <w:rPr>
          <w:noProof/>
        </w:rPr>
      </w:pPr>
      <w:r>
        <w:rPr>
          <w:noProof/>
        </w:rPr>
        <w:t>Eiropas Parlamenta un Padomes Regulu (ES) Nr. 228/2013, ar ko ievieš īpašus pasākumus lauksaimniecības jomā attālākajiem Eiropas Savienības reģioniem un atceļ Padomes Regulu (EK) Nr. 247/2006;</w:t>
      </w:r>
    </w:p>
    <w:p>
      <w:pPr>
        <w:pStyle w:val="ListBullet1"/>
        <w:rPr>
          <w:noProof/>
        </w:rPr>
      </w:pPr>
      <w:r>
        <w:rPr>
          <w:noProof/>
        </w:rPr>
        <w:t>Eiropas Parlamenta un Padomes Regulu (ES) Nr. 229/2013, ar ko nosaka īpašus pasākumus lauksaimniecībā par labu Egejas jūras nelielajām salām un atceļ Padomes Regulu (EK) Nr. 1405/2006.</w:t>
      </w:r>
    </w:p>
    <w:p>
      <w:pPr>
        <w:rPr>
          <w:noProof/>
        </w:rPr>
      </w:pPr>
      <w:r>
        <w:rPr>
          <w:noProof/>
        </w:rPr>
        <w:t xml:space="preserve">Priekšlikums ir iedalīts divās sadaļās. </w:t>
      </w:r>
    </w:p>
    <w:p>
      <w:pPr>
        <w:rPr>
          <w:noProof/>
        </w:rPr>
      </w:pPr>
      <w:r>
        <w:rPr>
          <w:noProof/>
        </w:rPr>
        <w:t>Pirmā sadaļa ietver četras nodaļas, kurās izklāstīti noteikumi, ar kuriem pašreizējo tiesisko regulējumu pagarina, lai aptvertu papildu laikposmu līdz KLP plāna piemērošanas sākumam, un īpaši pārejas noteikumi, lai nodrošinātu, ka pāreja no pašreizējā KLP laikposma uz nākamo ir raita.</w:t>
      </w:r>
    </w:p>
    <w:p>
      <w:pPr>
        <w:rPr>
          <w:noProof/>
        </w:rPr>
      </w:pPr>
      <w:r>
        <w:rPr>
          <w:noProof/>
        </w:rPr>
        <w:t xml:space="preserve">Otrā sadaļa galvenokārt ietver noteikumus, ar kuriem tiek pagarināts pašreizējais tiesiskais regulējums. </w:t>
      </w:r>
    </w:p>
    <w:p>
      <w:pPr>
        <w:rPr>
          <w:noProof/>
        </w:rPr>
      </w:pPr>
      <w:r>
        <w:rPr>
          <w:noProof/>
        </w:rPr>
        <w:t>I sadaļā ir noteikti jauni atsevišķi noteikumi.</w:t>
      </w:r>
    </w:p>
    <w:p>
      <w:pPr>
        <w:rPr>
          <w:noProof/>
        </w:rPr>
      </w:pPr>
      <w:r>
        <w:rPr>
          <w:noProof/>
        </w:rPr>
        <w:t xml:space="preserve">II sadaļā tiek grozīti pastāvošie noteikumi. </w:t>
      </w:r>
    </w:p>
    <w:p>
      <w:pPr>
        <w:rPr>
          <w:b/>
          <w:noProof/>
        </w:rPr>
      </w:pPr>
      <w:r>
        <w:rPr>
          <w:b/>
          <w:noProof/>
        </w:rPr>
        <w:t>Regula (ES) Nr. 1303/2013 (KNR)</w:t>
      </w:r>
    </w:p>
    <w:p>
      <w:pPr>
        <w:rPr>
          <w:noProof/>
        </w:rPr>
      </w:pPr>
      <w:r>
        <w:rPr>
          <w:noProof/>
        </w:rPr>
        <w:t>Regulai (ES) Nr. 1303/2013, ar ko paredz kopīgus noteikumus par vairākiem fondiem, to vidū Eiropas Lauksaimniecības fondu lauku attīstībai (ELFLA), ir jāturpina būt piemērojamai ELFLA atbalstītajām programmām 2014.–2020. gada plānošanas periodam, kā arī tām ELFLA atbalstītajām programmām, kuras dalībvalstis izlemj turpināt arī pārejas laikā. Šajā saistībā ir jāpielāgo konkrēti regulatīvie termiņi, lai tie ietvertu pārejas laiku.</w:t>
      </w:r>
    </w:p>
    <w:p>
      <w:pPr>
        <w:rPr>
          <w:b/>
          <w:noProof/>
        </w:rPr>
      </w:pPr>
      <w:r>
        <w:rPr>
          <w:b/>
          <w:noProof/>
        </w:rPr>
        <w:t>Regula (ES) Nr. 1305/2013</w:t>
      </w:r>
    </w:p>
    <w:p>
      <w:pPr>
        <w:rPr>
          <w:noProof/>
        </w:rPr>
      </w:pPr>
      <w:r>
        <w:rPr>
          <w:noProof/>
        </w:rPr>
        <w:t xml:space="preserve">Ierosinātie grozījumi Regulā (ES) Nr. 1305/2013 attiecas uz pašreizējā plānošanas perioda 2014.–2020. gadam pagarināšanu (pēc izvēles) par vienu gadu. Tie ietver atbilstošos </w:t>
      </w:r>
      <w:r>
        <w:rPr>
          <w:noProof/>
        </w:rPr>
        <w:lastRenderedPageBreak/>
        <w:t xml:space="preserve">Savienības atbalsta apjomus pagarinājuma laikposmam pēc 2020. gada saskaņā ar Komisijas priekšlikumu par DFS 2021.–2027. gadam. </w:t>
      </w:r>
    </w:p>
    <w:p>
      <w:pPr>
        <w:rPr>
          <w:noProof/>
        </w:rPr>
      </w:pPr>
      <w:r>
        <w:rPr>
          <w:noProof/>
        </w:rPr>
        <w:t xml:space="preserve">Šis priekšlikums arī nodrošina to, ka daudzgadu saistības no pašreizējā plānošanas perioda (28., 29. un 33. pants) var turpināt jaunajā plānošanas periodā. Dalībvalstīm būs jānosaka īsāks laikposms jaunām saistībām. </w:t>
      </w:r>
    </w:p>
    <w:p>
      <w:pPr>
        <w:rPr>
          <w:noProof/>
        </w:rPr>
      </w:pPr>
      <w:r>
        <w:rPr>
          <w:noProof/>
        </w:rPr>
        <w:t>Turklāt tas nodrošina, ka saistības turpina finansēt ar nākamajam laikposmam paredzēto ELFLA finansējumu, pamatojoties gan uz pašreizējiem, gan arī iepriekšējiem noteikumiem.</w:t>
      </w:r>
    </w:p>
    <w:p>
      <w:pPr>
        <w:rPr>
          <w:b/>
          <w:noProof/>
        </w:rPr>
      </w:pPr>
      <w:r>
        <w:rPr>
          <w:b/>
          <w:noProof/>
        </w:rPr>
        <w:t>Regula (ES) Nr. 1306/2013</w:t>
      </w:r>
    </w:p>
    <w:p>
      <w:pPr>
        <w:rPr>
          <w:noProof/>
        </w:rPr>
      </w:pPr>
      <w:r>
        <w:rPr>
          <w:noProof/>
        </w:rPr>
        <w:t xml:space="preserve">Galvenais pielāgojums attiecas uz rezervi krīzes situācijām lauksaimniecības nozarē, kas ir paredzēta Regulas (ES) Nr. 1306/2013 25. pantā: to ierosināts saglabāt visā pārejas laikā, lai tādējādi nodrošinātu nepārtrauktību. Priekšlikumā arī skatīti noteikti regulatīvie termiņi, kuri ir jāpielāgo tā, lai tie ietvertu pārejas laiku. </w:t>
      </w:r>
    </w:p>
    <w:p>
      <w:pPr>
        <w:rPr>
          <w:b/>
          <w:noProof/>
        </w:rPr>
      </w:pPr>
      <w:r>
        <w:rPr>
          <w:b/>
          <w:noProof/>
        </w:rPr>
        <w:t>Regula (ES) Nr. 1307/2013</w:t>
      </w:r>
    </w:p>
    <w:p>
      <w:pPr>
        <w:rPr>
          <w:noProof/>
        </w:rPr>
      </w:pPr>
      <w:r>
        <w:rPr>
          <w:noProof/>
        </w:rPr>
        <w:t>Regula patlaban ietver valsts un neto maksimālos apjomus tiešajiem maksājumiem līdz 2020. kalendārajam gadam (ieskaitot). Tāpēc būtu jāpievieno maksimālie apjomi 2021. kalendārajam gadam un būtu arī jāpielāgo atsauces apjomi kultūratkarīgajam maksājumam par kokvilnu 2021. kalendārajam gadam. Priekšlikuma mērķis ir arī novērst tās kļūdas, kuras dalībvalstis ir pieļāvušas, piešķirot maksājumtiesības, — gan maksājumtiesību skaita, gan vērtības ziņā. Juridiskās noteiktības labad maksājumtiesības no 2021. gada būtu jāregulē. Priekšlikums paredz, ka dalībvalstis varēs pārvirzīt līdzekļus starp pīlāriem arī pēc 2020. kalendārā gada. Tajā arī ir skaidri noteikta iespēja dalībvalstīm turpināt iekšējās konverģences procesu pēc 2019. gada. Tajā ir noteikta vienotās platībmaksājuma shēmas pagarināšana uz pārejas laiku.</w:t>
      </w:r>
    </w:p>
    <w:p>
      <w:pPr>
        <w:rPr>
          <w:b/>
          <w:noProof/>
        </w:rPr>
      </w:pPr>
      <w:r>
        <w:rPr>
          <w:b/>
          <w:noProof/>
        </w:rPr>
        <w:t>Regula (ES) Nr. 1308/2013</w:t>
      </w:r>
    </w:p>
    <w:p>
      <w:pPr>
        <w:rPr>
          <w:noProof/>
        </w:rPr>
      </w:pPr>
      <w:r>
        <w:rPr>
          <w:noProof/>
        </w:rPr>
        <w:t xml:space="preserve">Ar ierosinātajiem Regulas (ES) Nr. 1308/2013 grozījumiem tiek pielāgoti Savienības atbalsta apjomi konkrētām atbalsta shēmām pārejas laikā saskaņā ar Komisijas priekšlikumu par DFS 2021.–2027. gadam. Tajos arī ir izklāstīti noteikumi par katras atbalsta shēmas ilgumu, ņemot vērā dalībvalstu nākotnes KLP stratēģisko plānu piemērošanas sākumu, un — atbalsta shēmām konkrētās nozarēs — noteikumi par darbības programmu un darba programmu turpināšanu un pārveidošanu.  </w:t>
      </w:r>
    </w:p>
    <w:p>
      <w:pPr>
        <w:rPr>
          <w:b/>
          <w:noProof/>
        </w:rPr>
      </w:pPr>
      <w:r>
        <w:rPr>
          <w:b/>
          <w:noProof/>
        </w:rPr>
        <w:t xml:space="preserve">Regula (ES) Nr. 228/2013 </w:t>
      </w:r>
    </w:p>
    <w:p>
      <w:pPr>
        <w:rPr>
          <w:noProof/>
        </w:rPr>
      </w:pPr>
      <w:r>
        <w:rPr>
          <w:noProof/>
        </w:rPr>
        <w:t xml:space="preserve">Ierosinātie Regulas (ES) Nr. 228/2013 grozījumi attiecas uz atbilstošajiem Savienības atbalsta apjomiem, kuri ir pieejami konkrētiem pasākumiem pārejas periodā saskaņā ar DFS 2021.–2027. gadam. </w:t>
      </w:r>
    </w:p>
    <w:p>
      <w:pPr>
        <w:rPr>
          <w:noProof/>
        </w:rPr>
      </w:pPr>
      <w:r>
        <w:rPr>
          <w:b/>
          <w:noProof/>
        </w:rPr>
        <w:t xml:space="preserve">Regula (ES) Nr. 229/2013 </w:t>
      </w:r>
    </w:p>
    <w:p>
      <w:pPr>
        <w:rPr>
          <w:b/>
          <w:noProof/>
        </w:rPr>
      </w:pPr>
      <w:r>
        <w:rPr>
          <w:noProof/>
        </w:rPr>
        <w:t xml:space="preserve">Ierosinātie Regulas (ES) Nr. 229/2013 grozījumi attiecas uz atbilstošajiem Savienības atbalsta apjomiem, kuri ir pieejami konkrētiem pasākumiem pārejas periodā saskaņā ar DFS 2021.–2027. gadam. </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2019/0254 (COD)</w:t>
      </w:r>
    </w:p>
    <w:p>
      <w:pPr>
        <w:pStyle w:val="Statutf1"/>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kuru nosaka konkrētus pārejas noteikumus Eiropas Lauksaimniecības fonda lauku attīstībai (ELFLA) un Eiropas Lauksaimniecības garantiju fonda (ELGF) atbalstam 2021. gadā un ar kuru attiecībā uz līdzekļiem un to sadalījumu 2021. gadam groza Regulu (ES) Nr. 228/2013, (ES) Nr. 229/2013 un (ES) Nr. 1308/2013, un ar kuru attiecībā uz līdzekļiem un piemērošanu 2021. gadā groza Regulu (ES) Nr. 1305/2013, (ES) Nr. 1306/2013 un (ES) Nr. 1307/2013</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43. panta 2. punktu un 349.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0"/>
          <w:noProof/>
        </w:rPr>
        <w:footnoteReference w:id="4"/>
      </w:r>
      <w:r>
        <w:rPr>
          <w:noProof/>
        </w:rPr>
        <w:t xml:space="preserve">, </w:t>
      </w:r>
    </w:p>
    <w:p>
      <w:pPr>
        <w:rPr>
          <w:noProof/>
        </w:rPr>
      </w:pPr>
      <w:r>
        <w:rPr>
          <w:noProof/>
        </w:rPr>
        <w:t>ņemot vērā Reģionu komitejas atzinumu</w:t>
      </w:r>
      <w:r>
        <w:rPr>
          <w:rStyle w:val="FootnoteReference0"/>
          <w:noProof/>
        </w:rPr>
        <w:footnoteReference w:id="5"/>
      </w:r>
      <w:r>
        <w:rPr>
          <w:noProof/>
        </w:rPr>
        <w:t xml:space="preserve">, </w:t>
      </w:r>
    </w:p>
    <w:p>
      <w:pPr>
        <w:rPr>
          <w:noProof/>
        </w:rPr>
      </w:pPr>
      <w:r>
        <w:rPr>
          <w:noProof/>
        </w:rPr>
        <w:t xml:space="preserve">ņemot vērā Revīzijas palātas atzinumu,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Komisijas sagatavotie tiesību aktu priekšlikumi</w:t>
      </w:r>
      <w:r>
        <w:rPr>
          <w:rStyle w:val="FootnoteReference0"/>
          <w:noProof/>
        </w:rPr>
        <w:footnoteReference w:id="6"/>
      </w:r>
      <w:r>
        <w:rPr>
          <w:noProof/>
        </w:rPr>
        <w:t xml:space="preserve"> par kopējo lauksaimniecības politiku (KLP) laikposmam pēc 2020. gada ir vērsti uz to, lai KLP labāk reaģētu uz tādiem šodienas un rītdienas izaicinājumiem kā klimata pārmaiņas vai paaudžu maiņa un vienlaikus turpinātu atbalstīt Savienības lauksaimniekus virzībā uz ilgtspējīgu un konkurētspējīgu lauksaimniecību. Šie priekšlikumi ir cieši saistīti ar Savienības daudzgadu finanšu shēmu (DFS) 2021.–2027. gadam.</w:t>
      </w:r>
    </w:p>
    <w:p>
      <w:pPr>
        <w:pStyle w:val="ManualConsidrant"/>
        <w:rPr>
          <w:noProof/>
        </w:rPr>
      </w:pPr>
      <w:r>
        <w:t>(2)</w:t>
      </w:r>
      <w:r>
        <w:tab/>
      </w:r>
      <w:r>
        <w:rPr>
          <w:noProof/>
        </w:rPr>
        <w:t xml:space="preserve">Komisija ir ierosinājusi veidot KLP sasaisti ar veikuma konkrētību (tā saucamais “īstenošanas modelis”). Saskaņā ar jauno tiesisko regulējumu Savienībai jānosaka politikas pamatparametri, piemēram, KLP mērķi un pamatprasības, savukārt dalībvalstīm jāuzņemas lielāka atbildība par </w:t>
      </w:r>
      <w:r>
        <w:rPr>
          <w:noProof/>
        </w:rPr>
        <w:lastRenderedPageBreak/>
        <w:t xml:space="preserve">veidu, kādā sasniegt mērķus un izpildīt mērķrādītājus. Attiecīgi dalībvalstīm jāizstrādā KLP stratēģiskie plāni, kuri jāapstiprina Komisijai, un tie jāīsteno. </w:t>
      </w:r>
    </w:p>
    <w:p>
      <w:pPr>
        <w:pStyle w:val="ManualConsidrant"/>
        <w:rPr>
          <w:noProof/>
        </w:rPr>
      </w:pPr>
      <w:r>
        <w:t>(3)</w:t>
      </w:r>
      <w:r>
        <w:tab/>
      </w:r>
      <w:r>
        <w:rPr>
          <w:noProof/>
        </w:rPr>
        <w:t>Likumdošanas procedūra netika pabeigta pietiekami laicīgi, lai dalībvalstis un Komisija varētu sagatavot visus elementus, kas vajadzīgi, lai atbilstoši Komisijas sākotnējam priekšlikumam jauno tiesisko regulējumu un KLP stratēģiskos plānus sāktu piemērot no 2021. gada 1. janvāra.</w:t>
      </w:r>
    </w:p>
    <w:p>
      <w:pPr>
        <w:pStyle w:val="ManualConsidrant"/>
        <w:rPr>
          <w:noProof/>
        </w:rPr>
      </w:pPr>
      <w:r>
        <w:t>(4)</w:t>
      </w:r>
      <w:r>
        <w:tab/>
      </w:r>
      <w:r>
        <w:rPr>
          <w:noProof/>
        </w:rPr>
        <w:t>Tāpēc, lai nodrošinātu, ka lauksaimnieki un citi saņēmēji 2021. gadā var saņemt atbalstu no Eiropas Lauksaimniecības garantiju fonda (ELGF) un Eiropas Lauksaimniecības fonda lauku attīstībai (ELFLA), Savienībai vēl vienu gadu būtu jāturpina šādu atbalstu piešķirt saskaņā ar pašreizējo tiesisko regulējumu, kurš aptver 2014.–2020. gada laikposmu. Pašreizējais tiesiskais regulējums konkrēti noteikts ar Eiropas Parlamenta un Padomes Regulu (ES) Nr. 1303/2013</w:t>
      </w:r>
      <w:r>
        <w:rPr>
          <w:rStyle w:val="FootnoteReference0"/>
          <w:noProof/>
        </w:rPr>
        <w:footnoteReference w:id="7"/>
      </w:r>
      <w:r>
        <w:rPr>
          <w:noProof/>
        </w:rPr>
        <w:t>, (ES) Nr. 1305/2013</w:t>
      </w:r>
      <w:r>
        <w:rPr>
          <w:rStyle w:val="FootnoteReference0"/>
          <w:noProof/>
        </w:rPr>
        <w:footnoteReference w:id="8"/>
      </w:r>
      <w:r>
        <w:rPr>
          <w:noProof/>
        </w:rPr>
        <w:t>, (ES) Nr. 1306/2013</w:t>
      </w:r>
      <w:r>
        <w:rPr>
          <w:rStyle w:val="FootnoteReference0"/>
          <w:noProof/>
        </w:rPr>
        <w:footnoteReference w:id="9"/>
      </w:r>
      <w:r>
        <w:rPr>
          <w:noProof/>
        </w:rPr>
        <w:t>, (ES) Nr. 1307/2013</w:t>
      </w:r>
      <w:r>
        <w:rPr>
          <w:rStyle w:val="FootnoteReference0"/>
          <w:noProof/>
        </w:rPr>
        <w:footnoteReference w:id="10"/>
      </w:r>
      <w:r>
        <w:rPr>
          <w:noProof/>
        </w:rPr>
        <w:t>, (ES) Nr. 1308/2013</w:t>
      </w:r>
      <w:r>
        <w:rPr>
          <w:rStyle w:val="FootnoteReference0"/>
          <w:noProof/>
        </w:rPr>
        <w:footnoteReference w:id="11"/>
      </w:r>
      <w:r>
        <w:rPr>
          <w:noProof/>
        </w:rPr>
        <w:t>, (ES) Nr. 228/2013</w:t>
      </w:r>
      <w:r>
        <w:rPr>
          <w:rStyle w:val="FootnoteReference0"/>
          <w:noProof/>
        </w:rPr>
        <w:footnoteReference w:id="12"/>
      </w:r>
      <w:r>
        <w:rPr>
          <w:noProof/>
        </w:rPr>
        <w:t xml:space="preserve"> un (ES) Nr. 229/2013</w:t>
      </w:r>
      <w:r>
        <w:rPr>
          <w:rStyle w:val="FootnoteReference0"/>
          <w:noProof/>
        </w:rPr>
        <w:footnoteReference w:id="13"/>
      </w:r>
      <w:r>
        <w:rPr>
          <w:noProof/>
        </w:rPr>
        <w:t>. Turklāt, lai atvieglotu pāreju no esošajām atbalsta shēmām uz jauno tiesisko regulējumu, kura aptvertais laikposms sākas 2022. gada 1. janvārī, būtu jānosaka, kā jaunajā tiesiskajā regulējumā iekļaujams noteiktu veidu daudzgadu atbalsts.</w:t>
      </w:r>
    </w:p>
    <w:p>
      <w:pPr>
        <w:pStyle w:val="ManualConsidrant"/>
        <w:rPr>
          <w:noProof/>
        </w:rPr>
      </w:pPr>
      <w:r>
        <w:t>(5)</w:t>
      </w:r>
      <w:r>
        <w:tab/>
      </w:r>
      <w:r>
        <w:rPr>
          <w:noProof/>
        </w:rPr>
        <w:t>Savienībai būtu jāturpina atbalstīt lauku attīstību 2021. gadā, un tāpēc dalībvalstīm, kam varētu beigties līdzekļi un kas nevar uzņemties jaunas juridiskas saistības saskaņā ar Regulu (ES) Nr. 1305/2013, vajadzētu būt iespējai savas no ELFLA atbalstītās lauku attīstības programmas vai atsevišķas reģionālās lauku attīstības programmas pagarināt līdz 2021. gada 31. decembrim un pagarinātās programmas finansēt no atbilstošā budžeta piešķīruma 2021. gadam. Pagarinātajās programmās būtu jāsaglabā vismaz tāds pats klimata un vides jomā izvirzīto mērķu līmenis.</w:t>
      </w:r>
    </w:p>
    <w:p>
      <w:pPr>
        <w:pStyle w:val="ManualConsidrant"/>
        <w:rPr>
          <w:noProof/>
        </w:rPr>
      </w:pPr>
      <w:r>
        <w:t>(6)</w:t>
      </w:r>
      <w:r>
        <w:tab/>
      </w:r>
      <w:r>
        <w:rPr>
          <w:noProof/>
        </w:rPr>
        <w:t>Dažās dalībvalstīs var būt no iepriekšējiem gadiem palikuši neizmantoti Savienības līdzekļi, un tāpēc tām vajadzētu būt arī iespējai nepagarināt savas lauku attīstības programmas vai atsevišķas reģionālās lauku attīstības programmas. Šīm dalībvalstīm vajadzētu būt iespējai saskaņā ar Padomes Regulu (ES) .../... [regula, ar ko nosaka daudzgadu finanšu shēmu 2021.–2027. gadam]</w:t>
      </w:r>
      <w:r>
        <w:rPr>
          <w:rStyle w:val="FootnoteReference0"/>
          <w:noProof/>
        </w:rPr>
        <w:footnoteReference w:id="14"/>
      </w:r>
      <w:r>
        <w:rPr>
          <w:noProof/>
        </w:rPr>
        <w:t xml:space="preserve"> ELFLA budžeta piešķīrumu 2021. gadam vai nepagarinātajām reģionālajām </w:t>
      </w:r>
      <w:r>
        <w:rPr>
          <w:noProof/>
        </w:rPr>
        <w:lastRenderedPageBreak/>
        <w:t>lauku attīstības programmām atbilstošo ELFLA budžeta piešķīruma daļu pārvietot uz 2022.–2025. gada finanšu piešķīrumiem.</w:t>
      </w:r>
    </w:p>
    <w:p>
      <w:pPr>
        <w:pStyle w:val="ManualConsidrant"/>
        <w:rPr>
          <w:noProof/>
        </w:rPr>
      </w:pPr>
      <w:r>
        <w:t>(7)</w:t>
      </w:r>
      <w:r>
        <w:tab/>
      </w:r>
      <w:r>
        <w:rPr>
          <w:noProof/>
        </w:rPr>
        <w:t xml:space="preserve">Lai Komisija varētu nodrošināt vajadzīgo finansiālo plānošanu un attiecīgi pielāgot Savienības atbalsta ikgadējo sadalījumu, kas noteikts Regulas (ES) Nr. 1305/2013 pielikumā, dalībvalstīm drīz pēc šīs regulas stāšanās spēkā būtu Komisija jāinformē par to, vai tās ir nolēmušas pagarināt savas lauku attīstības programmas un – attiecībā uz reģionālajām lauku attīstības programmām – kuras no šīm programmām tās nolēmušas pagarināt un, attiecīgi, kuras atbilstošās 2021. gada budžeta piešķīruma summas nav jāpārceļ uz nākamajiem finanšu gadiem. </w:t>
      </w:r>
    </w:p>
    <w:p>
      <w:pPr>
        <w:pStyle w:val="ManualConsidrant"/>
        <w:rPr>
          <w:noProof/>
        </w:rPr>
      </w:pPr>
      <w:r>
        <w:t>(8)</w:t>
      </w:r>
      <w:r>
        <w:tab/>
      </w:r>
      <w:r>
        <w:rPr>
          <w:noProof/>
        </w:rPr>
        <w:t>Regula (ES) Nr. 1303/2013 nosaka kopīgus noteikumus, kas piemērojami ELFLA un dažiem citiem fondiem, kuri darbojas vienotā sistēmā. Minēto regulu būtu jāturpina piemērot gan programmām, kuras no ELFLA atbalsta 2014.–2020. gada plānošanas periodā, gan no ELFLA atbalstītajām programmām, attiecībā uz kurām dalībvalstis nolemj minēto laikposmu pagarināt līdz 2021. gada 31. decembrim. Attiecībā uz tā atbalsta īstenošanu, kas no ELFLA piešķirts par 2021. plānošanas gadu, minētajām dalībvalstīm un Komisijai par stratēģisko dokumentu būtu jāturpina izmantot partnerības nolīgumu, kurš 2014. gada 1. janvāra–2020. gada 31. decembra laikposmam izstrādāts saskaņā ar Regulu (ES) Nr. 1303/2013.</w:t>
      </w:r>
    </w:p>
    <w:p>
      <w:pPr>
        <w:pStyle w:val="ManualConsidrant"/>
        <w:rPr>
          <w:noProof/>
        </w:rPr>
      </w:pPr>
      <w:r>
        <w:t>(9)</w:t>
      </w:r>
      <w:r>
        <w:tab/>
      </w:r>
      <w:r>
        <w:rPr>
          <w:noProof/>
        </w:rPr>
        <w:t xml:space="preserve">Daži termiņi, kas Regulā (ES) Nr. 1303/2013 noteikti attiecībā uz īstenošanas ziņojumiem, ikgadējām izvērtēšanas sanāksmēm, </w:t>
      </w:r>
      <w:r>
        <w:rPr>
          <w:i/>
          <w:iCs/>
          <w:noProof/>
        </w:rPr>
        <w:t>ex post</w:t>
      </w:r>
      <w:r>
        <w:rPr>
          <w:noProof/>
        </w:rPr>
        <w:t xml:space="preserve"> novērtējumiem un kopsavilkuma ziņojumiem, izdevumu atbalsttiesīgumu un saistību atcelšanu, kā arī budžeta saistībām attiecas tikai uz 2014.–2020. gada plānošanas periodu. Minētie termiņi būtu jāpielāgo, lai ņemtu vērā tā laikposma pagarinājumu, kurā var īstenot no ELFLA atbalstītas programmas.</w:t>
      </w:r>
    </w:p>
    <w:p>
      <w:pPr>
        <w:pStyle w:val="ManualConsidrant"/>
        <w:rPr>
          <w:noProof/>
        </w:rPr>
      </w:pPr>
      <w:r>
        <w:t>(10)</w:t>
      </w:r>
      <w:r>
        <w:tab/>
      </w:r>
      <w:r>
        <w:rPr>
          <w:noProof/>
        </w:rPr>
        <w:t>Eiropas Parlamenta un Padomes Regulā (ES) Nr. 1310/2013</w:t>
      </w:r>
      <w:r>
        <w:rPr>
          <w:rStyle w:val="FootnoteReference0"/>
          <w:noProof/>
        </w:rPr>
        <w:footnoteReference w:id="15"/>
      </w:r>
      <w:r>
        <w:rPr>
          <w:noProof/>
        </w:rPr>
        <w:t xml:space="preserve"> un Komisijas Deleģētajā regulā (ES) Nr. 807/2014</w:t>
      </w:r>
      <w:r>
        <w:rPr>
          <w:rStyle w:val="FootnoteReference0"/>
          <w:noProof/>
        </w:rPr>
        <w:footnoteReference w:id="16"/>
      </w:r>
      <w:r>
        <w:rPr>
          <w:noProof/>
        </w:rPr>
        <w:t xml:space="preserve"> noteikts, ka izdevumus par dažām ilgtermiņa saistībām, kuru uzņemšanās notikusi pēc konkrētiem noteikumiem, ar kuriem lauku attīstības atbalsts piešķirts, pirms spēkā stājās Regula (ES) Nr. 1305/2013, 2014.–2020. gada plānošanas periodā ar konkrētiem nosacījumiem būtu jāturpina apmaksāt no ELFLA. Šiem izdevumiem uz attiecīgo juridisko saistību laiku būtu jāturpina ar tādiem pašiem nosacījumiem būt atbalsttiesīgiem arī 2021. plānošanas gadā. Turklāt juridiskās skaidrības un noteiktības labad būtu jāprecizē, ka juridiskās saistības, kuras izriet no pasākumiem, kas atbilst Regulas (ES) Nr. 1305/2013 pasākumiem, kuriem piemēro integrētu administrācijas un kontroles sistēmu, būtu iekļaujamas šajā integrētajā administrācijas un kontroles sistēmā un ka maksājumi, kas saistīti ar šīm juridiskajām saistībām, veicami laikposmā no 1. decembra līdz nākamā kalendārā gada 30. jūnijam.</w:t>
      </w:r>
    </w:p>
    <w:p>
      <w:pPr>
        <w:pStyle w:val="ManualConsidrant"/>
        <w:rPr>
          <w:noProof/>
        </w:rPr>
      </w:pPr>
      <w:r>
        <w:t>(11)</w:t>
      </w:r>
      <w:r>
        <w:tab/>
      </w:r>
      <w:r>
        <w:rPr>
          <w:noProof/>
        </w:rPr>
        <w:t>Lai nodrošinātu saskaņotību ar citiem fondiem, kurus reglamentē Regula (ES) XXXX/XXXX</w:t>
      </w:r>
      <w:r>
        <w:rPr>
          <w:rStyle w:val="FootnoteReference0"/>
          <w:noProof/>
        </w:rPr>
        <w:footnoteReference w:id="17"/>
      </w:r>
      <w:r>
        <w:rPr>
          <w:noProof/>
        </w:rPr>
        <w:t xml:space="preserve"> [Eiropas Parlamenta un Padomes jaunā KNR], ELFLA būtu jāspēj atbalstīt sabiedrības virzītu vietējo attīstību, kas izveidota saskaņā ar minētajā regulā paredzētajiem jaunajiem noteikumiem.</w:t>
      </w:r>
    </w:p>
    <w:p>
      <w:pPr>
        <w:pStyle w:val="ManualConsidrant"/>
        <w:rPr>
          <w:noProof/>
        </w:rPr>
      </w:pPr>
      <w:r>
        <w:lastRenderedPageBreak/>
        <w:t>(12)</w:t>
      </w:r>
      <w:r>
        <w:tab/>
      </w:r>
      <w:r>
        <w:rPr>
          <w:noProof/>
        </w:rPr>
        <w:t xml:space="preserve">2015. gadā saskaņā ar Regulu (ES) Nr. 1307/2013 notiekošās maksājumtiesību piešķiršanas vai – ja dalībvalsts bija paturējusi esošās tiesības – pārrēķināšanas laikā dažas dalībvalstis pieļāva maksājumtiesību skaita vai vērtības noteikšanas kļūdas. Daudzas no šīm kļūdām, pat attiekdamās tikai uz vienu lauksaimnieku, ietekmē maksājumtiesību vērtību visiem lauksaimniekiem visos gados. Dažas dalībvalstis, kad tās piešķīra maksājumtiesības no rezerves, kļūdas (piemēram, vidējās vērtības aprēķina kļūdas) pieļāva arī pēc 2015. gada. Šādām neatbilstībām parasti piemēro finanšu korekciju, līdz attiecīgā dalībvalsts veic korektīvus pasākumus. Ņemot vērā laiku, kas pagājis kopš pirmā piešķīruma, dalībvalstu centienus maksājumtiesības noteikt un, attiecīgā gadījumā, koriģēt, kā arī juridiskās noteiktības labad no konkrētas dienas maksājumtiesību skaits un vērtība būtu jāuzskata par likumīgu un pareizu. </w:t>
      </w:r>
    </w:p>
    <w:p>
      <w:pPr>
        <w:pStyle w:val="ManualConsidrant"/>
        <w:rPr>
          <w:noProof/>
        </w:rPr>
      </w:pPr>
      <w:r>
        <w:t>(13)</w:t>
      </w:r>
      <w:r>
        <w:tab/>
      </w:r>
      <w:r>
        <w:rPr>
          <w:noProof/>
        </w:rPr>
        <w:t>Tomēr maksājumtiesību apstiprināšana neatceļ dalībvalstu atbildību, ko ELGF dalītā pārvaldība tām uzliek, lai nodrošinātu Savienības budžeta aizsardzību pret neatbilstoši veiktiem izdevumiem. Tāpēc to maksājumtiesību apstiprinājumam, kuras lauksaimniekiem piešķirtas pirms 2020. gada 1. janvāra, no 2021. gada 1. janvāra nebūtu jāskar Komisijas pilnvaras pieņemt Regulas (ES) Nr. 1306/2013 52. pantā minētus lēmumus par nepamatotiem maksājumiem, kas minēto maksājumtiesību skaita vai vērtības kļūdainas noteikšanas rezultātā piešķirti par katru kalendāro gadu līdz 2020. gadam (ieskaitot).</w:t>
      </w:r>
    </w:p>
    <w:p>
      <w:pPr>
        <w:pStyle w:val="ManualConsidrant"/>
        <w:rPr>
          <w:noProof/>
        </w:rPr>
      </w:pPr>
      <w:r>
        <w:t>(14)</w:t>
      </w:r>
      <w:r>
        <w:tab/>
      </w:r>
      <w:r>
        <w:rPr>
          <w:noProof/>
        </w:rPr>
        <w:t>Ņemot vērā to, ka KLP stratēģiskie plāni, kas dalībvalstīm jāsagatavo saskaņā ar jauno tiesisko regulējumu, ir piemērojami no 2022. gada 1. janvāra, būtu jāparedz pārejas noteikumi, kas vajadzīgi, lai regulētu pāreju no esošajām atbalsta shēmām uz jauno tiesisko regulējumu un konkrēti uz Eiropas Parlamenta un Padomes Regulu (ES).../...</w:t>
      </w:r>
      <w:r>
        <w:rPr>
          <w:rStyle w:val="FootnoteReference0"/>
          <w:noProof/>
        </w:rPr>
        <w:footnoteReference w:id="18"/>
      </w:r>
      <w:r>
        <w:rPr>
          <w:noProof/>
        </w:rPr>
        <w:t xml:space="preserve"> [KLP stratēģisko plānu regula].</w:t>
      </w:r>
    </w:p>
    <w:p>
      <w:pPr>
        <w:pStyle w:val="ManualConsidrant"/>
        <w:rPr>
          <w:noProof/>
        </w:rPr>
      </w:pPr>
      <w:r>
        <w:t>(15)</w:t>
      </w:r>
      <w:r>
        <w:tab/>
      </w:r>
      <w:r>
        <w:rPr>
          <w:noProof/>
        </w:rPr>
        <w:t>Noteikti izdevumi par dažām ilgtermiņa saistībām, kuru uzņemšanās notikusi saskaņā ar regulām, ar ko lauku attīstības atbalsts piešķirts, pirms spēkā stājās Regula (ES) Nr. 1305/2013, 2014.–2020. gada plānošanas periodā joprojām bija atbalsttiesīgi. Izņemot gadījumus, kad beidzies minēto ilgtermiņa saistību termiņš, šiem izdevumiem arī KLP stratēģiskā plāna laikposmā būtu jābūt atbalsttiesīgiem tik ilgi, kamēr ir spēkā attiecīgās juridiskās saistības, ņemot vērā minētajā laikposmā piemērojamo iemaksu likmi un ar nosacījumu, ka šos izdevumus iekļauj KLP stratēģiskajā plānā un maksā saskaņā ar Regulu (ES) [HzR]. Tas pats būtu jāattiecina uz dažām ilgtermiņa saistībām, kuru uzņemšanās notikusi saskaņā ar Regulu (ES) Nr. 1305/2013 vai Regulu (ES) Nr. 1303/2013. Šajā kontekstā būtu jāprecizē, ka juridiskās saistības, kuras izriet no pasākumiem, kas atbilst KLP stratēģiskajā plānā noteiktajai platībbāzētajai un dzīvniekbāzētajai intervencei, būtu iekļaujamas integrētajā administrācijas un kontroles sistēmā un ka maksājumi, kas saistīti ar šīm juridiskajām saistībām, veicami laikposmā no 1. decembra līdz nākamā kalendārā gada 30. jūnijam.</w:t>
      </w:r>
    </w:p>
    <w:p>
      <w:pPr>
        <w:pStyle w:val="ManualConsidrant"/>
        <w:rPr>
          <w:noProof/>
        </w:rPr>
      </w:pPr>
      <w:r>
        <w:t>(16)</w:t>
      </w:r>
      <w:r>
        <w:tab/>
      </w:r>
      <w:r>
        <w:rPr>
          <w:noProof/>
        </w:rPr>
        <w:t xml:space="preserve">Regula (ES) Nr. 1308/2013 nosaka noteikumus par lauksaimniecības tirgu kopīgo organizāciju, un tās 29.–60. pants ietver konkrētas atbalsta shēmas. Šīs atbalsta shēmas topošajos dalībvalstu KLP stratēģiskajos plānos būtu jāiestrādā kā nozariskās intervences, kas minētas Regulas (ES).../... [KLP stratēģisko plānu regula] 39. panta a)–e) punktā. Lai nodrošinātu saskaņotību, nepārtrauktību un netraucētu pāreju no Regulas (ES) Nr. 1308/2013 atbalsta shēmām uz Regulas (ES).../... [KLP stratēģisko plānu regulas] nozariskajām intervencēm, būtu jānosaka, cik ilgi katra šāda atbalsta shēma turpinās, pirms to aizstājošie topošie dalībvalstu KLP stratēģiskie plāni iegūst spēju izraisīt tiesiskas sekas. </w:t>
      </w:r>
    </w:p>
    <w:p>
      <w:pPr>
        <w:pStyle w:val="ManualConsidrant"/>
        <w:rPr>
          <w:noProof/>
        </w:rPr>
      </w:pPr>
      <w:r>
        <w:t>(17)</w:t>
      </w:r>
      <w:r>
        <w:tab/>
      </w:r>
      <w:r>
        <w:rPr>
          <w:noProof/>
        </w:rPr>
        <w:t xml:space="preserve">Attiecībā uz atbalsta shēmu olīveļļas un galda olīvu nozarē spēkā esošās darba programmas, kas izstrādātas laikposmam no 2018. gada 1. aprīļa līdz 2021. gada 31. martam, būtu jāpagarina </w:t>
      </w:r>
      <w:r>
        <w:rPr>
          <w:noProof/>
        </w:rPr>
        <w:lastRenderedPageBreak/>
        <w:t xml:space="preserve">līdz 2021. gada 31. decembrim. Attiecībā uz atbalsta shēmām augļu un dārzeņu nozarē būtu jānosaka noteikumi par darbības programmu grozīšanu vai aizstāšanu. </w:t>
      </w:r>
    </w:p>
    <w:p>
      <w:pPr>
        <w:pStyle w:val="ManualConsidrant"/>
        <w:rPr>
          <w:noProof/>
        </w:rPr>
      </w:pPr>
      <w:r>
        <w:t>(18)</w:t>
      </w:r>
      <w:r>
        <w:tab/>
      </w:r>
      <w:r>
        <w:rPr>
          <w:noProof/>
        </w:rPr>
        <w:t xml:space="preserve">Lai nodrošinātu nepārtrauktību attiecībā uz atbalsta shēmām vīna nozarē un biškopības nozarē, jānosaka noteikumi, kas šo atbalsta shēmu īstenošanu ļauj turpināt līdz tai atbilstošā plānošanas perioda beigām. Tāpēc attiecībā uz izdevumiem un maksājumiem par darbībām, kas saskaņā ar Regulu (ES) Nr. 1308/2013 īstenotas pēc 2021. gada 31. decembra un līdz minēto atbalsta shēmu beigām, būtu jāturpina piemērot dažus Regulas (ES) Nr. 1306/2013 noteikumus. </w:t>
      </w:r>
    </w:p>
    <w:p>
      <w:pPr>
        <w:pStyle w:val="ManualConsidrant"/>
        <w:rPr>
          <w:noProof/>
        </w:rPr>
      </w:pPr>
      <w:r>
        <w:t>(19)</w:t>
      </w:r>
      <w:r>
        <w:tab/>
      </w:r>
      <w:r>
        <w:rPr>
          <w:noProof/>
        </w:rPr>
        <w:t>Lai ierobežotu saistību ievērojamu pārnešanu no pašreizējā lauku attīstības plānošanas perioda uz KLP stratēģiskajiem plāniem, jauno daudzgadu saistību ilgums attiecībā uz agrovidi, bioloģisko lauksaimniecību un meža vidi būtu jāierobežo līdz laikposmam, kas nepārsniedz 3 gadus. Esošo saistību pagarinājumi būtu jāierobežo līdz vienam gadam.</w:t>
      </w:r>
    </w:p>
    <w:p>
      <w:pPr>
        <w:pStyle w:val="ManualConsidrant"/>
        <w:rPr>
          <w:noProof/>
        </w:rPr>
      </w:pPr>
      <w:r>
        <w:t>(20)</w:t>
      </w:r>
      <w:r>
        <w:tab/>
      </w:r>
      <w:r>
        <w:rPr>
          <w:noProof/>
        </w:rPr>
        <w:t>ELFLA būtu jāspēj atbalstīt sabiedrības virzītu vietējo attīstību, kas izveidota saskaņā ar Regulā (ES) XXXX/XXXX [jaunā KNR] paredzētajiem jaunajiem noteikumiem. Tomēr, lai sabiedrības virzītai vietējai attīstībai paredzēti līdzekļi 2021. plānošanas gadā nepaliktu neizlietoti, dalībvalstīm, kuras nolemj savas lauku attīstības programmas pagarināt līdz 2021. gada 31. decembrim un turklāt izmanto iespēju pārvietot līdzekļus no tiešajiem maksājumiem uz lauku attīstību, sabiedrības virzītai vietējai attīstībai paredzēto 5 % piešķīruma minimumu būtu jāvar piemērot tikai attiecībā uz to ELFLA ieguldījumu lauku attīstībā, kas pagarināts līdz 2021. gada 31. decembrim un aprēķināts, pirms ir veikts tiešo maksājumu apropriāciju pārvietojums.</w:t>
      </w:r>
    </w:p>
    <w:p>
      <w:pPr>
        <w:pStyle w:val="ManualConsidrant"/>
        <w:rPr>
          <w:noProof/>
        </w:rPr>
      </w:pPr>
      <w:r>
        <w:t>(21)</w:t>
      </w:r>
      <w:r>
        <w:tab/>
      </w:r>
      <w:r>
        <w:rPr>
          <w:noProof/>
        </w:rPr>
        <w:t>Lai pārejas laikā nodrošinātu nepārtrauktību, 2021. gadā būtu jāsaglabā rezerve krīzes situācijām lauksaimniecības nozarē un jāiekļauj attiecīgā rezerves summa 2021. gadam.</w:t>
      </w:r>
    </w:p>
    <w:p>
      <w:pPr>
        <w:pStyle w:val="ManualConsidrant"/>
        <w:rPr>
          <w:noProof/>
        </w:rPr>
      </w:pPr>
      <w:r>
        <w:t>(22)</w:t>
      </w:r>
      <w:r>
        <w:tab/>
      </w:r>
      <w:r>
        <w:rPr>
          <w:noProof/>
        </w:rPr>
        <w:t>Attiecībā uz ELFLA priekšfinansējuma kārtību būtu jāprecizē, ka tad, ja dalībvalstis 2014.–2020. gada laikposmu nolemj pagarināt līdz 2021. gada 31. decembrim, tas nedrīkst ietvert papildu priekšfinansējuma piešķiršanu attiecīgajām programmām.</w:t>
      </w:r>
    </w:p>
    <w:p>
      <w:pPr>
        <w:pStyle w:val="ManualConsidrant"/>
        <w:rPr>
          <w:noProof/>
        </w:rPr>
      </w:pPr>
      <w:r>
        <w:t>(23)</w:t>
      </w:r>
      <w:r>
        <w:tab/>
      </w:r>
      <w:r>
        <w:rPr>
          <w:noProof/>
        </w:rPr>
        <w:t>Regulas (ES) Nr. 1307/2013 11. pants paziņošanas pienākumu attiecībā uz dalībvalstu lēmumiem par tās tiešo maksājumu summas daļas samazinājuma aplēsi, kas lauksaimniekam piešķirama par konkrētu kalendāro gadu un pārsniedz 150 000 EUR, patlaban paredz vienīgi attiecībā uz 2015.–2020. gadu. Lai nodrošinātu esošās sistēmas nepārtrauktību, dalībvalstīm savi lēmumi un samazinājuma summas aplēse būtu jāpaziņo arī par 2021. gadu.</w:t>
      </w:r>
    </w:p>
    <w:p>
      <w:pPr>
        <w:pStyle w:val="ManualConsidrant"/>
        <w:rPr>
          <w:noProof/>
        </w:rPr>
      </w:pPr>
      <w:r>
        <w:t>(24)</w:t>
      </w:r>
      <w:r>
        <w:tab/>
      </w:r>
      <w:r>
        <w:rPr>
          <w:noProof/>
        </w:rPr>
        <w:t xml:space="preserve">Saskaņā ar Regulas (ES) Nr. 1307/2013 14. pantu līdzekļu pārvietošana no tiešajiem maksājumiem uz lauku attīstību un otrādi dalībvalstīm ir atļauta attiecībā uz 2014.–2020. kalendāro gadu. Lai nodrošinātu, ka dalībvalstis var turpināt savu stratēģiju, elastība starp pīlāriem būtu jāpadara pieejama arī par 2021. kalendāro gadu (t. i., par 2022. finanšu gadu). </w:t>
      </w:r>
    </w:p>
    <w:p>
      <w:pPr>
        <w:pStyle w:val="ManualConsidrant"/>
        <w:rPr>
          <w:noProof/>
        </w:rPr>
      </w:pPr>
      <w:r>
        <w:t>(25)</w:t>
      </w:r>
      <w:r>
        <w:tab/>
      </w:r>
      <w:r>
        <w:rPr>
          <w:noProof/>
        </w:rPr>
        <w:t xml:space="preserve">Lai Komisija saskaņā ar Regulas (ES) Nr. 1307/2013 22. panta 1. punktu, 36. panta 4. punktu, 42. panta 2. punktu, 47. panta 3. punktu, 49. panta 2. punktu, 51. panta 4. punktu un 53. panta 7. punktu varētu noteikt maksimāli pieļaujamo budžeta apjomu, dalībvalstīm savi lēmumi par katrai shēmai paredzētajiem 2021. kalendārā gada finanšu piešķīrumiem jāpaziņo līdz 2020. gada 1. augustam. </w:t>
      </w:r>
    </w:p>
    <w:p>
      <w:pPr>
        <w:pStyle w:val="ManualConsidrant"/>
        <w:rPr>
          <w:noProof/>
        </w:rPr>
      </w:pPr>
      <w:r>
        <w:t>(26)</w:t>
      </w:r>
      <w:r>
        <w:tab/>
      </w:r>
      <w:r>
        <w:rPr>
          <w:noProof/>
        </w:rPr>
        <w:t xml:space="preserve">Regulas (ES) Nr. 1307/2013 22. panta 5. punkts prasa lineāri koriģēt maksājumtiesību vērtību, ja pamata maksājuma shēmas maksimālais apjoms, salīdzinot ar iepriekšējo gadu, ir mainījies tāpēc, ka dalībvalstis pieņēmušas noteiktus lēmumus, kuri šo maksimālo apjomu ietekmē. Minētās regulas II pielikuma attiecināšana arī uz maksimālajiem apjomiem, kas valstīm noteikti laikposmam pēc 2020. kalendārā gada, un vēlākām iespējamām ikgadējām izmaiņām varētu ietekmēt pamata maksājuma shēmas maksimālo apjomu. Tāpēc, lai dalībvalstis spētu ievērot minētās regulas 22. panta 4. punktā noteikto pienākumu par maksājumtiesību un rezerves (rezervju) summas atbilstību pamata maksājuma shēmas maksimālajam apjomam, ir lietderīgi </w:t>
      </w:r>
      <w:r>
        <w:rPr>
          <w:noProof/>
        </w:rPr>
        <w:lastRenderedPageBreak/>
        <w:t xml:space="preserve">paredzēt lineāru korekciju, kas vajadzīga, lai pielāgotos II pielikuma tvēruma paplašināšanai vai izmaiņām pārejas laikā. Turklāt, lai dalībvalstīm dotu lielāku elastību, šķiet lietderīgi atļaut tām – iespējams, ar atšķirīgām korekcijas likmēm – pielāgot maksājumtiesību vai rezerves vērtību. </w:t>
      </w:r>
    </w:p>
    <w:p>
      <w:pPr>
        <w:pStyle w:val="ManualConsidrant"/>
        <w:rPr>
          <w:noProof/>
        </w:rPr>
      </w:pPr>
      <w:r>
        <w:t>(27)</w:t>
      </w:r>
      <w:r>
        <w:tab/>
      </w:r>
      <w:r>
        <w:rPr>
          <w:noProof/>
        </w:rPr>
        <w:t>Saskaņā ar pašreizējo tiesisko regulējumu dalībvalstis savus lēmumus par gada valsts maksimālā apjoma sadalījumu reģioniem saskaņā ar pamata maksājuma shēmu un iespējamām ikgadējām pakāpeniskām sākotnējās vērtības izmaiņām laikposmā, ko aptver Regula (ES) Nr. 1307/2013, 2014. gadā ir paziņojušas par laikposmu līdz 2020. kalendārajam gadam. Dalībvalstīm šādi lēmumi jāpaziņo arī par 2021. kalendāro gadu.</w:t>
      </w:r>
    </w:p>
    <w:p>
      <w:pPr>
        <w:pStyle w:val="ManualConsidrant"/>
        <w:rPr>
          <w:noProof/>
        </w:rPr>
      </w:pPr>
      <w:r>
        <w:t>(28)</w:t>
      </w:r>
      <w:r>
        <w:tab/>
      </w:r>
      <w:r>
        <w:rPr>
          <w:noProof/>
        </w:rPr>
        <w:t xml:space="preserve">Iekšējās konverģences mehānisms ir galvenais process, kas nodrošina lauksaimnieku ienākumu tiešā atbalsta taisnīgāku sadali. Uz vēsturiskām atsaucēm balstītas ievērojamas individuālas atšķirības kļūst arvien grūtāk pamatojamas. Regulas (ES) Nr. 1307/2013 paredzētais iekšējās konverģences galvenais modelis ir vienotas fiksētas likmes piemērošana visām maksājumtiesībām valsts vai reģionālā līmenī, sākot no 2015. gada. Tomēr, lai nodrošinātu vienmērīgāku pāreju uz vienotu vērtību, tika noteikta atkāpe jeb t. s. tuneļa metode, kas dalībvalstīm ļauj maksājumtiesību vērtības diferencēt, 2015.–2019. gadā piemērojot daļēju konverģenci. Dažas dalībvalstis šo atkāpi ir izmantojušas. Lai turpinātu virzīties uz tiešo maksājumu taisnīgāku sadali, pēc 2019. gada dalībvalstis var izvēlēties nevis panākt vienotu fiksētu likmi vai saglabāt maksājumtiesību vērtību 2019. gada līmenī, bet gan tuvināties valsts vai reģionālam vidējam rādītājam. Katru gadu tām būtu jāpaziņo savs lēmums par nākamo gadu. </w:t>
      </w:r>
    </w:p>
    <w:p>
      <w:pPr>
        <w:pStyle w:val="ManualConsidrant"/>
        <w:rPr>
          <w:noProof/>
        </w:rPr>
      </w:pPr>
      <w:r>
        <w:t>(29)</w:t>
      </w:r>
      <w:r>
        <w:tab/>
      </w:r>
      <w:r>
        <w:rPr>
          <w:noProof/>
        </w:rPr>
        <w:t xml:space="preserve">Regulas (ES) Nr. 1307/2013 30. pantā paredzētas ikgadējas pakāpeniskas no rezerves piešķirto maksājumtiesību vērtības izmaiņas, kas atspoguļotu minētās regulas II pielikumā noteiktā valsts maksimālā apjoma ikgadējās izmaiņas, kuras savukārt atspoguļo rezerves daudzgadu pārvaldību. Šie noteikumi būtu jāpielāgo, lai būtu iespējams gan grozīt visu piešķirto maksājumtiesību vērtību, gan koriģēt rezervi atbilstoši minētajā II pielikumā norādītās summas izmaiņām pa gadiem. Turklāt dažās dalībvalstīs, kuras līdz 2019. gadam nav panākušas fiksētu likmi, iekšējā konverģence tiek īstenota katru gadu. Attiecībā uz 2020. un 2021. kalendāro gadu piešķīruma gadā jānosaka tikai kārtējā gada maksājumtiesību vērtība. To maksājumtiesību vienības vērtība, kas attiecīgajā gadā piešķiramas no rezerves, būtu jāaprēķina pēc iespējamas rezerves koriģēšanas saskaņā ar minētās regulas 22. panta 5. punktu. Visos turpmākajos gados no rezerves piešķirto maksājumtiesību vērtība būtu jāpielāgo saskaņā ar minēto 22. panta 5. punktu. </w:t>
      </w:r>
    </w:p>
    <w:p>
      <w:pPr>
        <w:pStyle w:val="ManualConsidrant"/>
        <w:rPr>
          <w:noProof/>
        </w:rPr>
      </w:pPr>
      <w:r>
        <w:t>(30)</w:t>
      </w:r>
      <w:r>
        <w:tab/>
      </w:r>
      <w:r>
        <w:rPr>
          <w:noProof/>
        </w:rPr>
        <w:t xml:space="preserve">Regulas (ES) Nr. 1307/2013 36. pants paredz vienotā platībmaksājuma shēmas (VPMS) piemērošanu līdz 2020. gada 31. decembrim. Regula (ES).../... [KLP stratēģisko plānu regula] ļauj dalībvalstīm ienākumu pamatatbalstu īstenot tādā pašā kārtībā, t. i., maksājumtiesības piešķirt bez vēsturiskām atsaucēm. Tāpēc ir lietderīgi atļaut pagarināt VPMS līdz 2021. gadam. </w:t>
      </w:r>
    </w:p>
    <w:p>
      <w:pPr>
        <w:pStyle w:val="ManualConsidrant"/>
        <w:rPr>
          <w:noProof/>
        </w:rPr>
      </w:pPr>
      <w:r>
        <w:t>(31)</w:t>
      </w:r>
      <w:r>
        <w:tab/>
      </w:r>
      <w:r>
        <w:rPr>
          <w:noProof/>
        </w:rPr>
        <w:t xml:space="preserve">Juridiskās noteiktības labad būtu jāprecizē, ka Regulas (ES) Nr. 1307/2013 41. un 42. pants dalībvalstīm ļauj katru gadu pārskatīt savus lēmumus par pārdalošo maksājumu. </w:t>
      </w:r>
    </w:p>
    <w:p>
      <w:pPr>
        <w:pStyle w:val="ManualConsidrant"/>
        <w:rPr>
          <w:noProof/>
        </w:rPr>
      </w:pPr>
      <w:r>
        <w:t>(32)</w:t>
      </w:r>
      <w:r>
        <w:tab/>
      </w:r>
      <w:r>
        <w:rPr>
          <w:noProof/>
        </w:rPr>
        <w:t>Tāpēc Regula (ES) Nr. 1305/2013, (ES) Nr. 1306/2013, (ES) Nr. 1307/2013, (ES) Nr. 1308/2013, (ES) Nr. 228/2013 un (ES) Nr. 229/2013 būtu attiecīgi jāgroza.</w:t>
      </w:r>
    </w:p>
    <w:p>
      <w:pPr>
        <w:pStyle w:val="ManualConsidrant"/>
        <w:rPr>
          <w:noProof/>
        </w:rPr>
      </w:pPr>
      <w:r>
        <w:t>(33)</w:t>
      </w:r>
      <w:r>
        <w:tab/>
      </w:r>
      <w:r>
        <w:rPr>
          <w:noProof/>
        </w:rPr>
        <w:t xml:space="preserve">Attiecībā uz precizējumu par konverģenci, kas jānodrošina no 2020. gada, 10. panta 6. punkts ar atpakaļejošu spēku būtu jāpiemēro no 2020. gada 1. janvāra. </w:t>
      </w:r>
    </w:p>
    <w:p>
      <w:pPr>
        <w:pStyle w:val="ManualConsidrant"/>
        <w:rPr>
          <w:noProof/>
        </w:rPr>
      </w:pPr>
      <w:r>
        <w:t>(34)</w:t>
      </w:r>
      <w:r>
        <w:tab/>
      </w:r>
      <w:r>
        <w:rPr>
          <w:noProof/>
        </w:rPr>
        <w:t>Turklāt Regulas (ES) Nr. 228/2013 un (ES) Nr. 229/2013 grozījumi saskaņā ar Regulu (ES) .../... [regula, ar ko nosaka daudzgadu finanšu shēmu 2021.–2027. gadam] būtu jāpiemēro no 2021. gada 1. janvāra</w:t>
      </w:r>
      <w:r>
        <w:rPr>
          <w:i/>
          <w:noProof/>
        </w:rPr>
        <w:t>,</w:t>
      </w:r>
    </w:p>
    <w:p>
      <w:pPr>
        <w:pStyle w:val="Formuledadoption"/>
        <w:rPr>
          <w:noProof/>
        </w:rPr>
      </w:pPr>
      <w:r>
        <w:rPr>
          <w:noProof/>
        </w:rPr>
        <w:t>IR PIEŅĒMUŠI ŠO REGULU.</w:t>
      </w:r>
    </w:p>
    <w:p>
      <w:pPr>
        <w:pStyle w:val="PartTitle"/>
        <w:spacing w:after="0"/>
        <w:rPr>
          <w:rStyle w:val="TitleChar"/>
          <w:noProof/>
          <w:sz w:val="32"/>
          <w:szCs w:val="32"/>
        </w:rPr>
      </w:pPr>
      <w:r>
        <w:rPr>
          <w:noProof/>
        </w:rPr>
        <w:lastRenderedPageBreak/>
        <w:t>I sadaļa</w:t>
      </w:r>
      <w:r>
        <w:rPr>
          <w:noProof/>
        </w:rPr>
        <w:br/>
        <w:t>Pārejas noteikumi</w:t>
      </w:r>
    </w:p>
    <w:p>
      <w:pPr>
        <w:pStyle w:val="ChapterTitle"/>
        <w:spacing w:after="0"/>
        <w:rPr>
          <w:noProof/>
        </w:rPr>
      </w:pPr>
      <w:r>
        <w:rPr>
          <w:noProof/>
        </w:rPr>
        <w:t>I nodaļa</w:t>
      </w:r>
      <w:r>
        <w:rPr>
          <w:noProof/>
        </w:rPr>
        <w:br/>
        <w:t>Regulas (ES) Nr. 1303/2013 piemērošanas turpināšana 2021. plānošanas gadā un dažu Regulā (ES) Nr. 1303/2013 un (ES) Nr. 1310/2013 paredzētu laikposmu pagarināšana</w:t>
      </w:r>
    </w:p>
    <w:p>
      <w:pPr>
        <w:pStyle w:val="Titrearticle"/>
        <w:spacing w:after="0"/>
        <w:rPr>
          <w:noProof/>
        </w:rPr>
      </w:pPr>
      <w:r>
        <w:rPr>
          <w:noProof/>
        </w:rPr>
        <w:t>1. pants</w:t>
      </w:r>
    </w:p>
    <w:p>
      <w:pPr>
        <w:pStyle w:val="Titrearticle"/>
        <w:spacing w:before="0"/>
        <w:rPr>
          <w:noProof/>
        </w:rPr>
      </w:pPr>
      <w:r>
        <w:rPr>
          <w:noProof/>
        </w:rPr>
        <w:t xml:space="preserve">ELFLA atbalstīto programmu laikposma pagarināšana </w:t>
      </w:r>
    </w:p>
    <w:p>
      <w:pPr>
        <w:pStyle w:val="ManualNumPar1"/>
        <w:rPr>
          <w:noProof/>
        </w:rPr>
      </w:pPr>
      <w:r>
        <w:t>1.</w:t>
      </w:r>
      <w:r>
        <w:tab/>
      </w:r>
      <w:r>
        <w:rPr>
          <w:noProof/>
        </w:rPr>
        <w:t xml:space="preserve">Dalībvalstis, kuras finanšu resursu trūkuma dēļ varētu nespēt uzņemties jaunas juridiskas saistības saskaņā ar Regulu (ES) Nr. 1305/2013, attiecībā uz Eiropas Lauksaimniecības fonda lauku attīstībai (ELFLA) atbalstītajām programmām drīkst Regulas (ES) Nr. 1303/2013 26. panta 1. punktā noteikto laikposmu pagarināt līdz 2021. gada 31. decembrim. </w:t>
      </w:r>
    </w:p>
    <w:p>
      <w:pPr>
        <w:ind w:left="850"/>
        <w:rPr>
          <w:noProof/>
        </w:rPr>
      </w:pPr>
      <w:r>
        <w:rPr>
          <w:noProof/>
        </w:rPr>
        <w:t>Dalībvalstis, kuras nolemj izmantot pirmajā daļā paredzēto iespēju, par savu lēmumu Komisijai paziņo 10 dienu laikā pēc šīs regulas stāšanās spēkā. Ja dalībvalstis ir iesniegušas Regulas (ES) Nr. 1305/2013 6. pantā paredzēto reģionālo programmu kopumu, paziņojumā ietver arī informāciju par to, kuras no reģionālajām programmām jāpagarina, un par attiecīgo budžetu, kas Regulas (ES) Nr. 1305/2013 I pielikumā noteiktajā budžeta sadalījumā tālab iedalīts 2021. gadam.</w:t>
      </w:r>
    </w:p>
    <w:p>
      <w:pPr>
        <w:ind w:left="850"/>
        <w:rPr>
          <w:noProof/>
        </w:rPr>
      </w:pPr>
      <w:r>
        <w:rPr>
          <w:noProof/>
        </w:rPr>
        <w:t xml:space="preserve">Ja Komisija uzskata, ka saskaņā ar pirmo daļu izdarīts termiņa pagarinājums ir nepamatots, tā 6 nedēļu laikā pēc otrajā daļā minētā paziņojuma saņemšanas attiecīgi informē konkrēto dalībvalsti. </w:t>
      </w:r>
    </w:p>
    <w:p>
      <w:pPr>
        <w:ind w:left="850"/>
        <w:rPr>
          <w:noProof/>
        </w:rPr>
      </w:pPr>
      <w:r>
        <w:rPr>
          <w:noProof/>
        </w:rPr>
        <w:t>Otrajā daļā minētais paziņojums neskar vajadzību attiecībā uz 2021. gadu iesniegt Regulas (ES) Nr. 1305/2013 11. panta 1. punkta a) apakšpunktā minēto lūgumu grozīt lauku attīstības programmu. Šādos grozījumos ELFLA izdevumus par minētās regulas 59. panta 6. punkta pasākumiem cenšas saglabāt kopumā vismaz tādā pašā līmenī.</w:t>
      </w:r>
    </w:p>
    <w:p>
      <w:pPr>
        <w:pStyle w:val="ManualNumPar1"/>
        <w:rPr>
          <w:noProof/>
        </w:rPr>
      </w:pPr>
      <w:r>
        <w:t>2.</w:t>
      </w:r>
      <w:r>
        <w:tab/>
      </w:r>
      <w:r>
        <w:rPr>
          <w:noProof/>
        </w:rPr>
        <w:t xml:space="preserve">Ja dalībvalsts nav nolēmusi izmantot šā panta 1. punktā paredzēto iespēju, attiecībā uz Regulas (ES) Nr. 1305/2013 I pielikumā 2021. gadam noteikto sadalījumu, kas paliek neizmantots, piemēro Regulas (ES) .../... [regula, ar ko nosaka daudzgadu finanšu shēmu 2021.–2027. gadam] [8]. pantu. </w:t>
      </w:r>
    </w:p>
    <w:p>
      <w:pPr>
        <w:ind w:left="850"/>
        <w:rPr>
          <w:noProof/>
        </w:rPr>
      </w:pPr>
      <w:r>
        <w:rPr>
          <w:noProof/>
        </w:rPr>
        <w:t>Ja dalībvalsts nolemj 1. punktā paredzēto iespēju izmantot vienīgi attiecībā uz dažām reģionālajām programmām, šā punkta pirmajā daļā minētā sadalījuma summa ir tā, kura minētajai dalībvalstij 2021. gadam noteikta Regulas (ES) Nr. 1305/2013 I pielikumā un no kuras atņemti budžeta piešķīrumi, kas attiecībā uz pagarinātajām reģionālajām programmām paziņoti saskaņā ar 2. punkta pirmo daļu.</w:t>
      </w:r>
      <w:r>
        <w:rPr>
          <w:i/>
          <w:noProof/>
        </w:rPr>
        <w:t xml:space="preserve"> </w:t>
      </w:r>
    </w:p>
    <w:p>
      <w:pPr>
        <w:pStyle w:val="Titrearticle"/>
        <w:rPr>
          <w:noProof/>
        </w:rPr>
      </w:pPr>
      <w:r>
        <w:rPr>
          <w:noProof/>
        </w:rPr>
        <w:t>2. pants</w:t>
      </w:r>
    </w:p>
    <w:p>
      <w:pPr>
        <w:pStyle w:val="Titrearticle"/>
        <w:spacing w:before="0"/>
        <w:rPr>
          <w:noProof/>
        </w:rPr>
      </w:pPr>
      <w:r>
        <w:rPr>
          <w:noProof/>
        </w:rPr>
        <w:t>Regulas (ES) Nr. 1303/2013 piemērošanas turpināšana attiecībā uz programmām</w:t>
      </w:r>
    </w:p>
    <w:p>
      <w:pPr>
        <w:pStyle w:val="ManualNumPar1"/>
        <w:rPr>
          <w:noProof/>
        </w:rPr>
      </w:pPr>
      <w:r>
        <w:t>1.</w:t>
      </w:r>
      <w:r>
        <w:tab/>
      </w:r>
      <w:r>
        <w:rPr>
          <w:noProof/>
        </w:rPr>
        <w:t>Regulu (ES) Nr. 1303/2013 turpina piemērot programmām, kuras no ELFLA atbalsta 2014.–2020. gada plānošanas periodā, un programmām, attiecībā uz kurām dalībvalstis nolemj 2014.–2020. gada laikposmu pagarināt saskaņā ar šīs regulas 1. panta 1. punktu.</w:t>
      </w:r>
    </w:p>
    <w:p>
      <w:pPr>
        <w:pStyle w:val="ManualNumPar1"/>
        <w:rPr>
          <w:noProof/>
        </w:rPr>
      </w:pPr>
      <w:r>
        <w:t>2.</w:t>
      </w:r>
      <w:r>
        <w:tab/>
      </w:r>
      <w:r>
        <w:rPr>
          <w:noProof/>
        </w:rPr>
        <w:t xml:space="preserve">Attiecībā uz programmām, kurām dalībvalstis nolemj 2014.–2020. gada laikposmu pagarināt saskaņā ar šīs regulas 1. panta 1. punktu, Regulas (ES) Nr. 1303/2013 50. panta 1. punktā, </w:t>
      </w:r>
      <w:r>
        <w:rPr>
          <w:noProof/>
        </w:rPr>
        <w:lastRenderedPageBreak/>
        <w:t>51. panta 1. punktā, 57. panta 2. punktā, 65. panta 2.  un 4. punktā un 76. panta pirmajā daļā minētos laikposmus un termiņus pagarina par vienu gadu.</w:t>
      </w:r>
    </w:p>
    <w:p>
      <w:pPr>
        <w:pStyle w:val="ManualNumPar1"/>
        <w:rPr>
          <w:noProof/>
        </w:rPr>
      </w:pPr>
      <w:r>
        <w:t>3.</w:t>
      </w:r>
      <w:r>
        <w:tab/>
      </w:r>
      <w:r>
        <w:rPr>
          <w:noProof/>
        </w:rPr>
        <w:t>Ja dalībvalsts nolēmusi 2014.–2020. gada laikposmu pagarināt saskaņā ar šīs regulas 1. panta 1. punktu, attiecībā uz tā atbalsta īstenošanu, kas no ELFLA piešķirts par 2021. gadu, dalībvalstis un Komisija par stratēģisko dokumentu turpina izmantot partnerības nolīgumu, kurš 2014. gada 1. janvāra–2020. gada 31. decembra laikposmam izstrādāts saskaņā ar Regulu (ES) Nr. 1303/2013.</w:t>
      </w:r>
    </w:p>
    <w:p>
      <w:pPr>
        <w:pStyle w:val="ManualNumPar1"/>
        <w:rPr>
          <w:noProof/>
        </w:rPr>
      </w:pPr>
      <w:r>
        <w:t>4.</w:t>
      </w:r>
      <w:r>
        <w:tab/>
      </w:r>
      <w:r>
        <w:rPr>
          <w:noProof/>
        </w:rPr>
        <w:t xml:space="preserve">Galīgais termiņš, līdz kuram Komisijai jāsagatavo Regulas (ES) Nr. 1303/2013 57. panta 4. punktā paredzētais kopsavilkuma ziņojums, kurā sniegti ELFLA </w:t>
      </w:r>
      <w:r>
        <w:rPr>
          <w:i/>
          <w:iCs/>
          <w:noProof/>
        </w:rPr>
        <w:t>ex post</w:t>
      </w:r>
      <w:r>
        <w:rPr>
          <w:noProof/>
        </w:rPr>
        <w:t xml:space="preserve"> novērtējumu galvenie secinājumi, ir 2026. gada 31. decembris.</w:t>
      </w:r>
    </w:p>
    <w:p>
      <w:pPr>
        <w:pStyle w:val="Titrearticle"/>
        <w:rPr>
          <w:noProof/>
        </w:rPr>
      </w:pPr>
      <w:r>
        <w:rPr>
          <w:noProof/>
        </w:rPr>
        <w:t>3. pants</w:t>
      </w:r>
    </w:p>
    <w:p>
      <w:pPr>
        <w:pStyle w:val="Titrearticle"/>
        <w:spacing w:before="0"/>
        <w:rPr>
          <w:noProof/>
        </w:rPr>
      </w:pPr>
      <w:r>
        <w:rPr>
          <w:noProof/>
        </w:rPr>
        <w:t>Tiesības uz atbalstu par dažiem izdevumu veidiem 2021. gadā</w:t>
      </w:r>
    </w:p>
    <w:p>
      <w:pPr>
        <w:spacing w:before="0" w:after="0"/>
        <w:rPr>
          <w:noProof/>
        </w:rPr>
      </w:pPr>
      <w:r>
        <w:rPr>
          <w:noProof/>
        </w:rPr>
        <w:t xml:space="preserve">Neskarot Regulas (ES) Nr. 1303/2013 65. panta 2. punktu, šīs regulas 2. panta 2. punktu un Regulas (ES) Nr. 1306/2013 38. pantu, par izdevumiem, kas minēti Regulas (ES) Nr. 1310/2013 3. panta 1. punktā un Deleģētās regulas (ES) Nr. 807/2014 16. pantā, var pretendēt uz ELFLA ieguldījumu no 2021. gada piešķīruma tām ELFLA programmām, par kurām dalībvalstis saskaņā ar šīs regulas 1. panta 1. punktu nolemj pagarināt 2014.–2020. gada laikposmu, bet jāievēro šādi nosacījumi: </w:t>
      </w:r>
    </w:p>
    <w:p>
      <w:pPr>
        <w:pStyle w:val="Point1"/>
        <w:rPr>
          <w:noProof/>
        </w:rPr>
      </w:pPr>
      <w:r>
        <w:t>(a)</w:t>
      </w:r>
      <w:r>
        <w:tab/>
      </w:r>
      <w:r>
        <w:rPr>
          <w:noProof/>
        </w:rPr>
        <w:t>šādi izdevumi ir paredzēti attiecīgajā lauku attīstības programmā 2021. gadam;</w:t>
      </w:r>
    </w:p>
    <w:p>
      <w:pPr>
        <w:pStyle w:val="Point1"/>
        <w:rPr>
          <w:noProof/>
        </w:rPr>
      </w:pPr>
      <w:r>
        <w:t>(b)</w:t>
      </w:r>
      <w:r>
        <w:tab/>
      </w:r>
      <w:r>
        <w:rPr>
          <w:noProof/>
        </w:rPr>
        <w:t xml:space="preserve">piemēro attiecīgā pasākuma ELFLA ieguldījuma likmi saskaņā ar Regulu (ES) Nr. 1305/2013, atbilstoši Regulas (ES) Nr. 1310/2013 I pielikumam un Deleģētās regulas (ES) Nr. 807/2014 I pielikumam; </w:t>
      </w:r>
    </w:p>
    <w:p>
      <w:pPr>
        <w:pStyle w:val="Point1"/>
        <w:rPr>
          <w:noProof/>
        </w:rPr>
      </w:pPr>
      <w:r>
        <w:t>(c)</w:t>
      </w:r>
      <w:r>
        <w:tab/>
      </w:r>
      <w:r>
        <w:rPr>
          <w:noProof/>
        </w:rPr>
        <w:t>Regulas (ES) Nr. 1306/2013 67. panta 2. punktā minētā sistēma attiecas uz juridiskajām saistībām, ko uzņemas saskaņā ar pasākumiem, kuri atbilst atbalstam, kas piešķirts saskaņā ar minētās regulas 21. panta 1. punkta a) un b) apakšpunktu un 28.–31., 33., 34. un 40. pantu, un attiecīgās darbības ir skaidri noteiktas;</w:t>
      </w:r>
    </w:p>
    <w:p>
      <w:pPr>
        <w:pStyle w:val="Point1"/>
        <w:rPr>
          <w:noProof/>
        </w:rPr>
      </w:pPr>
      <w:r>
        <w:t>(d)</w:t>
      </w:r>
      <w:r>
        <w:tab/>
      </w:r>
      <w:r>
        <w:rPr>
          <w:noProof/>
        </w:rPr>
        <w:t xml:space="preserve">maksājumi par juridiskajām saistībām, kas minētas c) punktā, tiek veikti Regulas (ES) Nr. 1306/2013 75. pantā noteiktajā termiņā. </w:t>
      </w:r>
    </w:p>
    <w:p>
      <w:pPr>
        <w:pStyle w:val="ChapterTitle"/>
        <w:spacing w:after="0"/>
        <w:rPr>
          <w:noProof/>
        </w:rPr>
      </w:pPr>
      <w:r>
        <w:rPr>
          <w:noProof/>
        </w:rPr>
        <w:t>II nodaļa</w:t>
      </w:r>
      <w:r>
        <w:rPr>
          <w:noProof/>
        </w:rPr>
        <w:br/>
        <w:t>Regulas (ES) [JAUNĀ KNR] 25.–28. panta piemērošana 2021. plānošanas gadā</w:t>
      </w:r>
    </w:p>
    <w:p>
      <w:pPr>
        <w:pStyle w:val="Titrearticle"/>
        <w:rPr>
          <w:noProof/>
        </w:rPr>
      </w:pPr>
      <w:r>
        <w:rPr>
          <w:noProof/>
        </w:rPr>
        <w:t>4. pants</w:t>
      </w:r>
    </w:p>
    <w:p>
      <w:pPr>
        <w:pStyle w:val="Titrearticle"/>
        <w:spacing w:before="0"/>
        <w:rPr>
          <w:noProof/>
        </w:rPr>
      </w:pPr>
      <w:r>
        <w:rPr>
          <w:noProof/>
        </w:rPr>
        <w:t>Sabiedrības virzīta vietējā attīstība</w:t>
      </w:r>
    </w:p>
    <w:p>
      <w:pPr>
        <w:rPr>
          <w:noProof/>
        </w:rPr>
      </w:pPr>
      <w:r>
        <w:rPr>
          <w:noProof/>
        </w:rPr>
        <w:t>Attiecībā uz programmām, ko 2014.–2020. gada laikposmā atbalsta ELFLA, un programmām, par kurām dalībvalstis saskaņā ar šīs regulas 1. panta 1. punktu nolemj pagarināt 2014.–2020. gada laikposmu, ELFLA var atbalstīt no vairākiem fondiem finansētu sabiedrības virzītu vietējo attīstību saskaņā ar Regulas (ES) [JAUNĀ KNR] 25.–28. pantu.</w:t>
      </w:r>
    </w:p>
    <w:p>
      <w:pPr>
        <w:pStyle w:val="ChapterTitle"/>
        <w:spacing w:after="0"/>
        <w:rPr>
          <w:noProof/>
        </w:rPr>
      </w:pPr>
      <w:r>
        <w:rPr>
          <w:noProof/>
        </w:rPr>
        <w:lastRenderedPageBreak/>
        <w:t>III nodaļa</w:t>
      </w:r>
      <w:r>
        <w:rPr>
          <w:noProof/>
        </w:rPr>
        <w:br/>
        <w:t>Maksājumtiesības attiecībā uz tiešajiem maksājumiem lauksaimniekiem</w:t>
      </w:r>
    </w:p>
    <w:p>
      <w:pPr>
        <w:pStyle w:val="Titrearticle"/>
        <w:rPr>
          <w:noProof/>
        </w:rPr>
      </w:pPr>
      <w:r>
        <w:rPr>
          <w:noProof/>
        </w:rPr>
        <w:t>5. pants</w:t>
      </w:r>
    </w:p>
    <w:p>
      <w:pPr>
        <w:pStyle w:val="Titrearticle"/>
        <w:spacing w:before="0"/>
        <w:rPr>
          <w:i w:val="0"/>
          <w:noProof/>
        </w:rPr>
      </w:pPr>
      <w:r>
        <w:rPr>
          <w:noProof/>
        </w:rPr>
        <w:t>Galīgās maksājumtiesības</w:t>
      </w:r>
    </w:p>
    <w:p>
      <w:pPr>
        <w:pStyle w:val="ManualNumPar1"/>
        <w:rPr>
          <w:noProof/>
        </w:rPr>
      </w:pPr>
      <w:r>
        <w:t>1.</w:t>
      </w:r>
      <w:r>
        <w:tab/>
      </w:r>
      <w:r>
        <w:rPr>
          <w:noProof/>
        </w:rPr>
        <w:t xml:space="preserve">Maksājumtiesības, kas lauksaimniekiem piešķirtas pirms 2020. gada 1. janvāra, par likumīgām un pareizām uzskata no 2021. gada 1. janvāra. To tiesību vērtība, kuras uzskata par likumīgām un pareizām, ir 2020. kalendārā gada vērtība, kas ir spēkā 2020. gada 31. decembrī. Tas neskar attiecīgos Savienības tiesību aktu pantus, konkrētāk, Regulas (ES) Nr. 1307/2013 22. panta 5. punktu un 25. panta 12. punktu, par maksājumtiesību vērtību 2021. kalendārajā gadā un turpmāk. </w:t>
      </w:r>
    </w:p>
    <w:p>
      <w:pPr>
        <w:pStyle w:val="ManualNumPar1"/>
        <w:rPr>
          <w:noProof/>
        </w:rPr>
      </w:pPr>
      <w:r>
        <w:t>2.</w:t>
      </w:r>
      <w:r>
        <w:tab/>
      </w:r>
      <w:r>
        <w:rPr>
          <w:noProof/>
        </w:rPr>
        <w:t>Maksājumtiesībām, kas lauksaimniekiem piešķirtas, pamatojoties uz pieteikumiem, kuros ir faktu kļūdas, 1. punktu nepiemēro, izņemot gadījumus, kad var pamatoti uzskatīt, ka lauksaimnieks kļūdu atklāt nevarēja.</w:t>
      </w:r>
    </w:p>
    <w:p>
      <w:pPr>
        <w:pStyle w:val="ManualNumPar1"/>
        <w:rPr>
          <w:noProof/>
        </w:rPr>
      </w:pPr>
      <w:r>
        <w:t>3.</w:t>
      </w:r>
      <w:r>
        <w:tab/>
      </w:r>
      <w:r>
        <w:rPr>
          <w:noProof/>
        </w:rPr>
        <w:t xml:space="preserve">Šā panta 1. punkts neskar Komisijas pilnvaras pieņemt Regulas (EK) Nr. 1306/2013 52. pantā minētus lēmumus par izdevumiem, kas radušies saistībā ar maksājumiem, kuri piešķirti attiecībā uz jebkuru kalendāro gadu līdz 2020. gadam (ieskaitot). </w:t>
      </w:r>
    </w:p>
    <w:p>
      <w:pPr>
        <w:pStyle w:val="ChapterTitle"/>
        <w:spacing w:after="0"/>
        <w:rPr>
          <w:noProof/>
        </w:rPr>
      </w:pPr>
      <w:r>
        <w:rPr>
          <w:noProof/>
        </w:rPr>
        <w:t>IV nodaļa</w:t>
      </w:r>
      <w:r>
        <w:rPr>
          <w:noProof/>
        </w:rPr>
        <w:br/>
        <w:t xml:space="preserve">Pārejas noteikumi attiecībā uz Regulu (ES) Nr. 1305/2013, (ES) Nr. 1306/2013 un (ES) Nr. 1308/2013 un KLP stratēģisko plānu īstenošanu </w:t>
      </w:r>
    </w:p>
    <w:p>
      <w:pPr>
        <w:pStyle w:val="SectionTitle"/>
        <w:spacing w:after="0"/>
        <w:rPr>
          <w:noProof/>
        </w:rPr>
      </w:pPr>
      <w:r>
        <w:rPr>
          <w:noProof/>
        </w:rPr>
        <w:t>1. iedaļa</w:t>
      </w:r>
      <w:r>
        <w:rPr>
          <w:noProof/>
        </w:rPr>
        <w:br/>
        <w:t>Lauku attīstība</w:t>
      </w:r>
    </w:p>
    <w:p>
      <w:pPr>
        <w:pStyle w:val="Titrearticle"/>
        <w:rPr>
          <w:noProof/>
        </w:rPr>
      </w:pPr>
      <w:r>
        <w:rPr>
          <w:noProof/>
        </w:rPr>
        <w:t>6. pants</w:t>
      </w:r>
    </w:p>
    <w:p>
      <w:pPr>
        <w:pStyle w:val="Titrearticle"/>
        <w:spacing w:before="0"/>
        <w:rPr>
          <w:noProof/>
        </w:rPr>
      </w:pPr>
      <w:r>
        <w:rPr>
          <w:noProof/>
        </w:rPr>
        <w:t xml:space="preserve">Tiesības uz atbalstu par dažiem izdevumu veidiem KLP stratēģisko plānu periodā </w:t>
      </w:r>
    </w:p>
    <w:p>
      <w:pPr>
        <w:pStyle w:val="ManualNumPar1"/>
        <w:rPr>
          <w:noProof/>
        </w:rPr>
      </w:pPr>
      <w:r>
        <w:t>1.</w:t>
      </w:r>
      <w:r>
        <w:tab/>
      </w:r>
      <w:r>
        <w:rPr>
          <w:noProof/>
        </w:rPr>
        <w:t>Par izdevumiem, kas izriet no juridiskām saistībām pret saņēmējiem atbilstoši pasākumiem, kuri minēti Padomes Regulas (EK) Nr. 1698/2005</w:t>
      </w:r>
      <w:r>
        <w:rPr>
          <w:rStyle w:val="FootnoteReference0"/>
          <w:noProof/>
        </w:rPr>
        <w:footnoteReference w:id="19"/>
      </w:r>
      <w:r>
        <w:rPr>
          <w:noProof/>
        </w:rPr>
        <w:t xml:space="preserve"> 23., 39. un 43. pantā un kuri saņem atbalstu saskaņā ar Regulu (ES) Nr. 1305/2013, joprojām ir tiesības pretendēt uz ELFLA ieguldījumu 2022.–2027. gada laikposmā, uz ko attiecas KLP stratēģiskais plāns, bet jāievēro šādi nosacījumi:</w:t>
      </w:r>
    </w:p>
    <w:p>
      <w:pPr>
        <w:pStyle w:val="Point1"/>
        <w:rPr>
          <w:noProof/>
        </w:rPr>
      </w:pPr>
      <w:r>
        <w:t>(a)</w:t>
      </w:r>
      <w:r>
        <w:tab/>
      </w:r>
      <w:r>
        <w:rPr>
          <w:noProof/>
        </w:rPr>
        <w:t>šādi izdevumi ir paredzēti attiecīgajā KLP stratēģiskajā plānā 2022.–2027. gadam saskaņā ar Regulu (ES) [KLP plāna regula] un atbilst Regulai (ES) [HzR];</w:t>
      </w:r>
    </w:p>
    <w:p>
      <w:pPr>
        <w:pStyle w:val="Point1"/>
        <w:rPr>
          <w:noProof/>
        </w:rPr>
      </w:pPr>
      <w:r>
        <w:t>(b)</w:t>
      </w:r>
      <w:r>
        <w:tab/>
      </w:r>
      <w:r>
        <w:rPr>
          <w:noProof/>
        </w:rPr>
        <w:t>piemēro ELFLA ieguldījuma likmi, kas atbilstošajai intervencei noteikta KLP stratēģiskajā plānā saskaņā ar Regulu (ES) [KLP stratēģisko plānu regula]; ja nav atbilstošās intervences, piemēro ELFLA ieguldījuma likmi, kas KLP stratēģiskajā plānā noteikta saskaņā ar Regulas (ES) Nr. [KLP stratēģisko plānu regula] 85. panta 2. punkta d) apakšpunktu;</w:t>
      </w:r>
    </w:p>
    <w:p>
      <w:pPr>
        <w:pStyle w:val="Point1"/>
        <w:rPr>
          <w:noProof/>
        </w:rPr>
      </w:pPr>
      <w:r>
        <w:t>(c)</w:t>
      </w:r>
      <w:r>
        <w:tab/>
      </w:r>
      <w:r>
        <w:rPr>
          <w:noProof/>
        </w:rPr>
        <w:t xml:space="preserve">Regulas (ES) [HzR] 63. panta 2. punktā minētā integrētā sistēma attiecas uz juridiskajām saistībām, ko uzņemas saskaņā ar pasākumiem, kuri atbilst regulas (ES) </w:t>
      </w:r>
      <w:r>
        <w:rPr>
          <w:noProof/>
        </w:rPr>
        <w:lastRenderedPageBreak/>
        <w:t>[KLP stratēģisko plānu regula] III sadaļas II un IV nodaļā minētajiem platībbāzētajiem un dzīvniekbāzētajiem intervences pasākumiem, un attiecīgās darbības ir skaidri noteiktas;</w:t>
      </w:r>
    </w:p>
    <w:p>
      <w:pPr>
        <w:pStyle w:val="Point1"/>
        <w:rPr>
          <w:noProof/>
        </w:rPr>
      </w:pPr>
      <w:r>
        <w:t>(d)</w:t>
      </w:r>
      <w:r>
        <w:tab/>
      </w:r>
      <w:r>
        <w:rPr>
          <w:noProof/>
        </w:rPr>
        <w:t xml:space="preserve">maksājumi par juridiskajām saistībām, kas minētas c) apakšpunktā, tiek veikti Regulas (ES) [HzR] 42. pantā noteiktajā termiņā. </w:t>
      </w:r>
    </w:p>
    <w:p>
      <w:pPr>
        <w:pStyle w:val="ManualNumPar1"/>
        <w:rPr>
          <w:noProof/>
        </w:rPr>
      </w:pPr>
      <w:r>
        <w:t>2.</w:t>
      </w:r>
      <w:r>
        <w:tab/>
      </w:r>
      <w:r>
        <w:rPr>
          <w:noProof/>
        </w:rPr>
        <w:t>Par izdevumiem, kas izriet no juridiskām saistībām pret saņēmējiem atbilstoši daudzgadu pasākumiem, kuri minēti Regulas (ES) Nr. 1305/2013 28., 29., 33. un 34. pantā, un izdevumiem, kas izriet no juridiskām saistībām laikposmā, kurš turpinās pēc 2024. gada 1. janvāra, vai – dalībvalstīs, kuras saskaņā ar šīs regulas 1. panta 1. punktu nolēmušas pagarināt 2014.–2020. gada laikposmu,– pēc 2025. gada 1. janvāra, atbilstoši Regulas (ES) Nr. 1305/2013 14.–18. pantam, 19. panta 1. punkta a) un b) apakšpunktam, 20. pantam, 22.–27., 35., 38., 39. un 39.a pantam un Regulas (ES) Nr. 1303/2013 35. pantam ir tiesības pretendēt uz ELFLA ieguldījumu 2022.–2027. gada laikposmā, uz ko attiecas KLP stratēģiskais plāns, bet jāievēro šādi nosacījumi:</w:t>
      </w:r>
    </w:p>
    <w:p>
      <w:pPr>
        <w:pStyle w:val="Point1"/>
        <w:rPr>
          <w:noProof/>
        </w:rPr>
      </w:pPr>
      <w:r>
        <w:t>(a)</w:t>
      </w:r>
      <w:r>
        <w:tab/>
      </w:r>
      <w:r>
        <w:rPr>
          <w:noProof/>
        </w:rPr>
        <w:t xml:space="preserve">šādi izdevumi ir paredzēti attiecīgajā KLP stratēģiskajā plānā 2022.–2027. gadam saskaņā ar Regulu (ES) [KLP stratēģisko plānu regula] un atbilst Regulai (ES) [HzR]; </w:t>
      </w:r>
    </w:p>
    <w:p>
      <w:pPr>
        <w:pStyle w:val="Point1"/>
        <w:rPr>
          <w:noProof/>
        </w:rPr>
      </w:pPr>
      <w:r>
        <w:t>(b)</w:t>
      </w:r>
      <w:r>
        <w:tab/>
      </w:r>
      <w:r>
        <w:rPr>
          <w:noProof/>
        </w:rPr>
        <w:t xml:space="preserve">piemēro ELFLA ieguldījuma likmi, kas atbilstošajai intervencei noteikta KLP stratēģiskajā plānā saskaņā ar Regulu (ES) [KLP stratēģisko plānu regula]; </w:t>
      </w:r>
    </w:p>
    <w:p>
      <w:pPr>
        <w:pStyle w:val="Point1"/>
        <w:rPr>
          <w:noProof/>
        </w:rPr>
      </w:pPr>
      <w:r>
        <w:t>(c)</w:t>
      </w:r>
      <w:r>
        <w:tab/>
      </w:r>
      <w:r>
        <w:rPr>
          <w:noProof/>
        </w:rPr>
        <w:t>Regulas (ES) [HzR] 63. panta 2. punktā minētā integrētā sistēma attiecas uz juridiskajām saistībām, ko uzņemas saskaņā ar pasākumiem, kuri atbilst regulas (ES) [KLP stratēģisko plānu regula] III sadaļas II un IV nodaļā minētajiem platībbāzētajiem un dzīvniekbāzētajiem intervences pasākumiem, un attiecīgās darbības ir skaidri noteiktas;</w:t>
      </w:r>
    </w:p>
    <w:p>
      <w:pPr>
        <w:pStyle w:val="Point1"/>
        <w:rPr>
          <w:noProof/>
        </w:rPr>
      </w:pPr>
      <w:r>
        <w:t>(d)</w:t>
      </w:r>
      <w:r>
        <w:tab/>
      </w:r>
      <w:r>
        <w:rPr>
          <w:noProof/>
        </w:rPr>
        <w:t>maksājumi par juridiskajām saistībām, kas minētas c) apakšpunktā, tiek veikti Regulas (ES) [HzR] 42. pantā noteiktajā termiņā.</w:t>
      </w:r>
    </w:p>
    <w:p>
      <w:pPr>
        <w:pStyle w:val="SectionTitle"/>
        <w:spacing w:after="0"/>
        <w:rPr>
          <w:noProof/>
        </w:rPr>
      </w:pPr>
      <w:r>
        <w:rPr>
          <w:noProof/>
        </w:rPr>
        <w:t>2. iedaļa</w:t>
      </w:r>
      <w:r>
        <w:rPr>
          <w:noProof/>
        </w:rPr>
        <w:br/>
        <w:t>Regulas (ES) Nr. 1308/2013 29.–60. pantā minētās atbalsta shēmas</w:t>
      </w:r>
    </w:p>
    <w:p>
      <w:pPr>
        <w:pStyle w:val="Titrearticle"/>
        <w:rPr>
          <w:noProof/>
        </w:rPr>
      </w:pPr>
      <w:r>
        <w:rPr>
          <w:noProof/>
        </w:rPr>
        <w:t>7. pants</w:t>
      </w:r>
    </w:p>
    <w:p>
      <w:pPr>
        <w:pStyle w:val="Titrearticle"/>
        <w:spacing w:before="0"/>
        <w:rPr>
          <w:noProof/>
        </w:rPr>
      </w:pPr>
      <w:r>
        <w:rPr>
          <w:noProof/>
        </w:rPr>
        <w:t>Pagarināta Regulas (ES) Nr. 1308/2013 un Regulas (ES) Nr. 1306/2013 29.–60. pantā minēto atbalsta shēmu piemērošana</w:t>
      </w:r>
    </w:p>
    <w:p>
      <w:pPr>
        <w:pStyle w:val="ManualNumPar1"/>
        <w:rPr>
          <w:noProof/>
        </w:rPr>
      </w:pPr>
      <w:r>
        <w:t>1.</w:t>
      </w:r>
      <w:r>
        <w:tab/>
      </w:r>
      <w:r>
        <w:rPr>
          <w:noProof/>
        </w:rPr>
        <w:t xml:space="preserve">Regulas (ES) Nr. 1308/2013 29. pantā minētās darba programmas olīveļļas un galda olīvu nozares atbalstam, kas izstrādātas laikposmam no 2018. gada 1. aprīļa līdz 2021. gada 31. martam, tiek pagarinātas un beidzas 2021. gada 31. decembrī. Attiecīgās ražotāju organizācijas, kas atzītas saskaņā ar Regulas (ES) Nr. 1308/2013 152. pantu, attiecīgās ražotāju organizāciju apvienības, kas atzītas saskaņā ar minētās regulas 156. pantu, un attiecīgās starpnozaru organizācijas, kas atzītas saskaņā ar minētās regulas 157. pantu, savas darba programmas groza, lai ņemtu vērā šo pagarinājumu. Par grozītajām darba programmām Komisijai paziņo līdz 2020. gada 31. decembrim. </w:t>
      </w:r>
    </w:p>
    <w:p>
      <w:pPr>
        <w:pStyle w:val="ManualNumPar1"/>
        <w:rPr>
          <w:noProof/>
        </w:rPr>
      </w:pPr>
      <w:r>
        <w:t>2.</w:t>
      </w:r>
      <w:r>
        <w:tab/>
      </w:r>
      <w:r>
        <w:rPr>
          <w:noProof/>
        </w:rPr>
        <w:t xml:space="preserve">Atzīta ražotāju organizācija augļu un dārzeņu nozarē, kurai ir Regulas (ES) Nr. 1308/2013 33. panta minētā darbības programma, ko dalībvalsts apstiprinājusi laikposmam, kas turpinās pēc 2021. gada 31. decembra, līdz 2021. gada 15. septembrim iesniedz šai dalībvalstij pieprasījumu, lai tās darbības programma: </w:t>
      </w:r>
    </w:p>
    <w:p>
      <w:pPr>
        <w:pStyle w:val="Point1"/>
        <w:rPr>
          <w:noProof/>
        </w:rPr>
      </w:pPr>
      <w:r>
        <w:t>(a)</w:t>
      </w:r>
      <w:r>
        <w:tab/>
      </w:r>
      <w:r>
        <w:rPr>
          <w:noProof/>
        </w:rPr>
        <w:t xml:space="preserve">tiktu grozīta, lai izpildītu Regulas (ES) [KLP stratēģisko plānu regula] prasības, vai </w:t>
      </w:r>
    </w:p>
    <w:p>
      <w:pPr>
        <w:pStyle w:val="Point1"/>
        <w:rPr>
          <w:noProof/>
        </w:rPr>
      </w:pPr>
      <w:r>
        <w:lastRenderedPageBreak/>
        <w:t>(b)</w:t>
      </w:r>
      <w:r>
        <w:tab/>
      </w:r>
      <w:r>
        <w:rPr>
          <w:noProof/>
        </w:rPr>
        <w:t xml:space="preserve">tiktu aizstāta ar jaunu darbības programmu, kas apstiprināta saskaņā ar Regulu (ES) [KLP stratēģisko plānu regula]. </w:t>
      </w:r>
    </w:p>
    <w:p>
      <w:pPr>
        <w:ind w:left="850"/>
        <w:rPr>
          <w:noProof/>
        </w:rPr>
      </w:pPr>
      <w:r>
        <w:rPr>
          <w:noProof/>
        </w:rPr>
        <w:t>Ja atzīta ražotāju organizācija šādu pieprasījumu līdz 2021. gada 15. septembrim neiesniedz, tās darbības programma, kas apstiprināta saskaņā ar Regulu (ES) Nr. 1308/2013, beidzas 2021. gada 31. decembrī.</w:t>
      </w:r>
    </w:p>
    <w:p>
      <w:pPr>
        <w:pStyle w:val="ManualNumPar1"/>
        <w:rPr>
          <w:noProof/>
        </w:rPr>
      </w:pPr>
      <w:r>
        <w:t>3.</w:t>
      </w:r>
      <w:r>
        <w:tab/>
      </w:r>
      <w:r>
        <w:rPr>
          <w:noProof/>
        </w:rPr>
        <w:t>Vīna nozares atbalsta programmas, kas minētas Regulas (ES) Nr. 1308/2013 40. pantā, beidzas 2023. gada 15. oktobrī. Regulas (ES) Nr. 1308/2013 39.–54. pantu pēc 2021. gada 31. decembra turpina piemērot attiecībā uz izdevumiem un maksājumiem par darbībām, kuras atbilstoši minētajai regulai īstenotas pirms 2023. gada 16. oktobra saskaņā ar atbalsta shēmu, kas minēta tās pašas regulas 39.–52. pantā.</w:t>
      </w:r>
    </w:p>
    <w:p>
      <w:pPr>
        <w:pStyle w:val="ManualNumPar1"/>
        <w:rPr>
          <w:noProof/>
        </w:rPr>
      </w:pPr>
      <w:r>
        <w:t>4.</w:t>
      </w:r>
      <w:r>
        <w:tab/>
      </w:r>
      <w:r>
        <w:rPr>
          <w:noProof/>
        </w:rPr>
        <w:t xml:space="preserve">Valstu programmas biškopības nozarē, kas minētas Regulas (ES) Nr. 1308/2013 55. pantā, beidzas 2022. gada 31. jūlijā. Regulas (ES) Nr. 1308/2013 55., 56. un 57. pantu pēc 2021. gada 31. decembra turpina piemērot attiecībā uz izdevumiem un maksājumiem par darbībām, kuras atbilstoši  minētajai regulai īstenotas pirms 2022. gada 1. augusta saskaņā ar atbalsta shēmu, kas minēta tās pašas regulas 55. pantā.        </w:t>
      </w:r>
    </w:p>
    <w:p>
      <w:pPr>
        <w:pStyle w:val="ManualNumPar1"/>
        <w:rPr>
          <w:noProof/>
        </w:rPr>
      </w:pPr>
      <w:r>
        <w:t>5.</w:t>
      </w:r>
      <w:r>
        <w:tab/>
      </w:r>
      <w:r>
        <w:rPr>
          <w:noProof/>
        </w:rPr>
        <w:t>No dienas, kad KLP stratēģiskais plāns iegūst juridisku spēku saskaņā ar Regulas (ES).../... [KLP stratēģisko plānu regula] 106. panta 7. punktu, to maksājumu summa, kas veikti finanšu gadā katrā no atbalsta shēmām, kas minētas Regulas (ES) Nr. 1308/2013 29.–31. pantā un 39.–60. pantā, un katrā no nozariskās intervences veidiem, kas minēti Regulas (ES).../... [KLP stratēģisko plānu regula] 39. panta b)–e) punktā, nepārsniedz katram finanšu gadam noteiktos finanšu piešķīrumus katram nozariskās intervences veidam, kas minēts Regulas (ES).../... [KLP stratēģisko plānu regula] 39. panta b)–e) punktā.</w:t>
      </w:r>
    </w:p>
    <w:p>
      <w:pPr>
        <w:pStyle w:val="ManualNumPar1"/>
        <w:rPr>
          <w:noProof/>
        </w:rPr>
      </w:pPr>
      <w:r>
        <w:t>6.</w:t>
      </w:r>
      <w:r>
        <w:tab/>
      </w:r>
      <w:r>
        <w:rPr>
          <w:noProof/>
        </w:rPr>
        <w:t xml:space="preserve">Attiecībā uz atbalsta shēmām, kas minētas šā panta 3. un 4. punktā, Regulas (ES) Nr. 1306/2013 7. panta 3. punktu, 9., 21., 43., 51., 52., 54., 59., 67., 68., 70.–75., 77., 91.–97., 99., 100. pantu, 102. panta 2. punktu, 110. un 111. pantu un deleģēto un īstenošanas aktu noteikumus, kuri attiecas uz minētajiem pantiem, pēc 2021. gada 31. decembra turpina piemērot attiecībā uz izdevumiem un maksājumiem par darbībām, kuras saskaņā ar Regulu (ES) Nr. 1308/2013 īstenotas pēc minētā datuma un līdz šā panta 3. un 4. punktā minēto atbalsta shēmu beigām. </w:t>
      </w:r>
    </w:p>
    <w:p>
      <w:pPr>
        <w:pStyle w:val="PartTitle"/>
        <w:rPr>
          <w:noProof/>
        </w:rPr>
      </w:pPr>
      <w:r>
        <w:rPr>
          <w:noProof/>
        </w:rPr>
        <w:lastRenderedPageBreak/>
        <w:t>II sadaļa. Grozījumi</w:t>
      </w:r>
    </w:p>
    <w:p>
      <w:pPr>
        <w:pStyle w:val="Titrearticle"/>
        <w:rPr>
          <w:noProof/>
        </w:rPr>
      </w:pPr>
      <w:r>
        <w:rPr>
          <w:noProof/>
        </w:rPr>
        <w:t>8. pants</w:t>
      </w:r>
    </w:p>
    <w:p>
      <w:pPr>
        <w:pStyle w:val="Titrearticle"/>
        <w:spacing w:before="0"/>
        <w:rPr>
          <w:noProof/>
        </w:rPr>
      </w:pPr>
      <w:r>
        <w:rPr>
          <w:noProof/>
        </w:rPr>
        <w:t>Grozījumi Regulā (ES) Nr. 1305/2013</w:t>
      </w:r>
    </w:p>
    <w:p>
      <w:pPr>
        <w:rPr>
          <w:noProof/>
        </w:rPr>
      </w:pPr>
      <w:r>
        <w:rPr>
          <w:noProof/>
        </w:rPr>
        <w:t>Regulu (ES) Nr. 1305/2013 groza šādi:</w:t>
      </w:r>
    </w:p>
    <w:p>
      <w:pPr>
        <w:pStyle w:val="Point0"/>
        <w:rPr>
          <w:noProof/>
        </w:rPr>
      </w:pPr>
      <w:r>
        <w:t>(1)</w:t>
      </w:r>
      <w:r>
        <w:tab/>
      </w:r>
      <w:r>
        <w:rPr>
          <w:noProof/>
        </w:rPr>
        <w:t>regulas 28. panta 5. punktā pievieno šādu otro daļu:</w:t>
      </w:r>
    </w:p>
    <w:p>
      <w:pPr>
        <w:pStyle w:val="Text1"/>
        <w:rPr>
          <w:noProof/>
        </w:rPr>
      </w:pPr>
      <w:r>
        <w:rPr>
          <w:noProof/>
        </w:rPr>
        <w:t>“Attiecībā uz jaunajām saistībām, ko uzņemas no 2021. gada, dalībvalstis savās lauku attīstības programmās nosaka īsāku laikposmu, no viena līdz trim gadiem. Ja dalībvalstis saskaņā ar pirmo daļu paredz saistību ikgadēju pagarināšanu pēc sākotnējā laikposma beigām, no 2021. gada pagarinājums nepārsniedz vienu gadu. No 2021. gada attiecībā uz jaunām saistībām, kas seko uzreiz pēc sākotnējā laikposmā īstenotajām saistībām, dalībvalstis savās lauku attīstības programmās nosaka viena gada periodu.”;</w:t>
      </w:r>
    </w:p>
    <w:p>
      <w:pPr>
        <w:pStyle w:val="Point0"/>
        <w:rPr>
          <w:noProof/>
        </w:rPr>
      </w:pPr>
      <w:r>
        <w:t>(2)</w:t>
      </w:r>
      <w:r>
        <w:tab/>
      </w:r>
      <w:r>
        <w:rPr>
          <w:noProof/>
        </w:rPr>
        <w:t>regulas 29. panta 3. punktā pievieno šādu otro daļu:</w:t>
      </w:r>
    </w:p>
    <w:p>
      <w:pPr>
        <w:pStyle w:val="Text1"/>
        <w:rPr>
          <w:noProof/>
        </w:rPr>
      </w:pPr>
      <w:r>
        <w:rPr>
          <w:noProof/>
        </w:rPr>
        <w:t>“Attiecībā uz jaunajām saistībām, ko uzņemas no 2021. gada, dalībvalstis savās lauku attīstības programmās nosaka īsāku laikposmu, no viena līdz trim gadiem. Ja dalībvalstis saskaņā ar pirmo daļu paredz ikgadēju bioloģiskās lauksaimniecības saglabāšanas saistību pagarināšanu pēc sākotnējā laikposma beigām, no 2021. gada pagarinājums nepārsniedz vienu gadu. No 2021. gada tādām jaunām saistībām, kas attiecas uz saglabāšanu un kas seko uzreiz pēc sākotnējā laikposmā īstenotajām saistībām, dalībvalstis savās lauku attīstības programmās nosaka viena gada periodu.”;</w:t>
      </w:r>
    </w:p>
    <w:p>
      <w:pPr>
        <w:pStyle w:val="Point0"/>
        <w:rPr>
          <w:noProof/>
        </w:rPr>
      </w:pPr>
      <w:r>
        <w:t>(3)</w:t>
      </w:r>
      <w:r>
        <w:tab/>
      </w:r>
      <w:r>
        <w:rPr>
          <w:noProof/>
        </w:rPr>
        <w:t>regulas 33. panta 2. punktam pievieno šādu trešo daļu:</w:t>
      </w:r>
    </w:p>
    <w:p>
      <w:pPr>
        <w:pStyle w:val="Text1"/>
        <w:rPr>
          <w:noProof/>
        </w:rPr>
      </w:pPr>
      <w:r>
        <w:rPr>
          <w:noProof/>
        </w:rPr>
        <w:t>“Attiecībā uz jaunām saistībām, ko uzņemas no 2021. gada, dalībvalstis savās lauku attīstības programmās nosaka īsāku laikposmu, no viena līdz trim gadiem. Ja dalībvalstis saskaņā ar pirmo daļu paredz saistību ikgadēju atjaunošanu pēc sākotnējā laikposma beigām, no 2021. gada atjaunojums nepārsniedz vienu gadu.”;</w:t>
      </w:r>
    </w:p>
    <w:p>
      <w:pPr>
        <w:pStyle w:val="Point0"/>
        <w:rPr>
          <w:noProof/>
        </w:rPr>
      </w:pPr>
      <w:r>
        <w:t>(4)</w:t>
      </w:r>
      <w:r>
        <w:tab/>
      </w:r>
      <w:r>
        <w:rPr>
          <w:noProof/>
        </w:rPr>
        <w:t>regulas 42. panta 1. punktu aizstāj ar šādu:</w:t>
      </w:r>
    </w:p>
    <w:p>
      <w:pPr>
        <w:pStyle w:val="Text1"/>
        <w:rPr>
          <w:noProof/>
        </w:rPr>
      </w:pPr>
      <w:r>
        <w:rPr>
          <w:noProof/>
        </w:rPr>
        <w:t>“1.</w:t>
      </w:r>
      <w:r>
        <w:rPr>
          <w:noProof/>
        </w:rPr>
        <w:tab/>
        <w:t>Papildus uzdevumiem, kas minēti Regulas (ES) Nr. 1303/2013 34. pantā, un attiecīgā gadījumā papildus Eiropas Parlamenta un Padomes Regulas (ES) [jaunā KNR]* 27. pantā minētajiem uzdevumiem vietējās rīcības grupas var veikt arī papilduzdevumus, kurus tām deleģējusi vadošā iestāde un/vai maksājumu aģentūra.</w:t>
      </w:r>
    </w:p>
    <w:p>
      <w:pPr>
        <w:ind w:left="850"/>
        <w:rPr>
          <w:noProof/>
        </w:rPr>
      </w:pPr>
      <w:r>
        <w:rPr>
          <w:noProof/>
        </w:rPr>
        <w:t>-------</w:t>
      </w:r>
    </w:p>
    <w:p>
      <w:pPr>
        <w:ind w:left="850"/>
        <w:rPr>
          <w:noProof/>
        </w:rPr>
      </w:pPr>
      <w:r>
        <w:rPr>
          <w:noProof/>
        </w:rPr>
        <w:t>*</w:t>
      </w:r>
      <w:r>
        <w:rPr>
          <w:noProof/>
        </w:rPr>
        <w:tab/>
        <w:t>Eiropas Parlamenta un Padomes Regula (ES) [JAUNĀ KNR] [...] [...] (OV L […], […], […].”;</w:t>
      </w:r>
    </w:p>
    <w:p>
      <w:pPr>
        <w:pStyle w:val="Point0"/>
        <w:rPr>
          <w:noProof/>
        </w:rPr>
      </w:pPr>
      <w:r>
        <w:t>(5)</w:t>
      </w:r>
      <w:r>
        <w:tab/>
      </w:r>
      <w:r>
        <w:rPr>
          <w:noProof/>
        </w:rPr>
        <w:t>regulas 44. panta ievadteikumu aizstāj ar šādu:</w:t>
      </w:r>
    </w:p>
    <w:p>
      <w:pPr>
        <w:pStyle w:val="Text1"/>
        <w:rPr>
          <w:noProof/>
        </w:rPr>
      </w:pPr>
      <w:r>
        <w:rPr>
          <w:noProof/>
        </w:rPr>
        <w:t>“Regulas (ES) Nr. 1303/2013 35. panta 1. punkta c) apakšpunktā minēto atbalstu un attiecīgā gadījumā Regulas (ES) [JAUNĀ KNR] 28. pantā minēto atbalstu piešķir:”;</w:t>
      </w:r>
    </w:p>
    <w:p>
      <w:pPr>
        <w:pStyle w:val="Point0"/>
        <w:rPr>
          <w:noProof/>
        </w:rPr>
      </w:pPr>
      <w:r>
        <w:t>(6)</w:t>
      </w:r>
      <w:r>
        <w:tab/>
      </w:r>
      <w:r>
        <w:rPr>
          <w:noProof/>
        </w:rPr>
        <w:t xml:space="preserve">regulas 58. pantu groza šādi: </w:t>
      </w:r>
    </w:p>
    <w:p>
      <w:pPr>
        <w:pStyle w:val="Point1"/>
        <w:rPr>
          <w:noProof/>
        </w:rPr>
      </w:pPr>
      <w:r>
        <w:t>(a)</w:t>
      </w:r>
      <w:r>
        <w:tab/>
      </w:r>
      <w:r>
        <w:rPr>
          <w:noProof/>
        </w:rPr>
        <w:t>1. punktam pievieno šādu otro daļu:</w:t>
      </w:r>
    </w:p>
    <w:p>
      <w:pPr>
        <w:pStyle w:val="Text1"/>
        <w:rPr>
          <w:noProof/>
        </w:rPr>
      </w:pPr>
      <w:r>
        <w:rPr>
          <w:noProof/>
        </w:rPr>
        <w:t>Neskarot šā panta 5., 6. un 7. punktu, kopējais maksimālais Savienības atbalsta apjoms lauku attīstībai, ko piešķir saskaņā ar šo regulu, laikposmam no 2021. gada 1. janvāra līdz 2021. gada 31. decembrim ir 11 258 707 816 EUR pašreizējās cenās un saskaņā ar daudzgadu finanšu shēmu 2021.–2027. gadam.”;</w:t>
      </w:r>
    </w:p>
    <w:p>
      <w:pPr>
        <w:pStyle w:val="Point1"/>
        <w:rPr>
          <w:noProof/>
        </w:rPr>
      </w:pPr>
      <w:r>
        <w:lastRenderedPageBreak/>
        <w:t>(b)</w:t>
      </w:r>
      <w:r>
        <w:tab/>
      </w:r>
      <w:r>
        <w:rPr>
          <w:noProof/>
        </w:rPr>
        <w:t>7. punktu aizstāj ar šādu:</w:t>
      </w:r>
    </w:p>
    <w:p>
      <w:pPr>
        <w:pStyle w:val="Text1"/>
        <w:rPr>
          <w:noProof/>
        </w:rPr>
      </w:pPr>
      <w:r>
        <w:rPr>
          <w:noProof/>
        </w:rPr>
        <w:t xml:space="preserve">“7. Lai ņemtu vērā izmaiņas, kas attiecas uz 4. punktā minēto sadalījumu pa gadiem, ieskaitot 5. un 6. punktā minētos pārskaitījumus un pārvedumus, kas izriet no Eiropas Parlamenta un Padomes Regulas (ES) XXXX/XXXX* [šī regula] 1. panta piemērošanas, lai veiktu tehniskus pielāgojumus, nemainot kopējos piešķīrumus, vai lai ņemtu vērā jebkādas citas izmaiņas, kas ar tiesību aktu paredzētas pēc šīs regulas pieņemšanas, Komisija ir pilnvarota pieņemt deleģētos aktus saskaņā ar šīs regulas 83. pantu, lai pārskatītu šīs regulas I pielikumā noteiktos maksimālos apjomus. </w:t>
      </w:r>
    </w:p>
    <w:p>
      <w:pPr>
        <w:pStyle w:val="Text1"/>
        <w:rPr>
          <w:noProof/>
        </w:rPr>
      </w:pPr>
      <w:r>
        <w:rPr>
          <w:noProof/>
        </w:rPr>
        <w:t>-----</w:t>
      </w:r>
    </w:p>
    <w:p>
      <w:pPr>
        <w:pStyle w:val="Text1"/>
        <w:rPr>
          <w:noProof/>
        </w:rPr>
      </w:pPr>
      <w:r>
        <w:rPr>
          <w:noProof/>
        </w:rPr>
        <w:t>*</w:t>
      </w:r>
      <w:r>
        <w:rPr>
          <w:noProof/>
        </w:rPr>
        <w:tab/>
        <w:t>Eiropas Parlamenta un Padomes Regula (ES) [...] (OV .....).”;</w:t>
      </w:r>
    </w:p>
    <w:p>
      <w:pPr>
        <w:pStyle w:val="Point0"/>
        <w:rPr>
          <w:noProof/>
        </w:rPr>
      </w:pPr>
      <w:r>
        <w:t>(7)</w:t>
      </w:r>
      <w:r>
        <w:tab/>
      </w:r>
      <w:r>
        <w:rPr>
          <w:noProof/>
        </w:rPr>
        <w:t>regulas 59. panta 5. punktā pievieno šādu otro daļu:</w:t>
      </w:r>
    </w:p>
    <w:p>
      <w:pPr>
        <w:pStyle w:val="Text1"/>
        <w:rPr>
          <w:noProof/>
        </w:rPr>
      </w:pPr>
      <w:r>
        <w:rPr>
          <w:noProof/>
        </w:rPr>
        <w:t>“Ja dalībvalstis izmanto Regulas (ES) Nr. 1307/2013 14. panta 1. punkta sestajā daļā paredzēto iespēju, šā punkta pirmajā daļā noteikto procentuālo daļu piemēro kopējam ELFLA ieguldījumam lauku attīstības programmā bez papildu atbalsta, kas darīts pieejams saskaņā ar Regulas (ES) Nr. 1307/2013 14. panta 1. punkta sesto daļu.”;</w:t>
      </w:r>
    </w:p>
    <w:p>
      <w:pPr>
        <w:pStyle w:val="Point0"/>
        <w:rPr>
          <w:noProof/>
        </w:rPr>
      </w:pPr>
      <w:r>
        <w:t>(8)</w:t>
      </w:r>
      <w:r>
        <w:tab/>
      </w:r>
      <w:r>
        <w:rPr>
          <w:noProof/>
        </w:rPr>
        <w:t>regulas 75. panta 1. punktā pievieno šādu otro daļu:</w:t>
      </w:r>
    </w:p>
    <w:p>
      <w:pPr>
        <w:pStyle w:val="Text1"/>
        <w:rPr>
          <w:noProof/>
        </w:rPr>
      </w:pPr>
      <w:r>
        <w:rPr>
          <w:noProof/>
        </w:rPr>
        <w:t xml:space="preserve">“Attiecībā uz programmām, par kurām dalībvalsts nolemj pagarināt 2014.–2020. gada laikposmu saskaņā ar Regulas (ES) [XXXX/XXXX] [šī regula] 1. panta 1. punktu, minētā dalībvalsts līdz 2025. gada 31. decembrim iesniedz Komisijai gada īstenošanas ziņojumu saskaņā ar šā punkta pirmo daļu.”; </w:t>
      </w:r>
    </w:p>
    <w:p>
      <w:pPr>
        <w:pStyle w:val="Point0"/>
        <w:rPr>
          <w:noProof/>
        </w:rPr>
      </w:pPr>
      <w:r>
        <w:t>(9)</w:t>
      </w:r>
      <w:r>
        <w:tab/>
      </w:r>
      <w:r>
        <w:rPr>
          <w:noProof/>
        </w:rPr>
        <w:t>regulas 78. pantam pievieno šādu otro daļu:</w:t>
      </w:r>
    </w:p>
    <w:p>
      <w:pPr>
        <w:pStyle w:val="Text1"/>
        <w:rPr>
          <w:noProof/>
        </w:rPr>
      </w:pPr>
      <w:r>
        <w:rPr>
          <w:noProof/>
        </w:rPr>
        <w:t xml:space="preserve">“Attiecībā uz programmām, par kurām dalībvalsts saskaņā ar Regulas (ES) [XXXX/XXXX] [šī regula] 1. panta 1. punktu nolemj pagarināt 2014.–2020. gada laikposmu, minētā dalībvalsts līdz 2025. gada 31. decembrim iesniedz Komisijai </w:t>
      </w:r>
      <w:r>
        <w:rPr>
          <w:i/>
          <w:iCs/>
          <w:noProof/>
        </w:rPr>
        <w:t>ex post</w:t>
      </w:r>
      <w:r>
        <w:rPr>
          <w:noProof/>
        </w:rPr>
        <w:t xml:space="preserve"> novērtējuma ziņojumu saskaņā ar šā punkta pirmo daļu.”;</w:t>
      </w:r>
    </w:p>
    <w:p>
      <w:pPr>
        <w:pStyle w:val="Point0"/>
        <w:rPr>
          <w:noProof/>
        </w:rPr>
      </w:pPr>
      <w:r>
        <w:t>(10)</w:t>
      </w:r>
      <w:r>
        <w:tab/>
      </w:r>
      <w:r>
        <w:rPr>
          <w:noProof/>
        </w:rPr>
        <w:t>regulas I pielikumu groza saskaņā ar šīs regulas I pielikumu.</w:t>
      </w:r>
    </w:p>
    <w:p>
      <w:pPr>
        <w:spacing w:before="0" w:after="200" w:line="276" w:lineRule="auto"/>
        <w:jc w:val="left"/>
        <w:rPr>
          <w:i/>
          <w:noProof/>
        </w:rPr>
      </w:pPr>
      <w:r>
        <w:rPr>
          <w:noProof/>
        </w:rPr>
        <w:br w:type="page"/>
      </w:r>
    </w:p>
    <w:p>
      <w:pPr>
        <w:pStyle w:val="Titrearticle"/>
        <w:rPr>
          <w:noProof/>
        </w:rPr>
      </w:pPr>
      <w:r>
        <w:rPr>
          <w:noProof/>
        </w:rPr>
        <w:lastRenderedPageBreak/>
        <w:t>9. pants</w:t>
      </w:r>
    </w:p>
    <w:p>
      <w:pPr>
        <w:pStyle w:val="Titrearticle"/>
        <w:spacing w:before="0"/>
        <w:rPr>
          <w:b/>
          <w:noProof/>
        </w:rPr>
      </w:pPr>
      <w:r>
        <w:rPr>
          <w:noProof/>
        </w:rPr>
        <w:t>Grozījumi Regulā (ES) Nr. 1306/2013</w:t>
      </w:r>
    </w:p>
    <w:p>
      <w:pPr>
        <w:rPr>
          <w:noProof/>
        </w:rPr>
      </w:pPr>
      <w:r>
        <w:rPr>
          <w:noProof/>
        </w:rPr>
        <w:t>Regulu (ES) Nr. 1306/2013 groza šādi:</w:t>
      </w:r>
    </w:p>
    <w:p>
      <w:pPr>
        <w:pStyle w:val="Point0"/>
        <w:rPr>
          <w:noProof/>
        </w:rPr>
      </w:pPr>
      <w:r>
        <w:t>(1)</w:t>
      </w:r>
      <w:r>
        <w:tab/>
      </w:r>
      <w:r>
        <w:rPr>
          <w:noProof/>
        </w:rPr>
        <w:t>regulas 25. pantā pievieno šādu trešo daļu:</w:t>
      </w:r>
    </w:p>
    <w:p>
      <w:pPr>
        <w:pStyle w:val="Text1"/>
        <w:rPr>
          <w:noProof/>
        </w:rPr>
      </w:pPr>
      <w:r>
        <w:rPr>
          <w:noProof/>
        </w:rPr>
        <w:t>“Rezerves summa 2021. gadam ir 400 miljoni EUR (2011. gada cenās), un to iekļauj daudzgadu finanšu shēmas 3. izdevumu kategorijā, kā noteikts Padomes Regulas (ES) [xxxx/xxxx]* [DFS] pielikumā.</w:t>
      </w:r>
    </w:p>
    <w:p>
      <w:pPr>
        <w:pStyle w:val="Text1"/>
        <w:rPr>
          <w:noProof/>
        </w:rPr>
      </w:pPr>
      <w:r>
        <w:rPr>
          <w:noProof/>
        </w:rPr>
        <w:t>-----</w:t>
      </w:r>
    </w:p>
    <w:p>
      <w:pPr>
        <w:pStyle w:val="Text1"/>
        <w:rPr>
          <w:noProof/>
        </w:rPr>
      </w:pPr>
      <w:r>
        <w:rPr>
          <w:noProof/>
        </w:rPr>
        <w:t>*</w:t>
      </w:r>
      <w:r>
        <w:rPr>
          <w:noProof/>
        </w:rPr>
        <w:tab/>
        <w:t>Padomes Regula (ES) [...], ar ko nosaka daudzgadu finanšu shēmu 2021.–2027. gadam (OV...).”;</w:t>
      </w:r>
    </w:p>
    <w:p>
      <w:pPr>
        <w:pStyle w:val="Point0"/>
        <w:rPr>
          <w:noProof/>
        </w:rPr>
      </w:pPr>
      <w:r>
        <w:t>(2)</w:t>
      </w:r>
      <w:r>
        <w:tab/>
      </w:r>
      <w:r>
        <w:rPr>
          <w:noProof/>
        </w:rPr>
        <w:t>regulas 33. pantu aizstāj ar šādu:</w:t>
      </w:r>
    </w:p>
    <w:p>
      <w:pPr>
        <w:pStyle w:val="Text1"/>
        <w:rPr>
          <w:noProof/>
        </w:rPr>
      </w:pPr>
      <w:r>
        <w:rPr>
          <w:noProof/>
        </w:rPr>
        <w:t>“33. pants</w:t>
      </w:r>
    </w:p>
    <w:p>
      <w:pPr>
        <w:pStyle w:val="Text1"/>
        <w:rPr>
          <w:noProof/>
        </w:rPr>
      </w:pPr>
      <w:r>
        <w:rPr>
          <w:noProof/>
        </w:rPr>
        <w:t>Budžeta saistības</w:t>
      </w:r>
    </w:p>
    <w:p>
      <w:pPr>
        <w:pStyle w:val="Text1"/>
        <w:rPr>
          <w:noProof/>
        </w:rPr>
      </w:pPr>
      <w:r>
        <w:rPr>
          <w:noProof/>
        </w:rPr>
        <w:t>Savienības budžetā paredzētajām saistībām attiecībā uz lauku attīstības programmām piemēro Eiropas Parlamenta un Padomes Regulas (ES) Nr. 1303/2013 76. pantu, attiecīgā gadījumā saistībā ar Eiropas Parlamenta un Padomes Regulas (ES) [XXXX/XXXX]* [šī regula] 2. panta 2. punktu.</w:t>
      </w:r>
    </w:p>
    <w:p>
      <w:pPr>
        <w:pStyle w:val="Text1"/>
        <w:rPr>
          <w:noProof/>
        </w:rPr>
      </w:pPr>
      <w:r>
        <w:rPr>
          <w:noProof/>
        </w:rPr>
        <w:t>*</w:t>
      </w:r>
      <w:r>
        <w:rPr>
          <w:noProof/>
        </w:rPr>
        <w:tab/>
        <w:t xml:space="preserve">Eiropas Parlamenta un Padomes Regula (ES) [...] (OV .....).”; </w:t>
      </w:r>
    </w:p>
    <w:p>
      <w:pPr>
        <w:pStyle w:val="Point0"/>
        <w:rPr>
          <w:noProof/>
        </w:rPr>
      </w:pPr>
      <w:r>
        <w:t>(3)</w:t>
      </w:r>
      <w:r>
        <w:tab/>
      </w:r>
      <w:r>
        <w:rPr>
          <w:noProof/>
        </w:rPr>
        <w:t>regulas 35. pantam pievieno šādu 5. punktu:</w:t>
      </w:r>
    </w:p>
    <w:p>
      <w:pPr>
        <w:pStyle w:val="Text1"/>
        <w:rPr>
          <w:noProof/>
        </w:rPr>
      </w:pPr>
      <w:r>
        <w:rPr>
          <w:noProof/>
        </w:rPr>
        <w:t>“5.</w:t>
      </w:r>
      <w:r>
        <w:rPr>
          <w:noProof/>
        </w:rPr>
        <w:tab/>
        <w:t>Attiecībā uz programmām, par kurām dalībvalstis saskaņā ar Regulas (ES) [XXXX/XXXX] [šī regula] 1. panta 1. punktu nolemj pagarināt 2014.–2020. gada laikposmu, 2021. gada piešķīrumam priekšfinansējumu nepiešķir.”;</w:t>
      </w:r>
    </w:p>
    <w:p>
      <w:pPr>
        <w:pStyle w:val="Point0"/>
        <w:rPr>
          <w:noProof/>
        </w:rPr>
      </w:pPr>
      <w:r>
        <w:t>(4)</w:t>
      </w:r>
      <w:r>
        <w:tab/>
      </w:r>
      <w:r>
        <w:rPr>
          <w:noProof/>
        </w:rPr>
        <w:t>regulas 37. panta 1. punktu aizstāj ar šādu:</w:t>
      </w:r>
    </w:p>
    <w:p>
      <w:pPr>
        <w:pStyle w:val="Text1"/>
        <w:rPr>
          <w:noProof/>
        </w:rPr>
      </w:pPr>
      <w:r>
        <w:rPr>
          <w:noProof/>
        </w:rPr>
        <w:t>“1. Kad Komisija ir saņēmusi pēdējo gada progresa ziņojumu par lauku attīstības programmas īstenošanu, atkarībā no līdzekļu pieejamības tā veic atlikuma maksājumu, pamatojoties uz spēkā esošo finanšu plānu, attiecīgās lauku attīstības programmas pēdējā izpildes gada pārskatiem un attiecīgo lēmumu par grāmatojumu noskaidrošanu. Šos pārskatus Komisijai iesniedz ne vēlāk kā sešus mēnešus pēc izdevumu atbilstīguma galīgā datuma, kas minēts Regulas (ES) Nr. 1303/2013 65. panta 2. punktā, attiecīgā gadījumā saistībā ar Regulas (ES) [XXXX/XXXX] [šī regula] 2. panta 2. punktu. Tie aptver izdevumus, ko maksājumu aģentūra veikusi līdz izdevumu atbilstīguma galīgajam datumam.”;</w:t>
      </w:r>
    </w:p>
    <w:p>
      <w:pPr>
        <w:pStyle w:val="Point0"/>
        <w:rPr>
          <w:noProof/>
        </w:rPr>
      </w:pPr>
      <w:r>
        <w:t>(5)</w:t>
      </w:r>
      <w:r>
        <w:tab/>
      </w:r>
      <w:r>
        <w:rPr>
          <w:noProof/>
        </w:rPr>
        <w:t>regulas 38. panta 2. punktu aizstāj ar šādu:</w:t>
      </w:r>
    </w:p>
    <w:p>
      <w:pPr>
        <w:pStyle w:val="Text1"/>
        <w:rPr>
          <w:noProof/>
        </w:rPr>
      </w:pPr>
      <w:r>
        <w:rPr>
          <w:noProof/>
        </w:rPr>
        <w:t>“2.</w:t>
      </w:r>
      <w:r>
        <w:rPr>
          <w:noProof/>
        </w:rPr>
        <w:tab/>
        <w:t>Budžeta saistību daļa, kas joprojām ir spēkā Regulas (ES) Nr. 1303/2013 65. panta 2. punktā minētajā izdevumu atbilstīguma galīgajā datumā, attiecīgā gadījumā to piemērojot saistībā ar Regulas (ES) [XXXX/XXXX] [šī regula] 2. panta 2. punktu, un par kuru sešu mēnešu laikā pēc minētā datuma nav saņemta izdevumu deklarācija, tiek automātiski atcelta.”.</w:t>
      </w:r>
    </w:p>
    <w:p>
      <w:pPr>
        <w:spacing w:before="0" w:after="200" w:line="276" w:lineRule="auto"/>
        <w:jc w:val="left"/>
        <w:rPr>
          <w:i/>
          <w:noProof/>
        </w:rPr>
      </w:pPr>
      <w:r>
        <w:rPr>
          <w:noProof/>
        </w:rPr>
        <w:br w:type="page"/>
      </w:r>
    </w:p>
    <w:p>
      <w:pPr>
        <w:pStyle w:val="Titrearticle"/>
        <w:rPr>
          <w:noProof/>
        </w:rPr>
      </w:pPr>
      <w:r>
        <w:rPr>
          <w:noProof/>
        </w:rPr>
        <w:lastRenderedPageBreak/>
        <w:t>10. pants</w:t>
      </w:r>
    </w:p>
    <w:p>
      <w:pPr>
        <w:pStyle w:val="Titrearticle"/>
        <w:spacing w:before="0"/>
        <w:rPr>
          <w:b/>
          <w:noProof/>
        </w:rPr>
      </w:pPr>
      <w:r>
        <w:rPr>
          <w:noProof/>
        </w:rPr>
        <w:t>Grozījumi Regulā (ES) Nr. 1307/2013</w:t>
      </w:r>
    </w:p>
    <w:p>
      <w:pPr>
        <w:rPr>
          <w:noProof/>
        </w:rPr>
      </w:pPr>
      <w:r>
        <w:rPr>
          <w:noProof/>
        </w:rPr>
        <w:t>Regulu (ES) Nr. 1307/2013 groza šādi:</w:t>
      </w:r>
    </w:p>
    <w:p>
      <w:pPr>
        <w:pStyle w:val="Point0"/>
        <w:rPr>
          <w:noProof/>
        </w:rPr>
      </w:pPr>
      <w:r>
        <w:t>(1)</w:t>
      </w:r>
      <w:r>
        <w:tab/>
      </w:r>
      <w:r>
        <w:rPr>
          <w:noProof/>
        </w:rPr>
        <w:t>regulas 11. panta 6. punktam pievieno šādu ceturto daļu:</w:t>
      </w:r>
    </w:p>
    <w:p>
      <w:pPr>
        <w:pStyle w:val="Text1"/>
        <w:rPr>
          <w:noProof/>
        </w:rPr>
      </w:pPr>
      <w:r>
        <w:rPr>
          <w:noProof/>
        </w:rPr>
        <w:t>“Attiecībā uz 2021. gadu dalībvalstis līdz 2020. gada 1. augustam paziņo Komisijai par lēmumiem, kas pieņemti saskaņā ar šo pantu, un par visiem aplēstajiem samazinājumiem.”;</w:t>
      </w:r>
    </w:p>
    <w:p>
      <w:pPr>
        <w:pStyle w:val="Point0"/>
        <w:rPr>
          <w:noProof/>
        </w:rPr>
      </w:pPr>
      <w:r>
        <w:t>(2)</w:t>
      </w:r>
      <w:r>
        <w:tab/>
      </w:r>
      <w:r>
        <w:rPr>
          <w:noProof/>
        </w:rPr>
        <w:t>regulas 14. pantu groza šādi:</w:t>
      </w:r>
    </w:p>
    <w:p>
      <w:pPr>
        <w:pStyle w:val="Point1"/>
        <w:rPr>
          <w:noProof/>
        </w:rPr>
      </w:pPr>
      <w:r>
        <w:t>(a)</w:t>
      </w:r>
      <w:r>
        <w:tab/>
      </w:r>
      <w:r>
        <w:rPr>
          <w:noProof/>
        </w:rPr>
        <w:t xml:space="preserve">panta 1. punktam pievieno šādu septīto daļu: </w:t>
      </w:r>
    </w:p>
    <w:p>
      <w:pPr>
        <w:pStyle w:val="Text1"/>
        <w:rPr>
          <w:noProof/>
        </w:rPr>
      </w:pPr>
      <w:r>
        <w:rPr>
          <w:noProof/>
        </w:rPr>
        <w:t>“Dalībvalstis līdz 2020. gada 1. augustam var nolemt kā papildu atbalstu, ko saskaņā ar ELFLA finansē 2022. finanšu gadā, darīt pieejamus līdz 15 % no valsts maksimālā apjoma, kas 2021. kalendārajam gadam noteikts šīs regulas II pielikumā. Rezultātā attiecīgā summa vairs nav pieejama tiešo maksājumu piešķiršanai. Minēto lēmumu Komisijai paziņo līdz 2020. gada 1. augustam, un tajā norāda izvēlēto procentuālo daļu.”;</w:t>
      </w:r>
    </w:p>
    <w:p>
      <w:pPr>
        <w:pStyle w:val="Point1"/>
        <w:rPr>
          <w:noProof/>
        </w:rPr>
      </w:pPr>
      <w:r>
        <w:t>(b)</w:t>
      </w:r>
      <w:r>
        <w:tab/>
      </w:r>
      <w:r>
        <w:rPr>
          <w:noProof/>
        </w:rPr>
        <w:t xml:space="preserve">panta 2. punktam pievieno šādu septīto daļu: </w:t>
      </w:r>
    </w:p>
    <w:p>
      <w:pPr>
        <w:pStyle w:val="Text1"/>
        <w:rPr>
          <w:noProof/>
        </w:rPr>
      </w:pPr>
      <w:r>
        <w:rPr>
          <w:noProof/>
        </w:rPr>
        <w:t>“Dalībvalstis, kuras nepieņem 1. punktā minēto lēmumu par 2022. finanšu gadu, līdz 2020. gada 1. augustam var nolemt kā tiešos maksājumus darīt pieejamus līdz 15 % vai – Bulgārijas, Igaunijas, Spānijas, Latvijas, Lietuvas, Polijas, Portugāles, Rumānijas, Slovākijas, Somijas un Zviedrijas gadījumā – līdz 25 % no summas, kas saskaņā ar Savienības tiesību aktiem, kuri pieņemti pēc Padomes Regulas (ES) [xxxx/xxxx]* [DFS] pieņemšanas, piešķirta atbalstam, ko finansē no ELFLA 2022. finanšu gadā. Rezultātā attiecīgā summa vairs nav pieejama atbalstam, ko finansē no ELFLA. Minēto lēmumu Komisijai paziņo līdz 2020. gada 1. augustam, un tajā norāda izvēlēto procentuālo daļu.</w:t>
      </w:r>
    </w:p>
    <w:p>
      <w:pPr>
        <w:pStyle w:val="Text1"/>
        <w:rPr>
          <w:noProof/>
        </w:rPr>
      </w:pPr>
      <w:r>
        <w:rPr>
          <w:noProof/>
        </w:rPr>
        <w:t>-----</w:t>
      </w:r>
    </w:p>
    <w:p>
      <w:pPr>
        <w:pStyle w:val="Text1"/>
        <w:rPr>
          <w:noProof/>
        </w:rPr>
      </w:pPr>
      <w:r>
        <w:rPr>
          <w:noProof/>
        </w:rPr>
        <w:t>*</w:t>
      </w:r>
      <w:r>
        <w:rPr>
          <w:noProof/>
        </w:rPr>
        <w:tab/>
        <w:t>Padomes Regula (ES) [...] (..), [ar ko nosaka daudzgadu finanšu shēmu 2021.–2027. gadam (OV...).”;</w:t>
      </w:r>
    </w:p>
    <w:p>
      <w:pPr>
        <w:pStyle w:val="Point0"/>
        <w:rPr>
          <w:noProof/>
        </w:rPr>
      </w:pPr>
      <w:r>
        <w:t>(3)</w:t>
      </w:r>
      <w:r>
        <w:tab/>
      </w:r>
      <w:r>
        <w:rPr>
          <w:noProof/>
        </w:rPr>
        <w:t>regulas 1. nodaļas beigās pievieno šādu 15.a pantu:</w:t>
      </w:r>
    </w:p>
    <w:p>
      <w:pPr>
        <w:pStyle w:val="Text1"/>
        <w:rPr>
          <w:noProof/>
        </w:rPr>
      </w:pPr>
      <w:r>
        <w:rPr>
          <w:noProof/>
        </w:rPr>
        <w:t>“15.a pants</w:t>
      </w:r>
    </w:p>
    <w:p>
      <w:pPr>
        <w:pStyle w:val="Text1"/>
        <w:rPr>
          <w:noProof/>
        </w:rPr>
      </w:pPr>
      <w:r>
        <w:rPr>
          <w:noProof/>
        </w:rPr>
        <w:t>Paziņojumi par 2021. kalendāro gadu</w:t>
      </w:r>
    </w:p>
    <w:p>
      <w:pPr>
        <w:pStyle w:val="Text1"/>
        <w:rPr>
          <w:noProof/>
        </w:rPr>
      </w:pPr>
      <w:r>
        <w:rPr>
          <w:noProof/>
        </w:rPr>
        <w:t xml:space="preserve">Par 2021. kalendāro gadu dalībvalstis līdz 2020. gada 1. augustam paziņo 22. panta 2. punktā, 42. panta 1. punktā, 49. panta 1. punktā, 51. panta 1. punktā un 53. panta 6. punktā minēto valsts gada maksimālā apjoma procentuālo daļu.”; </w:t>
      </w:r>
    </w:p>
    <w:p>
      <w:pPr>
        <w:pStyle w:val="Point0"/>
        <w:rPr>
          <w:noProof/>
        </w:rPr>
      </w:pPr>
      <w:r>
        <w:t>(4)</w:t>
      </w:r>
      <w:r>
        <w:tab/>
      </w:r>
      <w:r>
        <w:rPr>
          <w:noProof/>
        </w:rPr>
        <w:t xml:space="preserve">regulas 22. panta 5. punktā pievieno šādu otro daļu: </w:t>
      </w:r>
    </w:p>
    <w:p>
      <w:pPr>
        <w:pStyle w:val="Text1"/>
        <w:rPr>
          <w:noProof/>
        </w:rPr>
      </w:pPr>
      <w:r>
        <w:rPr>
          <w:noProof/>
        </w:rPr>
        <w:t>“2021. kalendārajam gadam, ja dalībvalsts maksimālais apjoms, ko Komisija noteikusi saskaņā ar 1. punktu, atšķiras no iepriekšējā gada maksimālā apjoma tāpēc, ka mainījusies II pielikumā noteiktā summa, vai tāpēc, ka attiecīgā dalībvalsts pieņēmusi lēmumu saskaņā ar šā panta 3. punktu, 14. panta 1. vai 2. punktu, 42. panta 1. punktu, 49. panta 1. punktu, 51. panta 1. punktu vai 53. pantu, minētā dalībvalsts lineāri samazina vai palielina visu maksājumtiesību vērtību un/vai samazina vai palielina valsts rezervi vai reģionālās rezerves, lai nodrošinātu atbilstību šā panta 4. punktam.”;</w:t>
      </w:r>
    </w:p>
    <w:p>
      <w:pPr>
        <w:spacing w:before="0" w:after="200" w:line="276" w:lineRule="auto"/>
        <w:jc w:val="left"/>
        <w:rPr>
          <w:noProof/>
        </w:rPr>
      </w:pPr>
      <w:r>
        <w:rPr>
          <w:noProof/>
        </w:rPr>
        <w:br w:type="page"/>
      </w:r>
    </w:p>
    <w:p>
      <w:pPr>
        <w:pStyle w:val="Point0"/>
        <w:rPr>
          <w:noProof/>
        </w:rPr>
      </w:pPr>
      <w:r>
        <w:lastRenderedPageBreak/>
        <w:t>(5)</w:t>
      </w:r>
      <w:r>
        <w:tab/>
      </w:r>
      <w:r>
        <w:rPr>
          <w:noProof/>
        </w:rPr>
        <w:t>regulas 23. panta 6. punktam pievieno šādu ceturto daļu:</w:t>
      </w:r>
    </w:p>
    <w:p>
      <w:pPr>
        <w:pStyle w:val="Text1"/>
        <w:rPr>
          <w:noProof/>
        </w:rPr>
      </w:pPr>
      <w:r>
        <w:rPr>
          <w:noProof/>
        </w:rPr>
        <w:t>“Attiecībā uz 2021. kalendāro gadu dalībvalstis, kas piemēro 1. punkta pirmo daļu, līdz 2020. gada 1. augustam paziņo Komisijai par 2. un 3. punktā minētajiem lēmumiem.”;</w:t>
      </w:r>
    </w:p>
    <w:p>
      <w:pPr>
        <w:pStyle w:val="Point0"/>
        <w:rPr>
          <w:noProof/>
        </w:rPr>
      </w:pPr>
      <w:r>
        <w:t>(6)</w:t>
      </w:r>
      <w:r>
        <w:tab/>
      </w:r>
      <w:r>
        <w:rPr>
          <w:noProof/>
        </w:rPr>
        <w:t>regulas 25. pantam pievieno šādu 11. punktu:</w:t>
      </w:r>
    </w:p>
    <w:p>
      <w:pPr>
        <w:pStyle w:val="Text1"/>
        <w:rPr>
          <w:noProof/>
        </w:rPr>
      </w:pPr>
      <w:r>
        <w:rPr>
          <w:noProof/>
        </w:rPr>
        <w:t>“11. Pēc 22. panta 5. punktā minētās korekcijas piemērošanas dalībvalstis, kas ir izmantojušas šā panta 4. punktā paredzēto atkāpi, var nolemt 2020. gadā palielināt valsts vai reģionālās vienības vērtību attiecībā uz tām maksājumtiesībām, kas lauksaimnieku turējumā ir 2019. gada 31. decembrī un kuru vērtība ir zemāka par valsts vai reģionālo vienības vērtību, ko 2020. gadam aprēķina saskaņā ar šā punkta otro daļu. Palielinājumu aprēķina, ievērojot šādus nosacījumus:</w:t>
      </w:r>
    </w:p>
    <w:p>
      <w:pPr>
        <w:pStyle w:val="Text1"/>
        <w:rPr>
          <w:noProof/>
        </w:rPr>
      </w:pPr>
      <w:r>
        <w:rPr>
          <w:noProof/>
        </w:rPr>
        <w:t>a) palielinājuma metode, ko nosaka dalībvalsts, pamatojas uz objektīviem un nediskriminējošiem kritērijiem;</w:t>
      </w:r>
    </w:p>
    <w:p>
      <w:pPr>
        <w:pStyle w:val="Text1"/>
        <w:rPr>
          <w:noProof/>
        </w:rPr>
      </w:pPr>
      <w:r>
        <w:rPr>
          <w:noProof/>
        </w:rPr>
        <w:t xml:space="preserve">b) lai finansētu palielinājumu, pilnībā vai daļēji samazina tās 2019. gada 31. decembrī lauksaimnieku īpašumā esošās vai nomātās maksājumtiesības, kuru vērtība ir augstāka par valsts vai reģionālo vienības vērtību 2020. gadā, kas aprēķināta saskaņā ar šā punkta otro daļu. Minēto samazinājumu piemēro starpībai starp šo tiesību vērtību un valsts vai reģionālo vienības vērtību 2020. gadā. Minētā samazinājuma piemērošana pamatojas uz objektīviem un nediskriminējošiem kritērijiem, kas var ietvert maksimālā samazinājuma noteikšanu. </w:t>
      </w:r>
    </w:p>
    <w:p>
      <w:pPr>
        <w:pStyle w:val="Text1"/>
        <w:rPr>
          <w:noProof/>
        </w:rPr>
      </w:pPr>
      <w:r>
        <w:rPr>
          <w:noProof/>
        </w:rPr>
        <w:t xml:space="preserve">Pirmajā daļā minēto valsts vai reģionālo vienības vērtību 2020. gadam aprēķina, pamata maksājuma shēmas valsts vai reģiona maksimālo apjomu, kas 2020. gadam noteikts saskaņā ar 22. panta 1. punktu vai 23. panta 2. punktu, dalot ar 2019. gada 31. decembrī lauksaimnieku īpašumā esošo vai nomāto maksājumtiesību skaitu, atskaitot valsts vai reģionālās rezerves summu. </w:t>
      </w:r>
    </w:p>
    <w:p>
      <w:pPr>
        <w:pStyle w:val="Text1"/>
        <w:rPr>
          <w:noProof/>
        </w:rPr>
      </w:pPr>
      <w:r>
        <w:rPr>
          <w:noProof/>
        </w:rPr>
        <w:t xml:space="preserve">Atkāpjoties no pirmās daļas, dalībvalstis, kas ir izmantojušas 4. punktā paredzēto atkāpi, var nolemt saglabāt to maksājumtiesību vērtību, kas aprēķināta saskaņā ar minēto punktu un kam piemēro 22. panta 5. punktā minēto korekciju. </w:t>
      </w:r>
    </w:p>
    <w:p>
      <w:pPr>
        <w:pStyle w:val="Text1"/>
        <w:rPr>
          <w:noProof/>
        </w:rPr>
      </w:pPr>
      <w:r>
        <w:rPr>
          <w:noProof/>
        </w:rPr>
        <w:t xml:space="preserve">Dalībvalstis laikus informē lauksaimniekus par viņu maksājumtiesību vērtību, kas aprēķināta saskaņā ar šo punktu.”; </w:t>
      </w:r>
    </w:p>
    <w:p>
      <w:pPr>
        <w:pStyle w:val="Point0"/>
        <w:rPr>
          <w:noProof/>
        </w:rPr>
      </w:pPr>
      <w:r>
        <w:t>(7)</w:t>
      </w:r>
      <w:r>
        <w:tab/>
      </w:r>
      <w:r>
        <w:rPr>
          <w:noProof/>
        </w:rPr>
        <w:t>regulas 25. pantam pievieno šādu 12. punktu:</w:t>
      </w:r>
    </w:p>
    <w:p>
      <w:pPr>
        <w:pStyle w:val="Text1"/>
        <w:rPr>
          <w:noProof/>
        </w:rPr>
      </w:pPr>
      <w:r>
        <w:rPr>
          <w:noProof/>
        </w:rPr>
        <w:t xml:space="preserve">“12. Attiecībā uz 2021. kalendāro gadu dalībvalstis var nolemt piemērot turpmāku iekšējo konverģenci, attiecīgajam gadam piemērojot 11. punktu.”; </w:t>
      </w:r>
    </w:p>
    <w:p>
      <w:pPr>
        <w:pStyle w:val="Point0"/>
        <w:rPr>
          <w:noProof/>
        </w:rPr>
      </w:pPr>
      <w:r>
        <w:t>(8)</w:t>
      </w:r>
      <w:r>
        <w:tab/>
      </w:r>
      <w:r>
        <w:rPr>
          <w:noProof/>
        </w:rPr>
        <w:t>regulas 29. pantu aizstāj ar šādu:</w:t>
      </w:r>
    </w:p>
    <w:p>
      <w:pPr>
        <w:pStyle w:val="Text1"/>
        <w:rPr>
          <w:noProof/>
        </w:rPr>
      </w:pPr>
      <w:r>
        <w:rPr>
          <w:noProof/>
        </w:rPr>
        <w:t>“29. pants</w:t>
      </w:r>
    </w:p>
    <w:p>
      <w:pPr>
        <w:pStyle w:val="Text1"/>
        <w:rPr>
          <w:noProof/>
        </w:rPr>
      </w:pPr>
      <w:r>
        <w:rPr>
          <w:noProof/>
        </w:rPr>
        <w:t xml:space="preserve">Paziņojumi par maksājumtiesību vērtību un konverģenci </w:t>
      </w:r>
    </w:p>
    <w:p>
      <w:pPr>
        <w:pStyle w:val="Text1"/>
        <w:rPr>
          <w:noProof/>
        </w:rPr>
      </w:pPr>
      <w:r>
        <w:rPr>
          <w:noProof/>
        </w:rPr>
        <w:t>2020. kalendārajā gadā dalībvalstis savus 25. panta 11. punktā minētos lēmumus paziņo līdz [</w:t>
      </w:r>
      <w:r>
        <w:rPr>
          <w:i/>
          <w:iCs/>
          <w:noProof/>
        </w:rPr>
        <w:t>OPOCE</w:t>
      </w:r>
      <w:r>
        <w:rPr>
          <w:noProof/>
        </w:rPr>
        <w:t xml:space="preserve"> viena mēneša laikā pēc šīs pārejas regulas stāšanās spēkā]. </w:t>
      </w:r>
    </w:p>
    <w:p>
      <w:pPr>
        <w:pStyle w:val="Text1"/>
        <w:rPr>
          <w:noProof/>
        </w:rPr>
      </w:pPr>
      <w:r>
        <w:rPr>
          <w:noProof/>
        </w:rPr>
        <w:t xml:space="preserve">Attiecībā uz 2021. kalendāro gadu dalībvalstis savus lēmumus, kas minēti 25. panta 12. punktā, paziņo līdz 2020. gada 1. augustam.”; </w:t>
      </w:r>
    </w:p>
    <w:p>
      <w:pPr>
        <w:spacing w:before="0" w:after="200" w:line="276" w:lineRule="auto"/>
        <w:jc w:val="left"/>
        <w:rPr>
          <w:noProof/>
        </w:rPr>
      </w:pPr>
      <w:r>
        <w:rPr>
          <w:noProof/>
        </w:rPr>
        <w:br w:type="page"/>
      </w:r>
    </w:p>
    <w:p>
      <w:pPr>
        <w:pStyle w:val="Point0"/>
        <w:rPr>
          <w:noProof/>
        </w:rPr>
      </w:pPr>
      <w:r>
        <w:lastRenderedPageBreak/>
        <w:t>(9)</w:t>
      </w:r>
      <w:r>
        <w:tab/>
      </w:r>
      <w:r>
        <w:rPr>
          <w:noProof/>
        </w:rPr>
        <w:t>regulas 30. panta 8. punktam pievieno šādu ceturto daļu:</w:t>
      </w:r>
    </w:p>
    <w:p>
      <w:pPr>
        <w:pStyle w:val="Text1"/>
        <w:rPr>
          <w:noProof/>
        </w:rPr>
      </w:pPr>
      <w:r>
        <w:rPr>
          <w:noProof/>
        </w:rPr>
        <w:t>“Attiecībā uz 2021. gada rezerves piešķīrumiem rezerves summu, kas izslēdzama saskaņā ar otro daļu, koriģē saskaņā ar 22. panta 5. punkta otro daļu. Piešķīrumiem no rezerves 2021. gadā nepiemēro šā punkta trešo daļu.”;</w:t>
      </w:r>
    </w:p>
    <w:p>
      <w:pPr>
        <w:pStyle w:val="Point0"/>
        <w:rPr>
          <w:noProof/>
        </w:rPr>
      </w:pPr>
      <w:r>
        <w:t>(10)</w:t>
      </w:r>
      <w:r>
        <w:tab/>
      </w:r>
      <w:r>
        <w:rPr>
          <w:noProof/>
        </w:rPr>
        <w:t>regulas 36. panta 1. punktā iekļauj šādu otro daļu:</w:t>
      </w:r>
    </w:p>
    <w:p>
      <w:pPr>
        <w:pStyle w:val="Text1"/>
        <w:rPr>
          <w:noProof/>
        </w:rPr>
      </w:pPr>
      <w:r>
        <w:rPr>
          <w:noProof/>
        </w:rPr>
        <w:t>“Dalībvalstis, kas 2020. gadā piemēro vienotā platībmaksājuma shēmu, turpina to piemērot pēc 2020. gada 31. decembra.”;</w:t>
      </w:r>
    </w:p>
    <w:p>
      <w:pPr>
        <w:pStyle w:val="Point0"/>
        <w:rPr>
          <w:noProof/>
        </w:rPr>
      </w:pPr>
      <w:r>
        <w:t>(11)</w:t>
      </w:r>
      <w:r>
        <w:tab/>
      </w:r>
      <w:r>
        <w:rPr>
          <w:noProof/>
        </w:rPr>
        <w:t xml:space="preserve">regulas 41. panta 1. punktam pievieno šādu trešo daļu: </w:t>
      </w:r>
    </w:p>
    <w:p>
      <w:pPr>
        <w:pStyle w:val="Text1"/>
        <w:rPr>
          <w:noProof/>
        </w:rPr>
      </w:pPr>
      <w:r>
        <w:rPr>
          <w:noProof/>
        </w:rPr>
        <w:t xml:space="preserve">“Dalībvalstis var pārskatīt pirmajā daļā minēto lēmumu līdz tā gada 1. augustam, kas ir pirms piemērošanas gada. Dalībvalstis par visiem šādiem lēmumiem Komisijai paziņo līdz minētajam datumam.”; </w:t>
      </w:r>
    </w:p>
    <w:p>
      <w:pPr>
        <w:pStyle w:val="Point0"/>
        <w:rPr>
          <w:noProof/>
        </w:rPr>
      </w:pPr>
      <w:r>
        <w:t>(12)</w:t>
      </w:r>
      <w:r>
        <w:tab/>
      </w:r>
      <w:r>
        <w:rPr>
          <w:noProof/>
        </w:rPr>
        <w:t>regulas 42. panta 1. punktā pievieno šādu otro daļu:</w:t>
      </w:r>
    </w:p>
    <w:p>
      <w:pPr>
        <w:pStyle w:val="Text1"/>
        <w:rPr>
          <w:noProof/>
        </w:rPr>
      </w:pPr>
      <w:r>
        <w:rPr>
          <w:noProof/>
        </w:rPr>
        <w:t>“Dalībvalstis var pārskatīt pirmajā daļā minēto lēmumu līdz tā gada 1. augustam, kas ir pirms piemērošanas gada. Dalībvalstis par visiem šādiem lēmumiem Komisijai paziņo līdz minētajam datumam.”;</w:t>
      </w:r>
    </w:p>
    <w:p>
      <w:pPr>
        <w:pStyle w:val="Point0"/>
        <w:rPr>
          <w:noProof/>
        </w:rPr>
      </w:pPr>
      <w:r>
        <w:t>(13)</w:t>
      </w:r>
      <w:r>
        <w:tab/>
      </w:r>
      <w:r>
        <w:rPr>
          <w:noProof/>
        </w:rPr>
        <w:t>regulas 58. panta 3. punktu aizstāj ar šādu:</w:t>
      </w:r>
    </w:p>
    <w:p>
      <w:pPr>
        <w:pStyle w:val="Text1"/>
        <w:rPr>
          <w:noProof/>
        </w:rPr>
      </w:pPr>
      <w:r>
        <w:rPr>
          <w:noProof/>
        </w:rPr>
        <w:t>“3.</w:t>
      </w:r>
      <w:r>
        <w:rPr>
          <w:noProof/>
        </w:rPr>
        <w:tab/>
        <w:t>Kultūratkarīgā maksājuma summu par atbalsttiesīgas platības hektāru 2020. gadam aprēķina, 2. punktā noteikto ražību reizinot ar šādām atsauces summām:</w:t>
      </w:r>
    </w:p>
    <w:p>
      <w:pPr>
        <w:pStyle w:val="Tiret1"/>
        <w:numPr>
          <w:ilvl w:val="0"/>
          <w:numId w:val="19"/>
        </w:numPr>
        <w:rPr>
          <w:noProof/>
        </w:rPr>
      </w:pPr>
      <w:r>
        <w:rPr>
          <w:noProof/>
        </w:rPr>
        <w:t>Bulgārija: 649,45 EUR;</w:t>
      </w:r>
    </w:p>
    <w:p>
      <w:pPr>
        <w:pStyle w:val="Tiret1"/>
        <w:rPr>
          <w:noProof/>
        </w:rPr>
      </w:pPr>
      <w:r>
        <w:rPr>
          <w:noProof/>
        </w:rPr>
        <w:t>Grieķija: 234,18 EUR;</w:t>
      </w:r>
    </w:p>
    <w:p>
      <w:pPr>
        <w:pStyle w:val="Tiret1"/>
        <w:rPr>
          <w:noProof/>
        </w:rPr>
      </w:pPr>
      <w:r>
        <w:rPr>
          <w:noProof/>
        </w:rPr>
        <w:t>Spānija: 362,15 EUR;</w:t>
      </w:r>
    </w:p>
    <w:p>
      <w:pPr>
        <w:pStyle w:val="Tiret1"/>
        <w:rPr>
          <w:noProof/>
        </w:rPr>
      </w:pPr>
      <w:r>
        <w:rPr>
          <w:noProof/>
        </w:rPr>
        <w:t>Portugāle: 228,00 EUR.</w:t>
      </w:r>
    </w:p>
    <w:p>
      <w:pPr>
        <w:pStyle w:val="Text1"/>
        <w:rPr>
          <w:noProof/>
        </w:rPr>
      </w:pPr>
      <w:r>
        <w:rPr>
          <w:noProof/>
        </w:rPr>
        <w:t>Kultūratkarīgā maksājuma summu par atbalsttiesīgas platības hektāru 2021. gadam aprēķina, 2. punktā noteikto ražību reizinot ar šādām atsauces summām:</w:t>
      </w:r>
    </w:p>
    <w:p>
      <w:pPr>
        <w:pStyle w:val="Tiret1"/>
        <w:rPr>
          <w:noProof/>
        </w:rPr>
      </w:pPr>
      <w:r>
        <w:rPr>
          <w:noProof/>
        </w:rPr>
        <w:t>Bulgārija: 624,11 EUR;</w:t>
      </w:r>
    </w:p>
    <w:p>
      <w:pPr>
        <w:pStyle w:val="Tiret1"/>
        <w:rPr>
          <w:noProof/>
        </w:rPr>
      </w:pPr>
      <w:r>
        <w:rPr>
          <w:noProof/>
        </w:rPr>
        <w:t>Grieķija: 225,04 EUR;</w:t>
      </w:r>
    </w:p>
    <w:p>
      <w:pPr>
        <w:pStyle w:val="Tiret1"/>
        <w:rPr>
          <w:noProof/>
        </w:rPr>
      </w:pPr>
      <w:r>
        <w:rPr>
          <w:noProof/>
        </w:rPr>
        <w:t>Spānija: 348,03 EUR;</w:t>
      </w:r>
    </w:p>
    <w:p>
      <w:pPr>
        <w:pStyle w:val="Tiret1"/>
        <w:rPr>
          <w:noProof/>
        </w:rPr>
      </w:pPr>
      <w:r>
        <w:rPr>
          <w:noProof/>
        </w:rPr>
        <w:t>Portugāle: 219,09 EUR.”;</w:t>
      </w:r>
    </w:p>
    <w:p>
      <w:pPr>
        <w:pStyle w:val="Point0"/>
        <w:rPr>
          <w:noProof/>
        </w:rPr>
      </w:pPr>
      <w:r>
        <w:t>(14)</w:t>
      </w:r>
      <w:r>
        <w:tab/>
      </w:r>
      <w:r>
        <w:rPr>
          <w:noProof/>
        </w:rPr>
        <w:t>regulas II un III pielikumu groza saskaņā ar šīs regulas II pielikumu.</w:t>
      </w:r>
    </w:p>
    <w:p>
      <w:pPr>
        <w:pStyle w:val="Titrearticle"/>
        <w:rPr>
          <w:noProof/>
        </w:rPr>
      </w:pPr>
      <w:r>
        <w:rPr>
          <w:noProof/>
        </w:rPr>
        <w:t>11. pants</w:t>
      </w:r>
    </w:p>
    <w:p>
      <w:pPr>
        <w:pStyle w:val="Titrearticle"/>
        <w:spacing w:before="0"/>
        <w:rPr>
          <w:b/>
          <w:noProof/>
        </w:rPr>
      </w:pPr>
      <w:r>
        <w:rPr>
          <w:noProof/>
        </w:rPr>
        <w:t>Grozījumi Regulā (ES) Nr. 1308/2013</w:t>
      </w:r>
    </w:p>
    <w:p>
      <w:pPr>
        <w:rPr>
          <w:noProof/>
          <w:sz w:val="22"/>
        </w:rPr>
      </w:pPr>
      <w:r>
        <w:rPr>
          <w:noProof/>
        </w:rPr>
        <w:t>Regulu (ES) Nr. 1308/2013 groza šādi:</w:t>
      </w:r>
    </w:p>
    <w:p>
      <w:pPr>
        <w:pStyle w:val="Point0"/>
        <w:rPr>
          <w:noProof/>
        </w:rPr>
      </w:pPr>
      <w:r>
        <w:t>(1)</w:t>
      </w:r>
      <w:r>
        <w:tab/>
      </w:r>
      <w:r>
        <w:rPr>
          <w:noProof/>
        </w:rPr>
        <w:t xml:space="preserve">regulas 29. panta 2. punktu aizstāj ar šādu: </w:t>
      </w:r>
    </w:p>
    <w:p>
      <w:pPr>
        <w:pStyle w:val="Text1"/>
        <w:rPr>
          <w:noProof/>
        </w:rPr>
      </w:pPr>
      <w:r>
        <w:rPr>
          <w:noProof/>
        </w:rPr>
        <w:t xml:space="preserve">“2. Savienības finansējums 1. punktā minētajām darba programmām 2020. gadam ir šāds: </w:t>
      </w:r>
    </w:p>
    <w:p>
      <w:pPr>
        <w:pStyle w:val="Text1"/>
        <w:rPr>
          <w:noProof/>
        </w:rPr>
      </w:pPr>
      <w:r>
        <w:rPr>
          <w:noProof/>
        </w:rPr>
        <w:t xml:space="preserve">a) 11 098 000 EUR Grieķijai; </w:t>
      </w:r>
    </w:p>
    <w:p>
      <w:pPr>
        <w:pStyle w:val="Text1"/>
        <w:rPr>
          <w:noProof/>
        </w:rPr>
      </w:pPr>
      <w:r>
        <w:rPr>
          <w:noProof/>
        </w:rPr>
        <w:t xml:space="preserve">b) 576 000 EUR Francijai; </w:t>
      </w:r>
    </w:p>
    <w:p>
      <w:pPr>
        <w:pStyle w:val="Text1"/>
        <w:rPr>
          <w:noProof/>
        </w:rPr>
      </w:pPr>
      <w:r>
        <w:rPr>
          <w:noProof/>
        </w:rPr>
        <w:t>c) 35 991 000 EUR Itālijai.</w:t>
      </w:r>
    </w:p>
    <w:p>
      <w:pPr>
        <w:pStyle w:val="Text1"/>
        <w:rPr>
          <w:noProof/>
        </w:rPr>
      </w:pPr>
      <w:r>
        <w:rPr>
          <w:noProof/>
        </w:rPr>
        <w:t>Savienības finansējums 1. punktā minētajām darba programmām 2021. gadam ir šāds:</w:t>
      </w:r>
    </w:p>
    <w:p>
      <w:pPr>
        <w:pStyle w:val="Text1"/>
        <w:rPr>
          <w:noProof/>
        </w:rPr>
      </w:pPr>
      <w:r>
        <w:rPr>
          <w:noProof/>
        </w:rPr>
        <w:lastRenderedPageBreak/>
        <w:t xml:space="preserve">a) 10 666 000 EUR Grieķijai; </w:t>
      </w:r>
    </w:p>
    <w:p>
      <w:pPr>
        <w:pStyle w:val="Text1"/>
        <w:rPr>
          <w:noProof/>
        </w:rPr>
      </w:pPr>
      <w:r>
        <w:rPr>
          <w:noProof/>
        </w:rPr>
        <w:t xml:space="preserve">b) 554 000 EUR Francijai; </w:t>
      </w:r>
    </w:p>
    <w:p>
      <w:pPr>
        <w:pStyle w:val="Text1"/>
        <w:rPr>
          <w:noProof/>
        </w:rPr>
      </w:pPr>
      <w:r>
        <w:rPr>
          <w:noProof/>
        </w:rPr>
        <w:t>c) 34 590 000 EUR Itālijai.”;</w:t>
      </w:r>
    </w:p>
    <w:p>
      <w:pPr>
        <w:pStyle w:val="Point0"/>
        <w:rPr>
          <w:noProof/>
        </w:rPr>
      </w:pPr>
      <w:r>
        <w:t>(2)</w:t>
      </w:r>
      <w:r>
        <w:tab/>
      </w:r>
      <w:r>
        <w:rPr>
          <w:noProof/>
        </w:rPr>
        <w:t>regulas 58. panta 2. punktu aizstāj ar šādu:</w:t>
      </w:r>
    </w:p>
    <w:p>
      <w:pPr>
        <w:pStyle w:val="Text1"/>
        <w:rPr>
          <w:noProof/>
        </w:rPr>
      </w:pPr>
      <w:r>
        <w:rPr>
          <w:noProof/>
        </w:rPr>
        <w:t>“2. Šā panta 1. punktā minētais Savienības finansējums Vācijas ražotāju organizācijām 2020. gadā ir 2 277 000 EUR.</w:t>
      </w:r>
    </w:p>
    <w:p>
      <w:pPr>
        <w:pStyle w:val="Text1"/>
        <w:rPr>
          <w:i/>
          <w:iCs/>
          <w:noProof/>
        </w:rPr>
      </w:pPr>
      <w:r>
        <w:rPr>
          <w:noProof/>
        </w:rPr>
        <w:t xml:space="preserve">Šā panta 1. punktā minētais Savienības finansējums Vācijas ražotāju organizācijām 2021. gadā ir 2 188 000 EUR.”; </w:t>
      </w:r>
    </w:p>
    <w:p>
      <w:pPr>
        <w:pStyle w:val="Point0"/>
        <w:rPr>
          <w:i/>
          <w:iCs/>
          <w:noProof/>
        </w:rPr>
      </w:pPr>
      <w:r>
        <w:t>(3)</w:t>
      </w:r>
      <w:r>
        <w:tab/>
      </w:r>
      <w:r>
        <w:rPr>
          <w:noProof/>
        </w:rPr>
        <w:t xml:space="preserve">VI pielikumu aizstāj ar šīs regulas III pielikuma tekstu. </w:t>
      </w:r>
    </w:p>
    <w:p>
      <w:pPr>
        <w:pStyle w:val="Titrearticle"/>
        <w:rPr>
          <w:noProof/>
        </w:rPr>
      </w:pPr>
      <w:r>
        <w:rPr>
          <w:noProof/>
        </w:rPr>
        <w:t>12. pants</w:t>
      </w:r>
    </w:p>
    <w:p>
      <w:pPr>
        <w:pStyle w:val="Titrearticle"/>
        <w:spacing w:before="0"/>
        <w:rPr>
          <w:i w:val="0"/>
          <w:noProof/>
        </w:rPr>
      </w:pPr>
      <w:r>
        <w:rPr>
          <w:noProof/>
        </w:rPr>
        <w:t>Grozījumi Regulā (ES) Nr. 228/2013</w:t>
      </w:r>
    </w:p>
    <w:p>
      <w:pPr>
        <w:rPr>
          <w:noProof/>
        </w:rPr>
      </w:pPr>
      <w:r>
        <w:rPr>
          <w:noProof/>
        </w:rPr>
        <w:t>Regulas (ES) Nr. 228/2013 30. panta 1., 2. un 3. punktu aizstāj ar šādiem:</w:t>
      </w:r>
    </w:p>
    <w:p>
      <w:pPr>
        <w:pStyle w:val="Text1"/>
        <w:rPr>
          <w:noProof/>
        </w:rPr>
      </w:pPr>
      <w:r>
        <w:rPr>
          <w:noProof/>
        </w:rPr>
        <w:t>“1. Šī regula nosaka intervenci, kas paredzēta, lai stabilizētu lauksaimniecības tirgus Eiropas Parlamenta un Padomes Regulas (ES) Nr. 1306/2013* 4. panta 1. punkta a) apakšpunkta nozīmē, izņemot pasākumus, kas noteikti šīs regulas 22. un 24. pantā.</w:t>
      </w:r>
    </w:p>
    <w:p>
      <w:pPr>
        <w:pStyle w:val="Text1"/>
        <w:rPr>
          <w:noProof/>
        </w:rPr>
      </w:pPr>
      <w:r>
        <w:rPr>
          <w:noProof/>
        </w:rPr>
        <w:t xml:space="preserve">2. Attiecībā uz katru finanšu gadu Savienība finansē III un IV nodaļā paredzētos pasākumus, nepārsniedzot šādas ikgadējās summas: </w:t>
      </w:r>
    </w:p>
    <w:p>
      <w:pPr>
        <w:pStyle w:val="Text1"/>
        <w:rPr>
          <w:noProof/>
        </w:rPr>
      </w:pPr>
      <w:r>
        <w:rPr>
          <w:noProof/>
        </w:rPr>
        <w:t>– Francijas Aizjūras departamentos: 267 580 000 EUR,</w:t>
      </w:r>
    </w:p>
    <w:p>
      <w:pPr>
        <w:pStyle w:val="Text1"/>
        <w:rPr>
          <w:noProof/>
        </w:rPr>
      </w:pPr>
      <w:r>
        <w:rPr>
          <w:noProof/>
        </w:rPr>
        <w:t xml:space="preserve">– Azoru salās un Madeirā: 102 080 000 EUR, </w:t>
      </w:r>
    </w:p>
    <w:p>
      <w:pPr>
        <w:pStyle w:val="Text1"/>
        <w:rPr>
          <w:noProof/>
        </w:rPr>
      </w:pPr>
      <w:r>
        <w:rPr>
          <w:noProof/>
        </w:rPr>
        <w:t xml:space="preserve">– Kanāriju salās: 257 970 000 EUR. </w:t>
      </w:r>
    </w:p>
    <w:p>
      <w:pPr>
        <w:pStyle w:val="Text1"/>
        <w:rPr>
          <w:noProof/>
        </w:rPr>
      </w:pPr>
      <w:r>
        <w:rPr>
          <w:noProof/>
        </w:rPr>
        <w:t xml:space="preserve">3. Summas, ko attiecībā uz katru finanšu gadu piešķir III nodaļā paredzētajiem pasākumiem, nedrīkst pārsniegt šādas summas: </w:t>
      </w:r>
    </w:p>
    <w:p>
      <w:pPr>
        <w:pStyle w:val="Text1"/>
        <w:rPr>
          <w:noProof/>
        </w:rPr>
      </w:pPr>
      <w:r>
        <w:rPr>
          <w:noProof/>
        </w:rPr>
        <w:t xml:space="preserve">– Francijas Aizjūras departamentos: 25 900 000 EUR, </w:t>
      </w:r>
    </w:p>
    <w:p>
      <w:pPr>
        <w:pStyle w:val="Text1"/>
        <w:rPr>
          <w:noProof/>
        </w:rPr>
      </w:pPr>
      <w:r>
        <w:rPr>
          <w:noProof/>
        </w:rPr>
        <w:t>– Azoru salās un Madeirā: 20 400 000 EUR,</w:t>
      </w:r>
    </w:p>
    <w:p>
      <w:pPr>
        <w:pStyle w:val="Text1"/>
        <w:rPr>
          <w:noProof/>
        </w:rPr>
      </w:pPr>
      <w:r>
        <w:rPr>
          <w:noProof/>
        </w:rPr>
        <w:t xml:space="preserve">– Kanāriju salās: 69 900 000 EUR. </w:t>
      </w:r>
    </w:p>
    <w:p>
      <w:pPr>
        <w:pStyle w:val="Text1"/>
        <w:rPr>
          <w:noProof/>
        </w:rPr>
      </w:pPr>
      <w:r>
        <w:rPr>
          <w:noProof/>
        </w:rPr>
        <w:t xml:space="preserve">Komisija pieņem īstenošanas aktus, ar kuriem nosaka prasības, saskaņā ar kurām dalībvalstis var grozīt to resursu sadalījumu, ko katru gadu piešķir dažādajiem produktiem, kuriem piemēro īpašo piegādes režīmu. Minētos īstenošanas aktus pieņem saskaņā ar 34. panta 2. punktā minēto pārbaudes procedūru. </w:t>
      </w:r>
    </w:p>
    <w:p>
      <w:pPr>
        <w:pStyle w:val="Text1"/>
        <w:rPr>
          <w:noProof/>
        </w:rPr>
      </w:pPr>
      <w:r>
        <w:rPr>
          <w:noProof/>
        </w:rPr>
        <w:t>--</w:t>
      </w:r>
    </w:p>
    <w:p>
      <w:pPr>
        <w:pStyle w:val="Text1"/>
        <w:rPr>
          <w:noProof/>
        </w:rPr>
      </w:pPr>
      <w:r>
        <w:rPr>
          <w:noProof/>
        </w:rPr>
        <w:t>*</w:t>
      </w:r>
      <w:r>
        <w:rPr>
          <w:noProof/>
        </w:rPr>
        <w:tab/>
        <w:t>Eiropas Parlamenta un Padomes Regula (ES) Nr. 1306/2013 (2013. gada 17. decembris) par kopējās lauksaimniecības politikas finansēšanu, pārvaldību un uzraudzību un Padomes Regulu (EEK) Nr. 352/78, (EK) Nr. 165/94, (EK) Nr. 2799/98, (EK) Nr. 814/2000, (EK) Nr. 1290/2005 un (EK) Nr. 485/2008 atcelšanu (OV L 347, 20.12.2013., 549. lpp.).”</w:t>
      </w:r>
    </w:p>
    <w:p>
      <w:pPr>
        <w:pStyle w:val="Titrearticle"/>
        <w:rPr>
          <w:noProof/>
        </w:rPr>
      </w:pPr>
      <w:r>
        <w:rPr>
          <w:noProof/>
        </w:rPr>
        <w:t>13. pants</w:t>
      </w:r>
    </w:p>
    <w:p>
      <w:pPr>
        <w:pStyle w:val="Titrearticle"/>
        <w:spacing w:before="0" w:after="0"/>
        <w:rPr>
          <w:b/>
          <w:bCs/>
          <w:noProof/>
        </w:rPr>
      </w:pPr>
      <w:r>
        <w:rPr>
          <w:noProof/>
        </w:rPr>
        <w:t>Grozījumi Regulā (ES) Nr. 229/2013</w:t>
      </w:r>
    </w:p>
    <w:p>
      <w:pPr>
        <w:rPr>
          <w:noProof/>
        </w:rPr>
      </w:pPr>
      <w:r>
        <w:rPr>
          <w:noProof/>
        </w:rPr>
        <w:t xml:space="preserve">Regulas (ES) Nr. 229/2013 18. panta 2. un 3. punktu aizstāj ar šādiem: </w:t>
      </w:r>
    </w:p>
    <w:p>
      <w:pPr>
        <w:pStyle w:val="Text1"/>
        <w:rPr>
          <w:noProof/>
        </w:rPr>
      </w:pPr>
      <w:r>
        <w:rPr>
          <w:noProof/>
        </w:rPr>
        <w:t xml:space="preserve">“2. Savienība finansē III un IV nodaļā paredzētos pasākumus, nepārsniedzot 23 000 000 EUR. </w:t>
      </w:r>
    </w:p>
    <w:p>
      <w:pPr>
        <w:pStyle w:val="Text1"/>
        <w:rPr>
          <w:noProof/>
        </w:rPr>
      </w:pPr>
      <w:r>
        <w:rPr>
          <w:noProof/>
        </w:rPr>
        <w:lastRenderedPageBreak/>
        <w:t xml:space="preserve">3. Summa, ko piešķir, lai finansētu III nodaļā minēto īpašo piegādes režīmu, nepārsniedz 6 830 000 EUR.” .  </w:t>
      </w:r>
    </w:p>
    <w:p>
      <w:pPr>
        <w:pStyle w:val="PartTitle"/>
        <w:rPr>
          <w:noProof/>
        </w:rPr>
      </w:pPr>
      <w:r>
        <w:rPr>
          <w:noProof/>
        </w:rPr>
        <w:lastRenderedPageBreak/>
        <w:t>III sadaļa</w:t>
      </w:r>
      <w:r>
        <w:rPr>
          <w:noProof/>
        </w:rPr>
        <w:br/>
        <w:t>Nobeiguma noteikumi</w:t>
      </w:r>
    </w:p>
    <w:p>
      <w:pPr>
        <w:pStyle w:val="Titrearticle"/>
        <w:rPr>
          <w:noProof/>
        </w:rPr>
      </w:pPr>
      <w:r>
        <w:rPr>
          <w:noProof/>
        </w:rPr>
        <w:t>14. pants</w:t>
      </w:r>
    </w:p>
    <w:p>
      <w:pPr>
        <w:pStyle w:val="Titrearticle"/>
        <w:spacing w:before="0"/>
        <w:rPr>
          <w:b/>
          <w:noProof/>
        </w:rPr>
      </w:pPr>
      <w:r>
        <w:rPr>
          <w:noProof/>
        </w:rPr>
        <w:t>Stāšanās spēkā un piemērošana</w:t>
      </w:r>
    </w:p>
    <w:p>
      <w:pPr>
        <w:rPr>
          <w:noProof/>
        </w:rPr>
      </w:pPr>
      <w:r>
        <w:rPr>
          <w:noProof/>
        </w:rPr>
        <w:t xml:space="preserve">Šī regula stājas spēkā septītajā dienā pēc tās publicēšanas </w:t>
      </w:r>
      <w:r>
        <w:rPr>
          <w:i/>
          <w:iCs/>
          <w:noProof/>
        </w:rPr>
        <w:t>Eiropas Savienības Oficiālajā Vēstnesī</w:t>
      </w:r>
      <w:r>
        <w:rPr>
          <w:noProof/>
        </w:rPr>
        <w:t>.</w:t>
      </w:r>
    </w:p>
    <w:p>
      <w:pPr>
        <w:rPr>
          <w:noProof/>
        </w:rPr>
      </w:pPr>
      <w:r>
        <w:rPr>
          <w:noProof/>
        </w:rPr>
        <w:t>Tomēr</w:t>
      </w:r>
    </w:p>
    <w:p>
      <w:pPr>
        <w:pStyle w:val="Tiret0"/>
        <w:numPr>
          <w:ilvl w:val="0"/>
          <w:numId w:val="24"/>
        </w:numPr>
        <w:rPr>
          <w:noProof/>
        </w:rPr>
      </w:pPr>
      <w:r>
        <w:rPr>
          <w:noProof/>
        </w:rPr>
        <w:t>regulas 10. panta 6. punktu piemēro no 2020. gada 1. janvāra,</w:t>
      </w:r>
    </w:p>
    <w:p>
      <w:pPr>
        <w:pStyle w:val="Tiret0"/>
        <w:rPr>
          <w:noProof/>
        </w:rPr>
      </w:pPr>
      <w:r>
        <w:rPr>
          <w:noProof/>
        </w:rPr>
        <w:t>regulas 12. un 13. pantu piemēro no 2021. gada 1. janvāra.</w:t>
      </w:r>
    </w:p>
    <w:p>
      <w:pPr>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w:t>
      </w:r>
      <w:r>
        <w:rPr>
          <w:noProof/>
        </w:rPr>
        <w:tab/>
        <w:t>Padomes vārdā –</w:t>
      </w:r>
    </w:p>
    <w:p>
      <w:pPr>
        <w:pStyle w:val="Personnequisigne"/>
        <w:rPr>
          <w:noProof/>
        </w:rPr>
      </w:pPr>
      <w:r>
        <w:rPr>
          <w:noProof/>
        </w:rPr>
        <w:t>priekšsēdētājs</w:t>
      </w:r>
      <w:r>
        <w:rPr>
          <w:noProof/>
        </w:rPr>
        <w:tab/>
        <w:t>priekšsēdētājs</w:t>
      </w:r>
    </w:p>
    <w:p>
      <w:pPr>
        <w:spacing w:before="0" w:after="200" w:line="276" w:lineRule="auto"/>
        <w:jc w:val="left"/>
        <w:rPr>
          <w:i/>
          <w:noProof/>
        </w:rPr>
      </w:pPr>
      <w:r>
        <w:rPr>
          <w:noProof/>
        </w:rPr>
        <w:br w:type="page"/>
      </w:r>
    </w:p>
    <w:p>
      <w:pPr>
        <w:pStyle w:val="Fichefinanciretitre"/>
        <w:rPr>
          <w:noProof/>
        </w:rPr>
      </w:pPr>
      <w:r>
        <w:rPr>
          <w:noProof/>
        </w:rPr>
        <w:lastRenderedPageBreak/>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b w:val="0"/>
          <w:noProof/>
        </w:rPr>
        <w:tab/>
        <w:t xml:space="preserve">Priekšlikuma/iniciatīvas nosaukums </w:t>
      </w:r>
    </w:p>
    <w:p>
      <w:pPr>
        <w:pStyle w:val="ManualHeading2"/>
        <w:rPr>
          <w:b w:val="0"/>
          <w:noProof/>
        </w:rPr>
      </w:pPr>
      <w:r>
        <w:rPr>
          <w:b w:val="0"/>
          <w:noProof/>
        </w:rPr>
        <w:tab/>
        <w:t>1.2.</w:t>
      </w:r>
      <w:r>
        <w:rPr>
          <w:b w:val="0"/>
          <w:noProof/>
        </w:rPr>
        <w:tab/>
        <w:t xml:space="preserve">Attiecīgās rīcībpolitikas jomas </w:t>
      </w:r>
      <w:r>
        <w:rPr>
          <w:b w:val="0"/>
          <w:i/>
          <w:noProof/>
        </w:rPr>
        <w:t>(programmu kopums)</w:t>
      </w:r>
    </w:p>
    <w:p>
      <w:pPr>
        <w:pStyle w:val="ManualHeading2"/>
        <w:rPr>
          <w:b w:val="0"/>
          <w:noProof/>
        </w:rPr>
      </w:pPr>
      <w:r>
        <w:rPr>
          <w:b w:val="0"/>
          <w:noProof/>
        </w:rPr>
        <w:tab/>
        <w:t>1.3.</w:t>
      </w:r>
      <w:r>
        <w:rPr>
          <w:b w:val="0"/>
          <w:noProof/>
        </w:rPr>
        <w:tab/>
        <w:t xml:space="preserve">Priekšlikuma/iniciatīvas būtība </w:t>
      </w:r>
    </w:p>
    <w:p>
      <w:pPr>
        <w:pStyle w:val="ManualHeading2"/>
        <w:rPr>
          <w:b w:val="0"/>
          <w:noProof/>
        </w:rPr>
      </w:pPr>
      <w:r>
        <w:rPr>
          <w:b w:val="0"/>
          <w:noProof/>
        </w:rPr>
        <w:tab/>
        <w:t>1.4.</w:t>
      </w:r>
      <w:r>
        <w:rPr>
          <w:b w:val="0"/>
          <w:noProof/>
        </w:rPr>
        <w:tab/>
        <w:t xml:space="preserve">Priekšlikuma/iniciatīvas pamatojums </w:t>
      </w:r>
    </w:p>
    <w:p>
      <w:pPr>
        <w:pStyle w:val="ManualHeading2"/>
        <w:rPr>
          <w:b w:val="0"/>
          <w:noProof/>
        </w:rPr>
      </w:pPr>
      <w:r>
        <w:rPr>
          <w:b w:val="0"/>
          <w:noProof/>
        </w:rPr>
        <w:tab/>
        <w:t>1.5.</w:t>
      </w:r>
      <w:r>
        <w:rPr>
          <w:b w:val="0"/>
          <w:noProof/>
        </w:rPr>
        <w:tab/>
        <w:t xml:space="preserve">Ilgums un finansiālā ietekme </w:t>
      </w:r>
    </w:p>
    <w:p>
      <w:pPr>
        <w:pStyle w:val="ManualHeading2"/>
        <w:rPr>
          <w:b w:val="0"/>
          <w:noProof/>
        </w:rPr>
      </w:pPr>
      <w:r>
        <w:rPr>
          <w:b w:val="0"/>
          <w:noProof/>
        </w:rPr>
        <w:tab/>
        <w:t>1.6.</w:t>
      </w:r>
      <w:r>
        <w:rPr>
          <w:b w:val="0"/>
          <w:noProof/>
        </w:rPr>
        <w:tab/>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b w:val="0"/>
          <w:noProof/>
        </w:rPr>
        <w:tab/>
        <w:t>2.1.</w:t>
      </w:r>
      <w:r>
        <w:rPr>
          <w:b w:val="0"/>
          <w:noProof/>
        </w:rPr>
        <w:tab/>
        <w:t xml:space="preserve">Uzraudzības un ziņošanas noteikumi </w:t>
      </w:r>
    </w:p>
    <w:p>
      <w:pPr>
        <w:pStyle w:val="ManualHeading2"/>
        <w:rPr>
          <w:b w:val="0"/>
          <w:noProof/>
        </w:rPr>
      </w:pPr>
      <w:r>
        <w:rPr>
          <w:b w:val="0"/>
          <w:noProof/>
        </w:rPr>
        <w:tab/>
        <w:t>2.2.</w:t>
      </w:r>
      <w:r>
        <w:rPr>
          <w:b w:val="0"/>
          <w:noProof/>
        </w:rPr>
        <w:tab/>
        <w:t xml:space="preserve">Pārvaldības un kontroles sistēma </w:t>
      </w:r>
    </w:p>
    <w:p>
      <w:pPr>
        <w:pStyle w:val="ManualHeading2"/>
        <w:rPr>
          <w:b w:val="0"/>
          <w:noProof/>
        </w:rPr>
      </w:pPr>
      <w:r>
        <w:rPr>
          <w:b w:val="0"/>
          <w:noProof/>
        </w:rPr>
        <w:tab/>
        <w:t>2.3.</w:t>
      </w:r>
      <w:r>
        <w:rPr>
          <w:b w:val="0"/>
          <w:noProof/>
        </w:rPr>
        <w:tab/>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b w:val="0"/>
          <w:noProof/>
        </w:rPr>
        <w:tab/>
        <w:t>3.1.</w:t>
      </w:r>
      <w:r>
        <w:rPr>
          <w:b w:val="0"/>
          <w:noProof/>
        </w:rPr>
        <w:tab/>
        <w:t xml:space="preserve">Attiecīgās daudzgadu finanšu shēmas izdevumu kategorijas un budžeta izdevumu pozīcijas </w:t>
      </w:r>
    </w:p>
    <w:p>
      <w:pPr>
        <w:pStyle w:val="ManualHeading2"/>
        <w:rPr>
          <w:noProof/>
        </w:rPr>
      </w:pPr>
      <w:r>
        <w:rPr>
          <w:b w:val="0"/>
          <w:noProof/>
        </w:rPr>
        <w:tab/>
        <w:t>3.2.</w:t>
      </w:r>
      <w:r>
        <w:rPr>
          <w:b w:val="0"/>
          <w:noProof/>
        </w:rPr>
        <w:tab/>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Paredzamā ietekme uz administratīvajām apropriācijām</w:t>
      </w:r>
    </w:p>
    <w:p>
      <w:pPr>
        <w:pStyle w:val="ManualHeading3"/>
        <w:rPr>
          <w:noProof/>
        </w:rPr>
      </w:pPr>
      <w:r>
        <w:rPr>
          <w:noProof/>
        </w:rPr>
        <w:tab/>
        <w:t>3.2.3.</w:t>
      </w:r>
      <w:r>
        <w:rPr>
          <w:noProof/>
        </w:rPr>
        <w:tab/>
        <w:t xml:space="preserve">Trešo personu iemaksas </w:t>
      </w:r>
    </w:p>
    <w:p>
      <w:pPr>
        <w:pStyle w:val="ManualHeading2"/>
        <w:jc w:val="left"/>
        <w:rPr>
          <w:b w:val="0"/>
          <w:noProof/>
        </w:rPr>
      </w:pPr>
      <w:r>
        <w:rPr>
          <w:b w:val="0"/>
          <w:noProof/>
        </w:rPr>
        <w:tab/>
        <w:t>3.3.</w:t>
      </w:r>
      <w:r>
        <w:rPr>
          <w:b w:val="0"/>
          <w:noProof/>
        </w:rPr>
        <w:tab/>
        <w:t>Paredzamā ietekme uz ieņēmumiem</w:t>
      </w:r>
    </w:p>
    <w:p>
      <w:pPr>
        <w:spacing w:before="0" w:after="0"/>
        <w:jc w:val="left"/>
        <w:rPr>
          <w:noProof/>
        </w:rPr>
        <w:sectPr>
          <w:headerReference w:type="default" r:id="rId13"/>
          <w:footerReference w:type="default" r:id="rId14"/>
          <w:headerReference w:type="first" r:id="rId15"/>
          <w:footerReference w:type="first" r:id="rId16"/>
          <w:pgSz w:w="11907" w:h="16840"/>
          <w:pgMar w:top="709" w:right="992" w:bottom="851" w:left="993" w:header="709" w:footer="709" w:gutter="0"/>
          <w:pgNumType w:start="1"/>
          <w:cols w:space="720"/>
          <w:docGrid w:linePitch="326"/>
        </w:sectPr>
      </w:pP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Priekšlikums Eiropas Parlamenta un Padomes regulai, ar kuru nosaka konkrētus pārejas noteikumus Eiropas Lauksaimniecības fonda lauku attīstībai (ELFLA) un Eiropas Lauksaimniecības garantiju fonda (ELGF) atbalstam 2021. gadā un ar kuru attiecībā uz līdzekļiem un to sadalījumu 2021. gadam groza Regulu (ES) Nr. 228/2013, (ES) Nr. 229/2013 un (ES) Nr. 1308/2013, un ar kuru attiecībā uz līdzekļiem un piemērošanu 2021. gadā groza Regulu (ES) Nr. 1305/2013, (ES) Nr. 1306/2013 un (ES) Nr. 1307/2013. </w:t>
      </w:r>
    </w:p>
    <w:p>
      <w:pPr>
        <w:pStyle w:val="Text1"/>
        <w:pBdr>
          <w:top w:val="single" w:sz="4" w:space="1" w:color="auto"/>
          <w:left w:val="single" w:sz="4" w:space="4" w:color="auto"/>
          <w:bottom w:val="single" w:sz="4" w:space="1" w:color="auto"/>
          <w:right w:val="single" w:sz="4" w:space="4" w:color="auto"/>
        </w:pBdr>
        <w:rPr>
          <w:noProof/>
        </w:rPr>
      </w:pPr>
      <w:r>
        <w:rPr>
          <w:noProof/>
        </w:rPr>
        <w:t>B) Priekšlikums Eiropas Parlamenta un Padomes regulai, ar ko attiecībā uz finanšu disciplīnu no 2021. finanšu gada groza Regulu (ES) Nr. 1306/2013 un attiecībā uz elastīgumu starp pīlāriem 2020. kalendārajā gadā groza Regulu (ES) Nr. 1307/2013.</w:t>
      </w:r>
    </w:p>
    <w:p>
      <w:pPr>
        <w:pStyle w:val="ManualHeading2"/>
        <w:rPr>
          <w:noProof/>
          <w:szCs w:val="24"/>
        </w:rPr>
      </w:pPr>
      <w:r>
        <w:t>1.2.</w:t>
      </w:r>
      <w:r>
        <w:tab/>
      </w:r>
      <w:r>
        <w:rPr>
          <w:noProof/>
        </w:rPr>
        <w:t xml:space="preserve">Attiecīgās rīcībpolitikas jomas </w:t>
      </w:r>
      <w:r>
        <w:rPr>
          <w:i/>
          <w:noProof/>
        </w:rPr>
        <w:t>(programmu kopums)</w:t>
      </w:r>
    </w:p>
    <w:p>
      <w:pPr>
        <w:pStyle w:val="Text1"/>
        <w:pBdr>
          <w:top w:val="single" w:sz="4" w:space="1" w:color="auto"/>
          <w:left w:val="single" w:sz="4" w:space="4" w:color="auto"/>
          <w:bottom w:val="single" w:sz="4" w:space="1" w:color="auto"/>
          <w:right w:val="single" w:sz="4" w:space="4" w:color="auto"/>
        </w:pBdr>
        <w:rPr>
          <w:noProof/>
        </w:rPr>
      </w:pPr>
      <w:r>
        <w:rPr>
          <w:noProof/>
        </w:rPr>
        <w:t>8. programmu kopums “Lauksaimniecības un jūrlietu politika” daudzgadu finanšu shēmas (DFS) 2021.–2027. gadam 3. kategorijā “Dabas resursi un vide”.</w:t>
      </w:r>
    </w:p>
    <w:p>
      <w:pPr>
        <w:pStyle w:val="ManualHeading2"/>
        <w:rPr>
          <w:bCs/>
          <w:noProof/>
          <w:szCs w:val="24"/>
        </w:rPr>
      </w:pPr>
      <w:r>
        <w:t>1.3.</w:t>
      </w:r>
      <w:r>
        <w:tab/>
      </w:r>
      <w:r>
        <w:rPr>
          <w:noProof/>
        </w:rPr>
        <w:t xml:space="preserve">Priekšlikums attiecas uz: </w:t>
      </w:r>
    </w:p>
    <w:p>
      <w:pPr>
        <w:pStyle w:val="Text1"/>
        <w:rPr>
          <w:b/>
          <w:noProof/>
          <w:sz w:val="22"/>
        </w:rPr>
      </w:pPr>
      <w:r>
        <w:rPr>
          <w:noProof/>
          <w:sz w:val="22"/>
        </w:rPr>
        <w:sym w:font="Wingdings" w:char="F0A8"/>
      </w:r>
      <w:r>
        <w:rPr>
          <w:b/>
          <w:i/>
          <w:noProof/>
          <w:sz w:val="22"/>
        </w:rPr>
        <w:t xml:space="preserve"> </w:t>
      </w:r>
      <w:r>
        <w:rPr>
          <w:b/>
          <w:noProof/>
        </w:rPr>
        <w:t>jaunu darbību</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jaunu darbību, pamatojoties uz izmēģinājuma projektu / sagatavošanas darbību</w:t>
      </w:r>
      <w:r>
        <w:rPr>
          <w:rStyle w:val="FootnoteReference0"/>
          <w:b/>
          <w:noProof/>
        </w:rPr>
        <w:footnoteReference w:id="20"/>
      </w:r>
      <w:r>
        <w:rPr>
          <w:noProof/>
          <w:sz w:val="22"/>
        </w:rPr>
        <w:t xml:space="preserve"> </w:t>
      </w:r>
    </w:p>
    <w:p>
      <w:pPr>
        <w:pStyle w:val="Text1"/>
        <w:rPr>
          <w:noProof/>
          <w:sz w:val="22"/>
        </w:rPr>
      </w:pPr>
      <w:r>
        <w:rPr>
          <w:noProof/>
          <w:sz w:val="22"/>
        </w:rPr>
        <w:sym w:font="Wingdings" w:char="F078"/>
      </w:r>
      <w:r>
        <w:rPr>
          <w:i/>
          <w:noProof/>
          <w:sz w:val="22"/>
        </w:rPr>
        <w:t xml:space="preserve"> </w:t>
      </w:r>
      <w:r>
        <w:rPr>
          <w:b/>
          <w:noProof/>
        </w:rPr>
        <w:t>esošas darbības pagarināšanu</w:t>
      </w:r>
      <w:r>
        <w:rPr>
          <w:noProof/>
          <w:sz w:val="22"/>
        </w:rPr>
        <w:t xml:space="preserve"> </w:t>
      </w:r>
    </w:p>
    <w:p>
      <w:pPr>
        <w:pStyle w:val="Text1"/>
        <w:rPr>
          <w:noProof/>
        </w:rPr>
      </w:pPr>
      <w:r>
        <w:rPr>
          <w:noProof/>
          <w:sz w:val="22"/>
        </w:rPr>
        <w:sym w:font="Wingdings" w:char="F0A8"/>
      </w:r>
      <w:r>
        <w:rPr>
          <w:i/>
          <w:noProof/>
          <w:sz w:val="22"/>
        </w:rPr>
        <w:t xml:space="preserve"> </w:t>
      </w:r>
      <w:r>
        <w:rPr>
          <w:b/>
          <w:noProof/>
        </w:rPr>
        <w:t>vienas vai vairāku darbību apvienošanu vai pārorientēšanu uz citu/jaunu darbību</w:t>
      </w:r>
      <w:r>
        <w:rPr>
          <w:noProof/>
        </w:rPr>
        <w:t xml:space="preserve"> </w:t>
      </w:r>
    </w:p>
    <w:p>
      <w:pPr>
        <w:pStyle w:val="ManualHeading2"/>
        <w:rPr>
          <w:bCs/>
          <w:noProof/>
          <w:szCs w:val="24"/>
        </w:rPr>
      </w:pPr>
      <w:r>
        <w:t>1.4.</w:t>
      </w:r>
      <w:r>
        <w:tab/>
      </w:r>
      <w:r>
        <w:rPr>
          <w:noProof/>
        </w:rPr>
        <w:t xml:space="preserve">Priekšlikuma/iniciatīvas pamatojums </w:t>
      </w:r>
    </w:p>
    <w:p>
      <w:pPr>
        <w:pStyle w:val="ManualHeading3"/>
        <w:rPr>
          <w:noProof/>
        </w:rPr>
      </w:pPr>
      <w:r>
        <w:t>1.4.1.</w:t>
      </w:r>
      <w:r>
        <w:tab/>
      </w:r>
      <w:r>
        <w:rPr>
          <w:noProof/>
        </w:rPr>
        <w:t>Īstermiņā vai ilgtermiņā izpildāmās vajadzības, arī sīki izstrādāts iniciatīvas izvēršanas grafiks</w:t>
      </w:r>
    </w:p>
    <w:p>
      <w:pPr>
        <w:pStyle w:val="Text1"/>
        <w:pBdr>
          <w:top w:val="single" w:sz="4" w:space="1" w:color="auto"/>
          <w:left w:val="single" w:sz="4" w:space="4" w:color="auto"/>
          <w:bottom w:val="single" w:sz="4" w:space="1" w:color="auto"/>
          <w:right w:val="single" w:sz="4" w:space="4" w:color="auto"/>
        </w:pBdr>
        <w:rPr>
          <w:noProof/>
        </w:rPr>
      </w:pPr>
      <w:r>
        <w:rPr>
          <w:noProof/>
        </w:rPr>
        <w:t>Pašreizējā priekšlikuma mērķis ir nodrošināt konkrētu kopējās lauksaimniecības politikas (KLP) elementu turpināšanos vienu gadu ilgā pārejas laikā pēc 2014.–2020. gada plānošanas perioda, līdz tiek piemēroti noteikumi par KLP stratēģiskajiem plāniem saskaņā ar Komisijas priekšlikumu (COM(2018) 392 final). Papildu paskaidrojumi ir ietverti paskaidrojuma rakstā par pašreizējiem priekšlikumiem un 1.4.1. punktā tiesība akta priekšlikuma finanšu pārskatā, kas pievienots Komisijas priekšlikumam laikposmam pēc 2020. gada (COM(2018) 392 final).</w:t>
      </w:r>
    </w:p>
    <w:p>
      <w:pPr>
        <w:pStyle w:val="ManualHeading3"/>
        <w:rPr>
          <w:bCs/>
          <w:noProof/>
          <w:szCs w:val="24"/>
        </w:rPr>
      </w:pPr>
      <w:r>
        <w:t>1.4.2.</w:t>
      </w:r>
      <w:r>
        <w:tab/>
      </w:r>
      <w:r>
        <w:rPr>
          <w:noProof/>
        </w:rPr>
        <w:t>Savienības iesaistīšanās pievienotā vērtība (tās pamatā var būt dažādi faktori, piemēram, koordinēšanas radītie ieguvumi, juridiskā noteiktība, lielāka rezultativitāte vai komplementaritāte). Šā punkta izpratnē “Savienības iesaistīšanās pievienotā vērtība” ir vērtība, kas veidojas Savienības iesaistīšanās rezultātā un kas papildina vērtību, kura veidotos, ja dalībvalstis rīkotos atsevišķi.</w:t>
      </w:r>
    </w:p>
    <w:p>
      <w:pPr>
        <w:pStyle w:val="Text1"/>
        <w:pBdr>
          <w:top w:val="single" w:sz="4" w:space="1" w:color="auto"/>
          <w:left w:val="single" w:sz="4" w:space="4" w:color="auto"/>
          <w:bottom w:val="single" w:sz="4" w:space="1" w:color="auto"/>
          <w:right w:val="single" w:sz="4" w:space="4" w:color="auto"/>
        </w:pBdr>
        <w:rPr>
          <w:noProof/>
        </w:rPr>
      </w:pPr>
      <w:r>
        <w:rPr>
          <w:noProof/>
        </w:rPr>
        <w:t>Skatīt 1.4.1. punktu tiesību akta priekšlikuma finanšu pārskatā, kas pievienots dokumentam COM(2018) 392 final.</w:t>
      </w:r>
    </w:p>
    <w:p>
      <w:pPr>
        <w:pStyle w:val="ManualHeading3"/>
        <w:rPr>
          <w:bCs/>
          <w:noProof/>
          <w:szCs w:val="24"/>
        </w:rPr>
      </w:pPr>
      <w:r>
        <w:t>1.4.3.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3"/>
        <w:rPr>
          <w:bCs/>
          <w:noProof/>
          <w:szCs w:val="24"/>
        </w:rPr>
      </w:pPr>
      <w:r>
        <w:t>1.4.4.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2"/>
        <w:rPr>
          <w:bCs/>
          <w:noProof/>
          <w:szCs w:val="24"/>
        </w:rPr>
      </w:pPr>
      <w:r>
        <w:t>1.5.</w:t>
      </w:r>
      <w:r>
        <w:tab/>
      </w:r>
      <w:r>
        <w:rPr>
          <w:noProof/>
        </w:rPr>
        <w:t xml:space="preserve">Ilgums un finansiālā ietekme </w:t>
      </w:r>
    </w:p>
    <w:p>
      <w:pPr>
        <w:pStyle w:val="Text1"/>
        <w:rPr>
          <w:noProof/>
        </w:rPr>
      </w:pPr>
      <w:r>
        <w:rPr>
          <w:noProof/>
        </w:rPr>
        <w:sym w:font="Wingdings" w:char="F078"/>
      </w:r>
      <w:r>
        <w:rPr>
          <w:b/>
          <w:i/>
          <w:noProof/>
        </w:rPr>
        <w:t xml:space="preserve"> </w:t>
      </w:r>
      <w:r>
        <w:rPr>
          <w:b/>
          <w:noProof/>
        </w:rPr>
        <w:t xml:space="preserve">ierobežota ilguma </w:t>
      </w:r>
      <w:r>
        <w:rPr>
          <w:noProof/>
        </w:rPr>
        <w:t>priekšlikums/iniciatīva</w:t>
      </w:r>
      <w:r>
        <w:rPr>
          <w:b/>
          <w:noProof/>
        </w:rPr>
        <w:t xml:space="preserve"> </w:t>
      </w:r>
    </w:p>
    <w:p>
      <w:pPr>
        <w:pStyle w:val="ListDash2"/>
        <w:rPr>
          <w:noProof/>
        </w:rPr>
      </w:pPr>
      <w:r>
        <w:rPr>
          <w:noProof/>
        </w:rPr>
        <w:sym w:font="Wingdings" w:char="F078"/>
      </w:r>
      <w:r>
        <w:rPr>
          <w:noProof/>
        </w:rPr>
        <w:tab/>
        <w:t xml:space="preserve">darbības laiks: 1.1.2021.–31.12.2021. </w:t>
      </w:r>
    </w:p>
    <w:p>
      <w:pPr>
        <w:pStyle w:val="ListDash2"/>
        <w:rPr>
          <w:noProof/>
        </w:rPr>
      </w:pPr>
      <w:r>
        <w:rPr>
          <w:noProof/>
        </w:rPr>
        <w:sym w:font="Wingdings" w:char="F078"/>
      </w:r>
      <w:r>
        <w:rPr>
          <w:noProof/>
        </w:rPr>
        <w:tab/>
        <w:t xml:space="preserve">finansiālā ietekme 2021. gadā uz saistību apropriācijām (2022. gadā — uz tiešajiem maksājumiem) un 2021. gadā un pēc tam — uz maksājumu apropriācijām. </w:t>
      </w:r>
    </w:p>
    <w:p>
      <w:pPr>
        <w:pStyle w:val="Text1"/>
        <w:rPr>
          <w:noProof/>
        </w:rPr>
      </w:pPr>
      <w:r>
        <w:rPr>
          <w:noProof/>
        </w:rPr>
        <w:sym w:font="Wingdings" w:char="F0A8"/>
      </w:r>
      <w:r>
        <w:rPr>
          <w:b/>
          <w:i/>
          <w:noProof/>
        </w:rPr>
        <w:t xml:space="preserve"> </w:t>
      </w:r>
      <w:r>
        <w:rPr>
          <w:b/>
          <w:noProof/>
        </w:rPr>
        <w:t xml:space="preserve">beztermiņa </w:t>
      </w:r>
      <w:r>
        <w:rPr>
          <w:noProof/>
        </w:rPr>
        <w:t>priekšlikums/iniciatīva</w:t>
      </w:r>
    </w:p>
    <w:p>
      <w:pPr>
        <w:pStyle w:val="Point1"/>
        <w:ind w:left="1134"/>
        <w:rPr>
          <w:noProof/>
        </w:rPr>
      </w:pPr>
      <w:r>
        <w:rPr>
          <w:noProof/>
        </w:rPr>
        <w:tab/>
        <w:t>Īstenošana ar uzsākšanas periodu no GGGG. līdz GGGG., pēc kura turpinās normāla darbība.</w:t>
      </w:r>
    </w:p>
    <w:p>
      <w:pPr>
        <w:pStyle w:val="ManualHeading2"/>
        <w:rPr>
          <w:bCs/>
          <w:noProof/>
          <w:szCs w:val="24"/>
        </w:rPr>
      </w:pPr>
      <w:r>
        <w:t>1.6.</w:t>
      </w:r>
      <w:r>
        <w:tab/>
      </w:r>
      <w:r>
        <w:rPr>
          <w:noProof/>
        </w:rPr>
        <w:t>Paredzētie pārvaldības veidi</w:t>
      </w:r>
      <w:r>
        <w:rPr>
          <w:rStyle w:val="FootnoteReference0"/>
          <w:noProof/>
        </w:rPr>
        <w:footnoteReference w:id="21"/>
      </w:r>
      <w:r>
        <w:rPr>
          <w:rStyle w:val="FootnoteReference0"/>
          <w:noProof/>
        </w:rPr>
        <w:t xml:space="preserve">  </w:t>
      </w:r>
    </w:p>
    <w:p>
      <w:pPr>
        <w:pStyle w:val="Text1"/>
        <w:rPr>
          <w:i/>
          <w:noProof/>
        </w:rPr>
      </w:pPr>
      <w:r>
        <w:rPr>
          <w:noProof/>
        </w:rPr>
        <w:sym w:font="Wingdings" w:char="F0A8"/>
      </w:r>
      <w:r>
        <w:rPr>
          <w:i/>
          <w:noProof/>
        </w:rPr>
        <w:t xml:space="preserve"> </w:t>
      </w:r>
      <w:r>
        <w:rPr>
          <w:noProof/>
        </w:rPr>
        <w:t xml:space="preserve">Komisijas īstenota </w:t>
      </w:r>
      <w:r>
        <w:rPr>
          <w:b/>
          <w:noProof/>
        </w:rPr>
        <w:t>tieša pārvaldība:</w:t>
      </w:r>
    </w:p>
    <w:p>
      <w:pPr>
        <w:pStyle w:val="ListDash2"/>
        <w:rPr>
          <w:rFonts w:cs="EUAlbertina"/>
          <w:noProof/>
        </w:rPr>
      </w:pPr>
      <w:r>
        <w:rPr>
          <w:noProof/>
        </w:rPr>
        <w:sym w:font="Wingdings" w:char="F0A8"/>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78"/>
      </w:r>
      <w:r>
        <w:rPr>
          <w:b/>
          <w:i/>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i/>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izraudzītām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70. un 71.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jomā, kāda tā paredzēta Līguma par Eiropas Savienību V sadaļā, un kuras ir noteiktas attiecīgā pamataktā.</w:t>
      </w:r>
    </w:p>
    <w:p>
      <w:pPr>
        <w:pStyle w:val="ListDash2"/>
        <w:rPr>
          <w:i/>
          <w:noProof/>
          <w:sz w:val="18"/>
          <w:u w:val="single"/>
        </w:rPr>
      </w:pPr>
      <w:r>
        <w:rPr>
          <w:i/>
          <w:noProof/>
          <w:sz w:val="18"/>
        </w:rPr>
        <w:t>Ja norādīti vairāki pārvaldības veidi, iedaļā “Piezīmes” sniedziet papildu informāciju.</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Nav paredzētas būtiskas izmaiņas salīdzinājumā ar pašreizējo situāciju, t. i., lielāko daļu izdevumu par KLP pārvaldīs kopā ar dalībvalstīm. Tomēr ļoti niecīga daļa arī turpmāk paliks Komisijas īstenotā tiešā pārvaldībā.</w:t>
      </w:r>
      <w:r>
        <w:t xml:space="preserve"> </w:t>
      </w: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Nav būtisku izmaiņu salīdzinājumā ar pašreizējiem tiesību aktiem</w:t>
      </w: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Ierosināto pārvaldības veidu, finansējuma apgūšanas mehānisma, maksāšanas kārtības un kontroles stratēģijas pamatojums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Lai nodrošinātu plūdenu turpinājumu nepieciešamajā pārejā uz KLP plāniem, šajā priekšlikumā ir paredzēts, ka nepieciešamajā laikposmā saglabājas pašreizējie pārvaldības veidi, kuros izmantota dalīta pārvaldība, un maksāšanas un kontroles kārtība. Tātad tā pamatā ir labi funkcionējošas sistēmas, ko dalībvalstis jau ir ieviesušas.  </w:t>
      </w:r>
    </w:p>
    <w:p>
      <w:pPr>
        <w:pStyle w:val="ManualHeading3"/>
        <w:rPr>
          <w:bCs/>
          <w:noProof/>
          <w:szCs w:val="24"/>
        </w:rPr>
      </w:pPr>
      <w:r>
        <w:t>2.2.2.</w:t>
      </w:r>
      <w:r>
        <w:tab/>
      </w:r>
      <w:r>
        <w:rPr>
          <w:noProof/>
        </w:rPr>
        <w:t>Informācija par apzinātajiem riskiem un risku mazināšanai izveidotajām iekšējās kontroles sistēmām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Tas, ka pēdējos gados kopējā lauksaimniecības politikā kļūdu īpatsvars ir saglabājies zems, liecina, ka dalībvalstu izveidotās pārvaldības un kontroles sistēmas darbojas pienācīgi un nodrošina pietiekamu pārliecību. Pārejas noteikumi nodrošina </w:t>
      </w:r>
      <w:r>
        <w:rPr>
          <w:i/>
          <w:iCs/>
          <w:noProof/>
        </w:rPr>
        <w:t>status quo</w:t>
      </w:r>
      <w:r>
        <w:rPr>
          <w:noProof/>
        </w:rPr>
        <w:t xml:space="preserve"> attiecībā uz kontroles sistēmām.</w:t>
      </w:r>
    </w:p>
    <w:p>
      <w:pPr>
        <w:pStyle w:val="ManualHeading3"/>
        <w:rPr>
          <w:noProof/>
        </w:rPr>
      </w:pPr>
      <w:r>
        <w:t>2.2.3.</w:t>
      </w:r>
      <w:r>
        <w:tab/>
      </w:r>
      <w:r>
        <w:rPr>
          <w:noProof/>
        </w:rPr>
        <w:t xml:space="preserve">Pārbaužu izmaksas un to lietderības pamatojums (attiecība “kontroles izmaksas ÷ attiecīgo pārvaldīto fondu vērtība”), un gaidāmā kļūdu riska līmeņa novērtējums (maksājumu izdarīšanas un programmas slēgšanas brīdī)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Attiecībā uz pārbaudēm priekšlikums saglabā </w:t>
      </w:r>
      <w:r>
        <w:rPr>
          <w:i/>
          <w:iCs/>
          <w:noProof/>
        </w:rPr>
        <w:t>status quo</w:t>
      </w:r>
      <w:r>
        <w:rPr>
          <w:noProof/>
        </w:rPr>
        <w:t>.</w:t>
      </w:r>
    </w:p>
    <w:p>
      <w:pPr>
        <w:pStyle w:val="ManualHeading2"/>
        <w:rPr>
          <w:bCs/>
          <w:noProof/>
          <w:szCs w:val="24"/>
        </w:rPr>
      </w:pPr>
      <w:r>
        <w:t>2.3.</w:t>
      </w:r>
      <w:r>
        <w:tab/>
      </w:r>
      <w:r>
        <w:rPr>
          <w:noProof/>
        </w:rPr>
        <w:t xml:space="preserve">Krāpšanas un pārkāpumu novēršanas pasākumi </w:t>
      </w:r>
    </w:p>
    <w:p>
      <w:pPr>
        <w:pStyle w:val="Text1"/>
        <w:rPr>
          <w:i/>
          <w:noProof/>
          <w:sz w:val="20"/>
        </w:rPr>
      </w:pPr>
      <w:r>
        <w:rPr>
          <w:i/>
          <w:noProof/>
          <w:sz w:val="20"/>
        </w:rPr>
        <w:t>Norādīt esošos vai plānotos novēršanas pasākumus un citus pretpasākumus, piemēram, krāpšanas apkarošanas stratēģijā iekļautos pasākumus.</w:t>
      </w:r>
    </w:p>
    <w:p>
      <w:pPr>
        <w:pStyle w:val="Text1"/>
        <w:pBdr>
          <w:top w:val="single" w:sz="4" w:space="1" w:color="auto"/>
          <w:left w:val="single" w:sz="4" w:space="4" w:color="auto"/>
          <w:bottom w:val="single" w:sz="4" w:space="1" w:color="auto"/>
          <w:right w:val="single" w:sz="4" w:space="4" w:color="auto"/>
        </w:pBdr>
        <w:rPr>
          <w:noProof/>
        </w:rPr>
      </w:pPr>
      <w:r>
        <w:rPr>
          <w:noProof/>
        </w:rPr>
        <w:t>Nav ierosinātas izmaiņas pašreizējos pasākumos.</w:t>
      </w:r>
    </w:p>
    <w:p>
      <w:pPr>
        <w:spacing w:before="0" w:after="0"/>
        <w:jc w:val="left"/>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20"/>
          <w:docGrid w:linePitch="326"/>
        </w:sectPr>
      </w:pPr>
    </w:p>
    <w:p>
      <w:pPr>
        <w:pStyle w:val="ManualHeading1"/>
        <w:rPr>
          <w:noProof/>
        </w:rPr>
      </w:pPr>
      <w:r>
        <w:t>3.</w:t>
      </w:r>
      <w:r>
        <w:tab/>
      </w:r>
      <w:r>
        <w:rPr>
          <w:noProof/>
        </w:rPr>
        <w:t xml:space="preserve">PRIEKŠLIKUMA/INICIATĪVAS PAREDZAMĀ FINANSIĀLĀ IETEKME </w:t>
      </w:r>
    </w:p>
    <w:p>
      <w:pPr>
        <w:pStyle w:val="Text1"/>
        <w:rPr>
          <w:noProof/>
        </w:rPr>
      </w:pPr>
      <w:r>
        <w:rPr>
          <w:noProof/>
        </w:rPr>
        <w:t xml:space="preserve">Pārejas priekšlikumā ietvertie apjomi atbilst apjomiem, kas attiecīgajiem finanšu gadiem ierosināti kopējai lauksaimniecības politikai 3. kategorijā priekšlikumā par daudzgadu finanšu shēmu laikposmam no 2021. līdz 2027. gadam (dokuments COM(2018) 322 final/2). </w:t>
      </w:r>
    </w:p>
    <w:p>
      <w:pPr>
        <w:pStyle w:val="Text1"/>
        <w:rPr>
          <w:noProof/>
        </w:rPr>
      </w:pPr>
      <w:r>
        <w:rPr>
          <w:noProof/>
        </w:rPr>
        <w:t xml:space="preserve">Tāpēc attiecībā uz ELGF finansētiem izdevumiem, kas saistīti ar tirgu, piešķīrumi, kas paredzēti Regulā (ES) Nr. 1308/2013, tiks pielāgoti līdz līmenim, kas tika ierosināts tām pašām nozarēm priekšlikumā par atbalstu KLP stratēģiskajiem plāniem (COM(2018) 392 final) 2021. finanšu gadam. Arī piešķīrumi attālākajiem reģioniem un Egejas jūras salām Regulās (ES) Nr. 228/2013 un (ES) Nr. 229/2013 ir pielāgoti līdz līmenim, kas jau ierosināts 2021. gadam (sk. COM(2018) 394 final). </w:t>
      </w:r>
    </w:p>
    <w:p>
      <w:pPr>
        <w:pStyle w:val="Text1"/>
        <w:rPr>
          <w:noProof/>
        </w:rPr>
      </w:pPr>
      <w:r>
        <w:rPr>
          <w:noProof/>
        </w:rPr>
        <w:t xml:space="preserve">Ierosinātie tiešo maksājumu piešķīrumi 2021. kalendārajam gadam, kurus finansēs 2022. finanšu gadā, atbilst piešķīrumiem, kas ierosināti tiešo maksājumu intervencēm 2021. kalendārajam gadam dokumentā COM(2018) 392 final. </w:t>
      </w:r>
    </w:p>
    <w:p>
      <w:pPr>
        <w:pStyle w:val="Text1"/>
        <w:rPr>
          <w:noProof/>
        </w:rPr>
      </w:pPr>
      <w:r>
        <w:rPr>
          <w:noProof/>
        </w:rPr>
        <w:t xml:space="preserve">Lai nodrošinātu lauku attīstības nepārtrauktību, priekšlikumā ir pievienoti piešķīrumi 2021. gadam. Tie ir vienādi ar apjomiem, kuri tika ierosināti lauku attīstības intervencēm tam pašam gadam dokumentā COM(2018) 392 final. Ja dalībvalstis nolems nepagarināt savas lauku attīstības programmas 2014.–2020. gadam, neizmantotie piešķīrumi 2021. gadam būs jāpārplāno par 2022.–2025. gada piešķīrumiem KLP stratēģiskajam plānam. </w:t>
      </w:r>
    </w:p>
    <w:p>
      <w:pPr>
        <w:pStyle w:val="Text1"/>
        <w:rPr>
          <w:noProof/>
        </w:rPr>
      </w:pPr>
      <w:r>
        <w:rPr>
          <w:noProof/>
        </w:rPr>
        <w:t>Tādu pašu rezervi, kāda paredzēta Regulas (ES) Nr. 1306/2013 25. pantā krīzes situācijām lauksaimniecības nozarē 2014.–2020. gada periodā, ir ierosināts saglabāt arī pārejas periodā.</w:t>
      </w:r>
    </w:p>
    <w:p>
      <w:pPr>
        <w:pStyle w:val="Text1"/>
        <w:rPr>
          <w:i/>
          <w:noProof/>
        </w:rPr>
      </w:pPr>
      <w:r>
        <w:rPr>
          <w:noProof/>
        </w:rPr>
        <w:t xml:space="preserve">Kopumā šim priekšlikumam — attiecībā uz saistību apropriācijām — nav nekādas citas finanšu ietekmes laikposmā no 2021. līdz 2027. gadam, kā vien tā, kas ir ierosināta un izklāstīta finanšu paziņojumā, kurš ir pievienots Komisijas priekšlikumam par KLP laikposmam pēc 2020. gada (COM(2018) 392 final). Prognozētā potenciālā ietekme uz maksājumu apropriācijām ir skaidrota turpmāk tekstā, taču tā būs atkarīga no dalībvalstu lēmuma par lauku attīstības programmu 2014.–2020. gadam pagarināšanu. </w:t>
      </w:r>
    </w:p>
    <w:p>
      <w:pPr>
        <w:pStyle w:val="Text1"/>
        <w:rPr>
          <w:noProof/>
        </w:rPr>
      </w:pPr>
      <w:r>
        <w:rPr>
          <w:noProof/>
        </w:rPr>
        <w:t>Turpmāk norādītās finansiālās sekas atspoguļo prognozētās izmaiņas salīdzinājumā ar sekām, kas izklāstītas tiesību akta priekšlikuma finanšu pārskatā, kurš pievienots Komisijas priekšlikumam par KLP laikposmam pēc 2020. gada (COM(2018) 392 final).</w:t>
      </w:r>
    </w:p>
    <w:p>
      <w:pPr>
        <w:spacing w:before="0" w:after="200" w:line="276" w:lineRule="auto"/>
        <w:jc w:val="left"/>
        <w:rPr>
          <w:rFonts w:eastAsiaTheme="majorEastAsia"/>
          <w:b/>
          <w:bCs/>
          <w:noProof/>
          <w:szCs w:val="26"/>
        </w:rPr>
      </w:pPr>
      <w:r>
        <w:rPr>
          <w:noProof/>
        </w:rPr>
        <w:br w:type="page"/>
      </w:r>
    </w:p>
    <w:p>
      <w:pPr>
        <w:pStyle w:val="ManualHeading2"/>
        <w:rPr>
          <w:noProof/>
        </w:rPr>
      </w:pPr>
      <w:r>
        <w:t>3.1.</w:t>
      </w:r>
      <w:r>
        <w:tab/>
      </w:r>
      <w:r>
        <w:rPr>
          <w:noProof/>
        </w:rPr>
        <w:t xml:space="preserve">Daudzgadu finanšu shēmas izdevumu kategorija un jaunas ierosinātās budžeta izdevumu pozīcijas </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sz w:val="18"/>
              </w:rPr>
              <w:t>Daudzgadu finanšu shēmas izdevumu kategorija</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sz w:val="20"/>
              </w:rPr>
              <w:t>Budžeta pozīcija</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sz w:val="18"/>
              </w:rPr>
              <w:t>Izdevumu veids</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sz w:val="20"/>
              </w:rPr>
              <w:t xml:space="preserve">Iemaksas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rPr>
                <w:noProof/>
                <w:sz w:val="20"/>
              </w:rPr>
            </w:pPr>
            <w:r>
              <w:rPr>
                <w:noProof/>
                <w:sz w:val="20"/>
              </w:rPr>
              <w:t xml:space="preserve"> </w:t>
            </w:r>
            <w:r>
              <w:rPr>
                <w:noProof/>
                <w:sz w:val="22"/>
              </w:rPr>
              <w:br/>
            </w:r>
            <w:r>
              <w:rPr>
                <w:noProof/>
                <w:sz w:val="20"/>
              </w:rPr>
              <w:t>3. kategorija:</w:t>
            </w:r>
          </w:p>
          <w:p>
            <w:pPr>
              <w:rPr>
                <w:noProof/>
              </w:rPr>
            </w:pPr>
            <w:r>
              <w:rPr>
                <w:noProof/>
                <w:sz w:val="20"/>
              </w:rPr>
              <w:t xml:space="preserve">Dabas resursi un vide </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18"/>
              </w:rPr>
              <w:t>Dif./nedif.</w:t>
            </w:r>
            <w:r>
              <w:rPr>
                <w:rStyle w:val="FootnoteReference0"/>
                <w:noProof/>
                <w:sz w:val="18"/>
              </w:rPr>
              <w:footnoteReference w:id="22"/>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sz w:val="18"/>
              </w:rPr>
              <w:t>no EBTA valstīm</w:t>
            </w:r>
            <w:r>
              <w:rPr>
                <w:rStyle w:val="FootnoteReference0"/>
                <w:noProof/>
                <w:sz w:val="18"/>
              </w:rPr>
              <w:footnoteReference w:id="23"/>
            </w:r>
          </w:p>
          <w:p>
            <w:pPr>
              <w:spacing w:before="0" w:after="0"/>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sz w:val="18"/>
              </w:rPr>
              <w:t>no kandidātvalstīm</w:t>
            </w:r>
            <w:r>
              <w:rPr>
                <w:rStyle w:val="FootnoteReference0"/>
                <w:noProof/>
                <w:sz w:val="18"/>
              </w:rPr>
              <w:footnoteReference w:id="24"/>
            </w:r>
          </w:p>
          <w:p>
            <w:pPr>
              <w:spacing w:before="0" w:after="0"/>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rPr>
            </w:pPr>
            <w:r>
              <w:rPr>
                <w:noProof/>
                <w:sz w:val="18"/>
              </w:rPr>
              <w:t>no trešām valstīm</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16"/>
              </w:rPr>
              <w:t xml:space="preserve">Finanšu regulas [21. panta 2. punkta b) apakšpunkta] nozīmē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color w:val="0000F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pPr>
              <w:spacing w:after="60"/>
              <w:rPr>
                <w:noProof/>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color w:val="0000FF"/>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NĒ</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NĒ</w:t>
            </w: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NĒ</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NĒ</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t>3.2.</w:t>
      </w:r>
      <w:r>
        <w:tab/>
      </w:r>
      <w:r>
        <w:rPr>
          <w:noProof/>
        </w:rPr>
        <w:t xml:space="preserve">Paredzamā ietekme uz izdevumiem </w:t>
      </w:r>
    </w:p>
    <w:p>
      <w:pPr>
        <w:pStyle w:val="ManualHeading3"/>
        <w:rPr>
          <w:noProof/>
          <w:u w:val="single"/>
        </w:rPr>
      </w:pPr>
      <w:r>
        <w:t>3.2.1.</w:t>
      </w:r>
      <w:r>
        <w:tab/>
      </w:r>
      <w:r>
        <w:rPr>
          <w:noProof/>
        </w:rPr>
        <w:t xml:space="preserve">Kopsavilkums par paredzamo ietekmi uz izdevumiem </w:t>
      </w:r>
    </w:p>
    <w:p>
      <w:pPr>
        <w:jc w:val="right"/>
        <w:rPr>
          <w:noProof/>
          <w:sz w:val="20"/>
        </w:rPr>
      </w:pPr>
      <w:r>
        <w:rPr>
          <w:noProof/>
          <w:sz w:val="20"/>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b/>
                <w:noProof/>
              </w:rPr>
            </w:pPr>
            <w:r>
              <w:rPr>
                <w:b/>
                <w:noProof/>
                <w:sz w:val="22"/>
              </w:rPr>
              <w:t xml:space="preserve">Daudzgadu finanšu shēmas izdevumu </w:t>
            </w:r>
            <w:r>
              <w:rPr>
                <w:noProof/>
                <w:sz w:val="22"/>
              </w:rPr>
              <w:br/>
            </w:r>
            <w:r>
              <w:rPr>
                <w:b/>
                <w:noProof/>
                <w:sz w:val="22"/>
              </w:rPr>
              <w:t xml:space="preserve">kategorija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b/>
                <w:noProof/>
                <w:sz w:val="22"/>
              </w:rPr>
              <w:t>3</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rPr>
            </w:pPr>
            <w:r>
              <w:rPr>
                <w:noProof/>
                <w:sz w:val="22"/>
              </w:rPr>
              <w:t>Dabas resursi un vide</w:t>
            </w:r>
          </w:p>
        </w:tc>
      </w:tr>
    </w:tbl>
    <w:p>
      <w:pPr>
        <w:rPr>
          <w:noProof/>
        </w:rPr>
      </w:pPr>
    </w:p>
    <w:p>
      <w:pPr>
        <w:rPr>
          <w:noProof/>
        </w:rPr>
      </w:pPr>
      <w:r>
        <w:rPr>
          <w:noProof/>
        </w:rPr>
        <w:t xml:space="preserve">Attiecībā uz </w:t>
      </w:r>
      <w:r>
        <w:rPr>
          <w:b/>
          <w:noProof/>
        </w:rPr>
        <w:t>ELGF</w:t>
      </w:r>
      <w:r>
        <w:rPr>
          <w:noProof/>
        </w:rPr>
        <w:t xml:space="preserve"> priekšlikumam ir tikai tā ietekme uz kopējiem izdevumiem, kas norādīta aplēsēs finanšu paziņojumā, kurš pievienots Komisijas priekšlikumam par KLP laikposmam pēc 2020. gada (COM(2018) 392 final). Pārejas priekšlikums, ar ko tiek nodrošināta nepārtrauktība vairākām nozaru atbalsta programmām, kuras paredzētas Regulā (ES) Nr. 1308/2013 (t. i., programmām par augļiem un dārzeņiem, olīveļļu, biškopību, vīnu un apiņiem), līdz šo programmu integrācijai KLP plānā, paredz, ka saistības, kas prognozētas nozaru intervencēm KLP plānā, pārejas laikā būs ar tirgu saistīti izdevumi ārpus KLP plāna. Tas attiecas arī uz tiešajiem maksājumiem — saistības, kas paredzētas KLP plānā, pārejas laikā būs tiešie maksājumi ārpus KLP plāna. Šīs izmaiņas, kā arī finansējums krīzes rezervei, kuru ierosināts saglabāt pārejas laikā, neietekmē kopējās saistības katrā gadā un visā periodā kopā un tādējādi ir saskaņā ar Komisijas priekšlikumu par ELGF maksimālo apakšapjomu laikposmam no 2021. līdz 2027. gadam. </w:t>
      </w:r>
    </w:p>
    <w:p>
      <w:pPr>
        <w:rPr>
          <w:noProof/>
        </w:rPr>
      </w:pPr>
      <w:r>
        <w:rPr>
          <w:noProof/>
        </w:rPr>
        <w:t xml:space="preserve">Attiecībā uz </w:t>
      </w:r>
      <w:r>
        <w:rPr>
          <w:b/>
          <w:noProof/>
        </w:rPr>
        <w:t>ELFLA</w:t>
      </w:r>
      <w:r>
        <w:rPr>
          <w:noProof/>
        </w:rPr>
        <w:t xml:space="preserve"> priekšlikums neietekmē visa laikposma saistību apropriācijas. Dalībvalstu lēmums attiecībā uz 2014.–2020. gada lauku attīstības programmu pagarināšanu ietekmēs saistību īstenošanas laiku, ņemot vērā to, ka ELFLA 2021. gada piešķīrumi ir jāpārvirza uz 2022.–2025. gada ELFLA piešķīrumiem, ja dalībvalstis nepieprasa pagarinājumu. </w:t>
      </w:r>
    </w:p>
    <w:p>
      <w:pPr>
        <w:rPr>
          <w:noProof/>
          <w:sz w:val="16"/>
        </w:rPr>
      </w:pPr>
      <w:r>
        <w:rPr>
          <w:noProof/>
        </w:rPr>
        <w:t>Tīro ietekmi uz maksājumu apropriāciju īstenošanas laiku pašreiz nav iespējams skaitliski prognozēt, jo tā būs atkarīga no dalībvalstu lēmumiem, kuri var vai nu aizkavēt, vai paātrināt maksājumu īstenošanu salīdzinājumā ar laiku, kas prognozēts tiesību akta priekšlikuma finanšu pārskatā, kurš ir pievienots Komisijas priekšlikumam par KLP laikposmam pēc 2020. gada (COM(2018) 392 final): tiek sagaidīts, ka 2014.–2020. gada lauku attīstības programmu pagarinājumi paātrinās maksājumu grafiku konkrētajām dalībvalstīm/programmām, savukārt neizlietoto 2021. gada piešķīrumu pārvirzīšana uz 2022.–2025. gada piešķīrumiem aizkavēs maksājumus. Kopumā maksājumu apropriācijas visam laikposmam netiks mainītas.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2027</w:t>
            </w:r>
          </w:p>
        </w:tc>
        <w:tc>
          <w:tcPr>
            <w:tcW w:w="909" w:type="dxa"/>
            <w:tcBorders>
              <w:top w:val="single" w:sz="4" w:space="0" w:color="auto"/>
              <w:left w:val="single" w:sz="4" w:space="0" w:color="auto"/>
              <w:bottom w:val="single" w:sz="4" w:space="0" w:color="auto"/>
              <w:right w:val="single" w:sz="4" w:space="0" w:color="auto"/>
            </w:tcBorders>
            <w:hideMark/>
          </w:tcPr>
          <w:p>
            <w:pPr>
              <w:jc w:val="center"/>
              <w:rPr>
                <w:b/>
                <w:i/>
                <w:noProof/>
                <w:sz w:val="20"/>
              </w:rPr>
            </w:pPr>
            <w:r>
              <w:rPr>
                <w:b/>
                <w:i/>
                <w:noProof/>
                <w:sz w:val="20"/>
              </w:rPr>
              <w:t>Pēc 2027. gada</w:t>
            </w:r>
          </w:p>
        </w:tc>
        <w:tc>
          <w:tcPr>
            <w:tcW w:w="1289"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KOPĀ</w:t>
            </w:r>
          </w:p>
        </w:tc>
      </w:tr>
      <w:tr>
        <w:trPr>
          <w:trHeight w:val="433"/>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pPr>
              <w:rPr>
                <w:b/>
                <w:noProof/>
              </w:rPr>
            </w:pPr>
            <w:r>
              <w:rPr>
                <w:b/>
                <w:noProof/>
                <w:sz w:val="20"/>
              </w:rPr>
              <w:t>STARPSUMMA ELGF</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sz w:val="18"/>
              </w:rPr>
            </w:pPr>
            <w:r>
              <w:rPr>
                <w:noProof/>
                <w:sz w:val="18"/>
              </w:rPr>
              <w:t>Saistības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20" w:after="20"/>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r>
        <w:trPr>
          <w:trHeight w:val="411"/>
          <w:jc w:val="center"/>
        </w:trPr>
        <w:tc>
          <w:tcPr>
            <w:tcW w:w="619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sz w:val="18"/>
              </w:rPr>
            </w:pPr>
            <w:r>
              <w:rPr>
                <w:noProof/>
                <w:sz w:val="18"/>
              </w:rPr>
              <w:t>Maksājumi</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20" w:after="20"/>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90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r>
        <w:trPr>
          <w:trHeight w:val="411"/>
          <w:jc w:val="center"/>
        </w:trPr>
        <w:tc>
          <w:tcPr>
            <w:tcW w:w="4103" w:type="dxa"/>
            <w:vMerge w:val="restart"/>
            <w:tcBorders>
              <w:top w:val="single" w:sz="4" w:space="0" w:color="auto"/>
              <w:left w:val="single" w:sz="4" w:space="0" w:color="auto"/>
              <w:bottom w:val="single" w:sz="4" w:space="0" w:color="auto"/>
              <w:right w:val="single" w:sz="4" w:space="0" w:color="auto"/>
            </w:tcBorders>
            <w:hideMark/>
          </w:tcPr>
          <w:p>
            <w:pPr>
              <w:rPr>
                <w:b/>
                <w:noProof/>
                <w:sz w:val="20"/>
              </w:rPr>
            </w:pPr>
            <w:r>
              <w:rPr>
                <w:b/>
                <w:noProof/>
                <w:sz w:val="20"/>
              </w:rPr>
              <w:t>STARPSUMMA ELFLA</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sz w:val="18"/>
              </w:rPr>
            </w:pPr>
            <w:r>
              <w:rPr>
                <w:noProof/>
                <w:sz w:val="18"/>
              </w:rPr>
              <w:t>Saistības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20" w:after="20"/>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90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r>
        <w:trPr>
          <w:trHeight w:val="411"/>
          <w:jc w:val="center"/>
        </w:trPr>
        <w:tc>
          <w:tcPr>
            <w:tcW w:w="619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sz w:val="18"/>
              </w:rPr>
            </w:pPr>
            <w:r>
              <w:rPr>
                <w:noProof/>
                <w:sz w:val="18"/>
              </w:rPr>
              <w:t>Maksājumi</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20" w:after="20"/>
              <w:jc w:val="center"/>
              <w:rPr>
                <w:noProof/>
                <w:sz w:val="14"/>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90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r>
        <w:trPr>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pPr>
              <w:jc w:val="left"/>
              <w:rPr>
                <w:b/>
                <w:i/>
                <w:noProof/>
              </w:rPr>
            </w:pPr>
            <w:r>
              <w:rPr>
                <w:b/>
                <w:noProof/>
                <w:sz w:val="22"/>
              </w:rPr>
              <w:t>KOPĀ KLP apropriācijas</w:t>
            </w:r>
            <w:r>
              <w:rPr>
                <w:b/>
                <w:i/>
                <w:noProof/>
                <w:sz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pPr>
              <w:jc w:val="left"/>
              <w:rPr>
                <w:noProof/>
                <w:sz w:val="18"/>
              </w:rPr>
            </w:pPr>
            <w:r>
              <w:rPr>
                <w:noProof/>
                <w:sz w:val="18"/>
              </w:rPr>
              <w:t>Saistības</w:t>
            </w:r>
          </w:p>
        </w:tc>
        <w:tc>
          <w:tcPr>
            <w:tcW w:w="654" w:type="dxa"/>
            <w:tcBorders>
              <w:top w:val="single" w:sz="4" w:space="0" w:color="auto"/>
              <w:left w:val="single" w:sz="4" w:space="0" w:color="auto"/>
              <w:bottom w:val="single" w:sz="4" w:space="0" w:color="auto"/>
              <w:right w:val="single" w:sz="4" w:space="0" w:color="auto"/>
            </w:tcBorders>
            <w:vAlign w:val="center"/>
            <w:hideMark/>
          </w:tcPr>
          <w:p>
            <w:pPr>
              <w:jc w:val="center"/>
              <w:rPr>
                <w:noProof/>
                <w:sz w:val="14"/>
              </w:rPr>
            </w:pPr>
            <w:r>
              <w:rPr>
                <w:noProof/>
                <w:sz w:val="14"/>
              </w:rPr>
              <w:t>(5)=(1+3)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r>
        <w:trPr>
          <w:jc w:val="center"/>
        </w:trPr>
        <w:tc>
          <w:tcPr>
            <w:tcW w:w="619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i/>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jc w:val="left"/>
              <w:rPr>
                <w:noProof/>
                <w:sz w:val="18"/>
              </w:rPr>
            </w:pPr>
            <w:r>
              <w:rPr>
                <w:noProof/>
                <w:sz w:val="18"/>
              </w:rPr>
              <w:t>Maksājumi</w:t>
            </w:r>
          </w:p>
        </w:tc>
        <w:tc>
          <w:tcPr>
            <w:tcW w:w="654" w:type="dxa"/>
            <w:tcBorders>
              <w:top w:val="single" w:sz="4" w:space="0" w:color="auto"/>
              <w:left w:val="single" w:sz="4" w:space="0" w:color="auto"/>
              <w:bottom w:val="single" w:sz="4" w:space="0" w:color="auto"/>
              <w:right w:val="single" w:sz="4" w:space="0" w:color="auto"/>
            </w:tcBorders>
            <w:vAlign w:val="center"/>
            <w:hideMark/>
          </w:tcPr>
          <w:p>
            <w:pPr>
              <w:jc w:val="center"/>
              <w:rPr>
                <w:noProof/>
                <w:sz w:val="14"/>
              </w:rPr>
            </w:pPr>
            <w:r>
              <w:rPr>
                <w:noProof/>
                <w:sz w:val="14"/>
              </w:rPr>
              <w:t>(6)=(2+4)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90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b/>
                <w:noProof/>
              </w:rPr>
            </w:pPr>
            <w:r>
              <w:rPr>
                <w:noProof/>
              </w:rPr>
              <w:br w:type="page"/>
            </w:r>
            <w:r>
              <w:rPr>
                <w:b/>
                <w:noProof/>
                <w:sz w:val="22"/>
              </w:rPr>
              <w:t xml:space="preserve">Daudzgadu finanšu shēmas izdevumu kategorija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noProof/>
              </w:rPr>
            </w:pPr>
            <w:r>
              <w:rPr>
                <w:noProof/>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rPr>
            </w:pPr>
            <w:r>
              <w:rPr>
                <w:noProof/>
                <w:sz w:val="22"/>
              </w:rPr>
              <w:t>“Administratīvie izdevumi”</w:t>
            </w:r>
          </w:p>
        </w:tc>
      </w:tr>
    </w:tbl>
    <w:p>
      <w:pPr>
        <w:jc w:val="right"/>
        <w:rPr>
          <w:noProof/>
          <w:sz w:val="20"/>
        </w:rPr>
      </w:pPr>
    </w:p>
    <w:p>
      <w:pPr>
        <w:jc w:val="right"/>
        <w:rPr>
          <w:noProof/>
          <w:sz w:val="20"/>
        </w:rPr>
      </w:pPr>
      <w:r>
        <w:rPr>
          <w:noProof/>
          <w:sz w:val="20"/>
        </w:rPr>
        <w:t>miljonos EUR (trīs zīmes aiz komata)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bottom w:val="single" w:sz="4" w:space="0" w:color="auto"/>
              <w:right w:val="single" w:sz="4" w:space="0" w:color="auto"/>
            </w:tcBorders>
            <w:vAlign w:val="center"/>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2027</w:t>
            </w:r>
          </w:p>
        </w:tc>
        <w:tc>
          <w:tcPr>
            <w:tcW w:w="887" w:type="dxa"/>
            <w:tcBorders>
              <w:top w:val="single" w:sz="4" w:space="0" w:color="auto"/>
              <w:left w:val="single" w:sz="4" w:space="0" w:color="auto"/>
              <w:bottom w:val="single" w:sz="4" w:space="0" w:color="auto"/>
              <w:right w:val="single" w:sz="4" w:space="0" w:color="auto"/>
            </w:tcBorders>
            <w:hideMark/>
          </w:tcPr>
          <w:p>
            <w:pPr>
              <w:jc w:val="center"/>
              <w:rPr>
                <w:b/>
                <w:noProof/>
                <w:sz w:val="20"/>
              </w:rPr>
            </w:pPr>
            <w:r>
              <w:rPr>
                <w:b/>
                <w:i/>
                <w:noProof/>
                <w:sz w:val="20"/>
              </w:rPr>
              <w:t>Pēc 2027. gada</w:t>
            </w:r>
          </w:p>
        </w:tc>
        <w:tc>
          <w:tcPr>
            <w:tcW w:w="1291"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KOPĀ</w:t>
            </w:r>
          </w:p>
        </w:tc>
      </w:tr>
      <w:tr>
        <w:trPr>
          <w:trHeight w:val="313"/>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rPr>
                <w:noProof/>
              </w:rPr>
            </w:pPr>
            <w:r>
              <w:rPr>
                <w:noProof/>
                <w:sz w:val="22"/>
              </w:rPr>
              <w:t xml:space="preserve">Cilvēkresursi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r>
        <w:trPr>
          <w:trHeight w:val="351"/>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rPr>
                <w:noProof/>
              </w:rPr>
            </w:pPr>
            <w:r>
              <w:rPr>
                <w:noProof/>
                <w:sz w:val="22"/>
              </w:rPr>
              <w:t xml:space="preserve">Citi administratīvie izdevumi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r>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b/>
                <w:noProof/>
                <w:sz w:val="22"/>
              </w:rPr>
            </w:pPr>
            <w:r>
              <w:rPr>
                <w:b/>
                <w:noProof/>
                <w:sz w:val="22"/>
              </w:rPr>
              <w:t>KOPĀ daudzgadu finanšu shēmas 7. IZDEVUMU KATEGORIJAS apropriācijas</w:t>
            </w:r>
          </w:p>
        </w:tc>
        <w:tc>
          <w:tcPr>
            <w:tcW w:w="2046" w:type="dxa"/>
            <w:tcBorders>
              <w:top w:val="single" w:sz="4" w:space="0" w:color="auto"/>
              <w:left w:val="single" w:sz="4" w:space="0" w:color="auto"/>
              <w:bottom w:val="single" w:sz="4" w:space="0" w:color="auto"/>
              <w:right w:val="single" w:sz="4" w:space="0" w:color="auto"/>
            </w:tcBorders>
            <w:vAlign w:val="center"/>
            <w:hideMark/>
          </w:tcPr>
          <w:p>
            <w:pPr>
              <w:spacing w:before="20" w:after="20"/>
              <w:rPr>
                <w:noProof/>
                <w:sz w:val="22"/>
              </w:rPr>
            </w:pPr>
            <w:r>
              <w:rPr>
                <w:noProof/>
                <w:sz w:val="18"/>
              </w:rPr>
              <w:t>(Saistību summa = maksājumu summa)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0"/>
              </w:rPr>
            </w:pPr>
          </w:p>
        </w:tc>
      </w:tr>
    </w:tbl>
    <w:p>
      <w:pPr>
        <w:jc w:val="right"/>
        <w:rPr>
          <w:noProof/>
          <w:sz w:val="20"/>
        </w:rPr>
      </w:pPr>
      <w:r>
        <w:rPr>
          <w:noProof/>
          <w:sz w:val="20"/>
        </w:rPr>
        <w:t>miljonos EUR (trīs zīmes aiz komata)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bottom w:val="single" w:sz="4" w:space="0" w:color="auto"/>
              <w:right w:val="nil"/>
            </w:tcBorders>
            <w:vAlign w:val="center"/>
          </w:tcPr>
          <w:p>
            <w:pPr>
              <w:jc w:val="center"/>
              <w:rPr>
                <w:noProof/>
                <w:highlight w:val="yellow"/>
              </w:rPr>
            </w:pPr>
          </w:p>
        </w:tc>
        <w:tc>
          <w:tcPr>
            <w:tcW w:w="1560" w:type="dxa"/>
            <w:tcBorders>
              <w:top w:val="nil"/>
              <w:left w:val="nil"/>
              <w:bottom w:val="single" w:sz="4" w:space="0" w:color="auto"/>
              <w:right w:val="nil"/>
            </w:tcBorders>
          </w:tcPr>
          <w:p>
            <w:pPr>
              <w:rPr>
                <w:noProof/>
                <w:sz w:val="20"/>
              </w:rPr>
            </w:pPr>
          </w:p>
        </w:tc>
        <w:tc>
          <w:tcPr>
            <w:tcW w:w="534" w:type="dxa"/>
            <w:tcBorders>
              <w:top w:val="nil"/>
              <w:left w:val="nil"/>
              <w:bottom w:val="single" w:sz="4" w:space="0" w:color="auto"/>
              <w:right w:val="single" w:sz="4" w:space="0" w:color="auto"/>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2027</w:t>
            </w:r>
          </w:p>
        </w:tc>
        <w:tc>
          <w:tcPr>
            <w:tcW w:w="877" w:type="dxa"/>
            <w:tcBorders>
              <w:top w:val="single" w:sz="4" w:space="0" w:color="auto"/>
              <w:left w:val="single" w:sz="4" w:space="0" w:color="auto"/>
              <w:bottom w:val="single" w:sz="4" w:space="0" w:color="auto"/>
              <w:right w:val="single" w:sz="4" w:space="0" w:color="auto"/>
            </w:tcBorders>
            <w:hideMark/>
          </w:tcPr>
          <w:p>
            <w:pPr>
              <w:jc w:val="center"/>
              <w:rPr>
                <w:b/>
                <w:noProof/>
                <w:sz w:val="20"/>
              </w:rPr>
            </w:pPr>
            <w:r>
              <w:rPr>
                <w:b/>
                <w:i/>
                <w:noProof/>
                <w:sz w:val="20"/>
              </w:rPr>
              <w:t>Pēc 2027. gada</w:t>
            </w:r>
          </w:p>
        </w:tc>
        <w:tc>
          <w:tcPr>
            <w:tcW w:w="1292"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KOPĀ</w:t>
            </w:r>
          </w:p>
        </w:tc>
      </w:tr>
      <w:tr>
        <w:trPr>
          <w:jc w:val="center"/>
        </w:trPr>
        <w:tc>
          <w:tcPr>
            <w:tcW w:w="417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jc w:val="center"/>
              <w:rPr>
                <w:b/>
                <w:noProof/>
                <w:sz w:val="22"/>
              </w:rPr>
            </w:pPr>
            <w:r>
              <w:rPr>
                <w:b/>
                <w:noProof/>
                <w:sz w:val="22"/>
              </w:rPr>
              <w:t xml:space="preserve">KOPĀ daudzgadu finanšu shēmas </w:t>
            </w:r>
          </w:p>
          <w:p>
            <w:pPr>
              <w:spacing w:before="0"/>
              <w:jc w:val="center"/>
              <w:rPr>
                <w:b/>
                <w:noProof/>
              </w:rPr>
            </w:pPr>
            <w:r>
              <w:rPr>
                <w:noProof/>
                <w:sz w:val="22"/>
              </w:rPr>
              <w:t>visu IZDEVUMU KATEGORIJU apropriācijas</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rPr>
                <w:noProof/>
                <w:sz w:val="14"/>
              </w:rPr>
            </w:pPr>
            <w:r>
              <w:rPr>
                <w:noProof/>
                <w:sz w:val="18"/>
              </w:rPr>
              <w:t>Saistības</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b/>
                <w:noProof/>
                <w:sz w:val="20"/>
              </w:rPr>
            </w:pPr>
          </w:p>
        </w:tc>
        <w:tc>
          <w:tcPr>
            <w:tcW w:w="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60" w:after="60"/>
              <w:jc w:val="right"/>
              <w:rPr>
                <w:b/>
                <w:noProof/>
                <w:sz w:val="20"/>
              </w:rPr>
            </w:pPr>
          </w:p>
        </w:tc>
        <w:tc>
          <w:tcPr>
            <w:tcW w:w="1292" w:type="dxa"/>
            <w:tcBorders>
              <w:top w:val="single" w:sz="4" w:space="0" w:color="auto"/>
              <w:left w:val="single" w:sz="4" w:space="0" w:color="auto"/>
              <w:bottom w:val="single" w:sz="4" w:space="0" w:color="auto"/>
              <w:right w:val="single" w:sz="4" w:space="0" w:color="auto"/>
            </w:tcBorders>
            <w:vAlign w:val="center"/>
          </w:tcPr>
          <w:p>
            <w:pPr>
              <w:spacing w:before="60" w:after="60"/>
              <w:jc w:val="right"/>
              <w:rPr>
                <w:b/>
                <w:noProof/>
                <w:sz w:val="20"/>
              </w:rPr>
            </w:pPr>
          </w:p>
        </w:tc>
      </w:tr>
      <w:tr>
        <w:trPr>
          <w:jc w:val="center"/>
        </w:trPr>
        <w:tc>
          <w:tcPr>
            <w:tcW w:w="417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rPr>
                <w:noProof/>
                <w:sz w:val="14"/>
              </w:rPr>
            </w:pPr>
            <w:r>
              <w:rPr>
                <w:noProof/>
                <w:sz w:val="18"/>
              </w:rPr>
              <w:t>Maksājumi</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jc w:val="right"/>
              <w:rPr>
                <w:b/>
                <w:noProof/>
                <w:sz w:val="20"/>
              </w:rPr>
            </w:pPr>
          </w:p>
        </w:tc>
        <w:tc>
          <w:tcPr>
            <w:tcW w:w="877" w:type="dxa"/>
            <w:tcBorders>
              <w:top w:val="single" w:sz="4" w:space="0" w:color="auto"/>
              <w:left w:val="single" w:sz="4" w:space="0" w:color="auto"/>
              <w:bottom w:val="single" w:sz="4" w:space="0" w:color="auto"/>
              <w:right w:val="single" w:sz="4" w:space="0" w:color="auto"/>
            </w:tcBorders>
          </w:tcPr>
          <w:p>
            <w:pPr>
              <w:spacing w:before="60" w:after="60"/>
              <w:jc w:val="right"/>
              <w:rPr>
                <w:b/>
                <w:noProof/>
                <w:sz w:val="20"/>
              </w:rPr>
            </w:pPr>
          </w:p>
        </w:tc>
        <w:tc>
          <w:tcPr>
            <w:tcW w:w="1292" w:type="dxa"/>
            <w:tcBorders>
              <w:top w:val="single" w:sz="4" w:space="0" w:color="auto"/>
              <w:left w:val="single" w:sz="4" w:space="0" w:color="auto"/>
              <w:bottom w:val="single" w:sz="4" w:space="0" w:color="auto"/>
              <w:right w:val="single" w:sz="4" w:space="0" w:color="auto"/>
            </w:tcBorders>
            <w:vAlign w:val="center"/>
          </w:tcPr>
          <w:p>
            <w:pPr>
              <w:spacing w:before="60" w:after="60"/>
              <w:jc w:val="right"/>
              <w:rPr>
                <w:b/>
                <w:noProof/>
                <w:sz w:val="20"/>
              </w:rPr>
            </w:pPr>
          </w:p>
        </w:tc>
      </w:tr>
    </w:tbl>
    <w:p>
      <w:pPr>
        <w:spacing w:before="0" w:after="0"/>
        <w:jc w:val="left"/>
        <w:rPr>
          <w:noProof/>
        </w:rPr>
        <w:sectPr>
          <w:headerReference w:type="default" r:id="rId21"/>
          <w:footerReference w:type="default" r:id="rId22"/>
          <w:headerReference w:type="first" r:id="rId23"/>
          <w:footerReference w:type="first" r:id="rId24"/>
          <w:pgSz w:w="16840" w:h="11907" w:orient="landscape"/>
          <w:pgMar w:top="1134" w:right="1418" w:bottom="1134" w:left="1418" w:header="709" w:footer="709" w:gutter="0"/>
          <w:cols w:space="720"/>
          <w:docGrid w:linePitch="326"/>
        </w:sectPr>
      </w:pPr>
    </w:p>
    <w:p>
      <w:pPr>
        <w:pStyle w:val="ManualHeading3"/>
        <w:rPr>
          <w:bCs/>
          <w:noProof/>
          <w:szCs w:val="24"/>
        </w:rPr>
      </w:pPr>
      <w:r>
        <w:t>3.2.2.</w:t>
      </w:r>
      <w:r>
        <w:tab/>
      </w:r>
      <w:r>
        <w:rPr>
          <w:noProof/>
        </w:rPr>
        <w:t>Paredzamā ietekme uz administratīvajām apropriācijām</w:t>
      </w:r>
    </w:p>
    <w:p>
      <w:pPr>
        <w:pStyle w:val="ListDash1"/>
        <w:rPr>
          <w:noProof/>
        </w:rPr>
      </w:pPr>
      <w:r>
        <w:rPr>
          <w:noProof/>
        </w:rPr>
        <w:sym w:font="Wingdings" w:char="F0A8"/>
      </w:r>
      <w:r>
        <w:rPr>
          <w:noProof/>
        </w:rPr>
        <w:tab/>
        <w:t xml:space="preserve">Priekšlikums/iniciatīva neparedz izmantot administratīvās apropriācijas </w:t>
      </w:r>
    </w:p>
    <w:p>
      <w:pPr>
        <w:pStyle w:val="ListDash1"/>
        <w:rPr>
          <w:noProof/>
        </w:rPr>
      </w:pPr>
      <w:r>
        <w:rPr>
          <w:noProof/>
        </w:rPr>
        <w:sym w:font="Wingdings" w:char="F078"/>
      </w:r>
      <w:r>
        <w:rPr>
          <w:noProof/>
        </w:rPr>
        <w:tab/>
        <w:t>Priekšlikums/iniciatīva paredz izmantot administratīvās apropriācijas šādā veidā:</w:t>
      </w:r>
    </w:p>
    <w:p>
      <w:pPr>
        <w:pStyle w:val="Point1"/>
        <w:ind w:firstLine="1"/>
        <w:rPr>
          <w:noProof/>
        </w:rPr>
      </w:pPr>
      <w:r>
        <w:rPr>
          <w:noProof/>
        </w:rPr>
        <w:t>Ar priekšlikumu netiek mainīta ietekme, kas prognozēta tiesību akta priekšlikuma finanšu pārskatā, kurš pievienots Komisijas priekšlikumam par laikposmu pēc 2020. gada (sk. COM(2018) 392).</w:t>
      </w:r>
    </w:p>
    <w:p>
      <w:pPr>
        <w:rPr>
          <w:noProof/>
          <w:sz w:val="20"/>
        </w:rPr>
      </w:pPr>
      <w:r>
        <w:rPr>
          <w:noProof/>
          <w:sz w:val="20"/>
        </w:rPr>
        <w:t>miljonos EUR (trīs zīmes aiz komata)</w:t>
      </w: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szCs w:val="16"/>
              </w:rPr>
              <w:t>Gads</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2021</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2023</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2025</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2027</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Daudzgadu finanšu </w:t>
            </w:r>
            <w:r>
              <w:rPr>
                <w:b/>
                <w:noProof/>
                <w:sz w:val="16"/>
              </w:rPr>
              <w:br/>
              <w:t xml:space="preserve">shēmas 7. IZDEVUMU </w:t>
            </w:r>
            <w:r>
              <w:rPr>
                <w:b/>
                <w:noProof/>
                <w:sz w:val="16"/>
              </w:rPr>
              <w:br/>
              <w:t>KATEGORIJA</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Cilvēkresursi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Citi administratīvie izdevumi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Starpsumma — </w:t>
            </w:r>
            <w:r>
              <w:rPr>
                <w:b/>
                <w:noProof/>
                <w:sz w:val="16"/>
              </w:rPr>
              <w:br/>
              <w:t xml:space="preserve">daudzgadu finanšu </w:t>
            </w:r>
            <w:r>
              <w:rPr>
                <w:b/>
                <w:noProof/>
                <w:sz w:val="16"/>
              </w:rPr>
              <w:br/>
              <w:t xml:space="preserve">shēmas 7. IZDEVUMU </w:t>
            </w:r>
            <w:r>
              <w:rPr>
                <w:b/>
                <w:noProof/>
                <w:sz w:val="16"/>
              </w:rPr>
              <w:br/>
              <w:t>KATEGORIJA</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 xml:space="preserve">Ārpus daudzgadu </w:t>
            </w:r>
            <w:r>
              <w:rPr>
                <w:b/>
                <w:noProof/>
                <w:sz w:val="16"/>
              </w:rPr>
              <w:br/>
              <w:t xml:space="preserve">finanšu shēmas </w:t>
            </w:r>
            <w:r>
              <w:rPr>
                <w:b/>
                <w:noProof/>
                <w:sz w:val="16"/>
              </w:rPr>
              <w:br/>
              <w:t>7. IZDEVUMU</w:t>
            </w:r>
            <w:r>
              <w:rPr>
                <w:b/>
                <w:noProof/>
                <w:sz w:val="16"/>
              </w:rPr>
              <w:br/>
              <w:t>KATEGORIJA</w:t>
            </w:r>
            <w:r>
              <w:rPr>
                <w:rStyle w:val="FootnoteReference0"/>
                <w:b/>
                <w:noProof/>
                <w:sz w:val="16"/>
              </w:rPr>
              <w:footnoteReference w:id="25"/>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Cilvēkresursi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Citi administratīvie izdevumi</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Starpsumma — Ārpus </w:t>
            </w:r>
            <w:r>
              <w:rPr>
                <w:b/>
                <w:noProof/>
                <w:sz w:val="16"/>
              </w:rPr>
              <w:br/>
              <w:t xml:space="preserve">daudzgadu finanšu </w:t>
            </w:r>
            <w:r>
              <w:rPr>
                <w:b/>
                <w:noProof/>
                <w:sz w:val="16"/>
              </w:rPr>
              <w:br/>
              <w:t xml:space="preserve">shēmas 7. IZDEVUMU </w:t>
            </w:r>
            <w:r>
              <w:rPr>
                <w:b/>
                <w:noProof/>
                <w:sz w:val="16"/>
              </w:rPr>
              <w:br/>
              <w:t xml:space="preserve">KATEGORIJAS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spacing w:before="0" w:after="0"/>
        <w:jc w:val="left"/>
        <w:rPr>
          <w:noProof/>
          <w:sz w:val="18"/>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20"/>
          <w:docGrid w:linePitch="326"/>
        </w:sectPr>
      </w:pPr>
    </w:p>
    <w:p>
      <w:pPr>
        <w:pStyle w:val="ManualHeading4"/>
        <w:rPr>
          <w:bCs/>
          <w:noProof/>
          <w:szCs w:val="24"/>
        </w:rPr>
      </w:pPr>
      <w:r>
        <w:t>3.2.2.1.</w:t>
      </w:r>
      <w:r>
        <w:tab/>
      </w:r>
      <w:r>
        <w:rPr>
          <w:noProof/>
        </w:rPr>
        <w:t>Paredzamās vajadzības pēc cilvēkresursiem</w:t>
      </w:r>
    </w:p>
    <w:p>
      <w:pPr>
        <w:pStyle w:val="ListDash1"/>
        <w:rPr>
          <w:noProof/>
        </w:rPr>
      </w:pPr>
      <w:r>
        <w:rPr>
          <w:noProof/>
        </w:rPr>
        <w:sym w:font="Wingdings" w:char="F0A8"/>
      </w:r>
      <w:r>
        <w:rPr>
          <w:noProof/>
        </w:rPr>
        <w:tab/>
        <w:t xml:space="preserve">Priekšlikums/iniciatīva neparedz cilvēkresursu izmantošanu. </w:t>
      </w:r>
    </w:p>
    <w:p>
      <w:pPr>
        <w:pStyle w:val="ListDash1"/>
        <w:rPr>
          <w:noProof/>
        </w:rPr>
      </w:pPr>
      <w:r>
        <w:rPr>
          <w:noProof/>
        </w:rPr>
        <w:sym w:font="Wingdings" w:char="F078"/>
      </w:r>
      <w:r>
        <w:rPr>
          <w:noProof/>
        </w:rPr>
        <w:tab/>
        <w:t>Priekšlikums/iniciatīva paredz cilvēkresursu izmantošanu šādā veidā:</w:t>
      </w:r>
    </w:p>
    <w:p>
      <w:pPr>
        <w:pStyle w:val="Point1"/>
        <w:ind w:left="1134" w:firstLine="1"/>
        <w:rPr>
          <w:noProof/>
        </w:rPr>
      </w:pPr>
      <w:r>
        <w:rPr>
          <w:noProof/>
        </w:rPr>
        <w:t>Ar priekšlikumu netiek mainītas prasības, kas prognozētas tiesību akta priekšlikuma finanšu pārskatā, kurš pievienots Komisijas priekšlikumam par laikposmu pēc 2020. gada (sk. COM(2018) 392).</w:t>
      </w:r>
    </w:p>
    <w:p>
      <w:pPr>
        <w:rPr>
          <w:noProof/>
        </w:rPr>
      </w:pPr>
    </w:p>
    <w:p>
      <w:pPr>
        <w:spacing w:after="60"/>
        <w:jc w:val="right"/>
        <w:rPr>
          <w:i/>
          <w:noProof/>
          <w:sz w:val="20"/>
        </w:rPr>
      </w:pPr>
      <w:r>
        <w:rPr>
          <w:i/>
          <w:noProof/>
          <w:sz w:val="20"/>
        </w:rPr>
        <w:t>Aplēse izsakāma ar pilnslodzes ekvivalentu</w:t>
      </w:r>
    </w:p>
    <w:tbl>
      <w:tblPr>
        <w:tblW w:w="5700"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87"/>
        <w:gridCol w:w="1913"/>
        <w:gridCol w:w="832"/>
        <w:gridCol w:w="976"/>
        <w:gridCol w:w="832"/>
        <w:gridCol w:w="976"/>
        <w:gridCol w:w="974"/>
        <w:gridCol w:w="836"/>
        <w:gridCol w:w="961"/>
      </w:tblGrid>
      <w:tr>
        <w:trPr>
          <w:trHeight w:val="289"/>
        </w:trPr>
        <w:tc>
          <w:tcPr>
            <w:tcW w:w="147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40" w:after="40"/>
              <w:ind w:left="0"/>
              <w:jc w:val="center"/>
              <w:rPr>
                <w:i/>
                <w:noProof/>
                <w:sz w:val="16"/>
                <w:szCs w:val="16"/>
              </w:rPr>
            </w:pPr>
            <w:r>
              <w:rPr>
                <w:b/>
                <w:noProof/>
                <w:sz w:val="16"/>
                <w:szCs w:val="16"/>
              </w:rPr>
              <w:t>Gads</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sz w:val="16"/>
                <w:szCs w:val="16"/>
              </w:rPr>
            </w:pPr>
            <w:r>
              <w:rPr>
                <w:b/>
                <w:noProof/>
                <w:sz w:val="20"/>
              </w:rPr>
              <w:t>2021</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sz w:val="20"/>
              </w:rPr>
            </w:pPr>
            <w:r>
              <w:rPr>
                <w:b/>
                <w:noProof/>
                <w:sz w:val="20"/>
              </w:rPr>
              <w:t>2022</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sz w:val="20"/>
              </w:rPr>
            </w:pPr>
            <w:r>
              <w:rPr>
                <w:b/>
                <w:noProof/>
                <w:sz w:val="20"/>
              </w:rPr>
              <w:t>2023</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sz w:val="20"/>
              </w:rPr>
            </w:pPr>
            <w:r>
              <w:rPr>
                <w:b/>
                <w:noProof/>
                <w:sz w:val="20"/>
              </w:rPr>
              <w:t>2024</w:t>
            </w:r>
          </w:p>
        </w:tc>
        <w:tc>
          <w:tcPr>
            <w:tcW w:w="533" w:type="pct"/>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2025</w:t>
            </w:r>
          </w:p>
        </w:tc>
        <w:tc>
          <w:tcPr>
            <w:tcW w:w="468" w:type="pct"/>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2026</w:t>
            </w:r>
          </w:p>
        </w:tc>
        <w:tc>
          <w:tcPr>
            <w:tcW w:w="527" w:type="pct"/>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2027</w:t>
            </w:r>
          </w:p>
        </w:tc>
      </w:tr>
      <w:tr>
        <w:trPr>
          <w:trHeight w:val="289"/>
        </w:trPr>
        <w:tc>
          <w:tcPr>
            <w:tcW w:w="5000" w:type="pct"/>
            <w:gridSpan w:val="9"/>
            <w:tcBorders>
              <w:top w:val="single" w:sz="6" w:space="0" w:color="auto"/>
              <w:left w:val="single" w:sz="6" w:space="0" w:color="auto"/>
              <w:bottom w:val="single" w:sz="6" w:space="0" w:color="auto"/>
              <w:right w:val="single" w:sz="6" w:space="0" w:color="auto"/>
            </w:tcBorders>
            <w:hideMark/>
          </w:tcPr>
          <w:p>
            <w:pPr>
              <w:jc w:val="left"/>
              <w:rPr>
                <w:noProof/>
                <w:sz w:val="16"/>
                <w:szCs w:val="16"/>
              </w:rPr>
            </w:pPr>
            <w:r>
              <w:rPr>
                <w:b/>
                <w:noProof/>
                <w:sz w:val="16"/>
              </w:rPr>
              <w:sym w:font="Wingdings" w:char="F09F"/>
            </w:r>
            <w:r>
              <w:rPr>
                <w:b/>
                <w:noProof/>
                <w:sz w:val="16"/>
              </w:rPr>
              <w:t>Štatu sarakstā ietvertās amata vietas (ierēdņi un pagaidu darbinieki)</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b/>
                <w:noProof/>
                <w:sz w:val="16"/>
                <w:szCs w:val="16"/>
              </w:rPr>
            </w:pPr>
            <w:r>
              <w:rPr>
                <w:noProof/>
                <w:sz w:val="16"/>
              </w:rPr>
              <w:t>Galvenā mītne un Komisijas pārstāvniecības</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noProof/>
                <w:sz w:val="16"/>
                <w:szCs w:val="16"/>
              </w:rPr>
            </w:pPr>
            <w:r>
              <w:rPr>
                <w:noProof/>
                <w:sz w:val="16"/>
              </w:rPr>
              <w:t>Delegācijas</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noProof/>
                <w:sz w:val="16"/>
                <w:szCs w:val="16"/>
              </w:rPr>
            </w:pPr>
            <w:r>
              <w:rPr>
                <w:noProof/>
                <w:sz w:val="16"/>
              </w:rPr>
              <w:t>Pētniecība</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93"/>
        </w:trPr>
        <w:tc>
          <w:tcPr>
            <w:tcW w:w="5000" w:type="pct"/>
            <w:gridSpan w:val="9"/>
            <w:tcBorders>
              <w:top w:val="single" w:sz="6" w:space="0" w:color="auto"/>
              <w:left w:val="single" w:sz="6" w:space="0" w:color="auto"/>
              <w:bottom w:val="single" w:sz="6" w:space="0" w:color="auto"/>
              <w:right w:val="single" w:sz="6" w:space="0" w:color="auto"/>
            </w:tcBorders>
            <w:hideMark/>
          </w:tcPr>
          <w:p>
            <w:pPr>
              <w:pStyle w:val="Text1"/>
              <w:spacing w:before="60" w:after="60"/>
              <w:ind w:left="0"/>
              <w:jc w:val="left"/>
              <w:rPr>
                <w:b/>
                <w:noProof/>
                <w:sz w:val="16"/>
                <w:szCs w:val="16"/>
              </w:rPr>
            </w:pPr>
            <w:r>
              <w:rPr>
                <w:b/>
                <w:noProof/>
                <w:sz w:val="16"/>
              </w:rPr>
              <w:sym w:font="Wingdings" w:char="F09F"/>
            </w:r>
            <w:r>
              <w:rPr>
                <w:b/>
                <w:noProof/>
                <w:sz w:val="16"/>
              </w:rPr>
              <w:t xml:space="preserve"> Ārštata darbinieki (izsakot ar pilnslodzes ekvivalentu — </w:t>
            </w:r>
            <w:r>
              <w:rPr>
                <w:b/>
                <w:i/>
                <w:iCs/>
                <w:noProof/>
                <w:sz w:val="16"/>
              </w:rPr>
              <w:t>FTE</w:t>
            </w:r>
            <w:r>
              <w:rPr>
                <w:b/>
                <w:noProof/>
                <w:sz w:val="16"/>
              </w:rPr>
              <w:t xml:space="preserve">) - </w:t>
            </w:r>
            <w:r>
              <w:rPr>
                <w:b/>
                <w:i/>
                <w:iCs/>
                <w:noProof/>
                <w:sz w:val="16"/>
              </w:rPr>
              <w:t>AC</w:t>
            </w:r>
            <w:r>
              <w:rPr>
                <w:b/>
                <w:noProof/>
                <w:sz w:val="16"/>
              </w:rPr>
              <w:t xml:space="preserve">, </w:t>
            </w:r>
            <w:r>
              <w:rPr>
                <w:b/>
                <w:i/>
                <w:iCs/>
                <w:noProof/>
                <w:sz w:val="16"/>
              </w:rPr>
              <w:t>AL</w:t>
            </w:r>
            <w:r>
              <w:rPr>
                <w:b/>
                <w:noProof/>
                <w:sz w:val="16"/>
              </w:rPr>
              <w:t xml:space="preserve">, </w:t>
            </w:r>
            <w:r>
              <w:rPr>
                <w:b/>
                <w:i/>
                <w:iCs/>
                <w:noProof/>
                <w:sz w:val="16"/>
              </w:rPr>
              <w:t>END</w:t>
            </w:r>
            <w:r>
              <w:rPr>
                <w:b/>
                <w:noProof/>
                <w:sz w:val="16"/>
              </w:rPr>
              <w:t xml:space="preserve">, </w:t>
            </w:r>
            <w:r>
              <w:rPr>
                <w:b/>
                <w:i/>
                <w:iCs/>
                <w:noProof/>
                <w:sz w:val="16"/>
              </w:rPr>
              <w:t>INT</w:t>
            </w:r>
            <w:r>
              <w:rPr>
                <w:b/>
                <w:noProof/>
                <w:sz w:val="16"/>
              </w:rPr>
              <w:t xml:space="preserve"> un </w:t>
            </w:r>
            <w:r>
              <w:rPr>
                <w:b/>
                <w:i/>
                <w:iCs/>
                <w:noProof/>
                <w:sz w:val="16"/>
              </w:rPr>
              <w:t>JED</w:t>
            </w:r>
            <w:r>
              <w:rPr>
                <w:noProof/>
                <w:sz w:val="16"/>
              </w:rPr>
              <w:t xml:space="preserve"> </w:t>
            </w:r>
            <w:r>
              <w:rPr>
                <w:rStyle w:val="FootnoteReference0"/>
                <w:noProof/>
                <w:sz w:val="16"/>
              </w:rPr>
              <w:footnoteReference w:id="26"/>
            </w:r>
          </w:p>
          <w:p>
            <w:pPr>
              <w:pStyle w:val="Text1"/>
              <w:spacing w:before="0" w:after="0"/>
              <w:ind w:left="0"/>
              <w:jc w:val="left"/>
              <w:rPr>
                <w:noProof/>
                <w:sz w:val="16"/>
                <w:szCs w:val="16"/>
              </w:rPr>
            </w:pPr>
            <w:r>
              <w:rPr>
                <w:noProof/>
                <w:sz w:val="16"/>
                <w:szCs w:val="16"/>
              </w:rPr>
              <w:t>7. kategorija</w:t>
            </w:r>
          </w:p>
        </w:tc>
      </w:tr>
      <w:tr>
        <w:trPr>
          <w:trHeight w:val="485"/>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szCs w:val="16"/>
              </w:rPr>
              <w:t>Finansēts no daudzgadu finanšu shēmas 7. IZDEVUMU KATEGORIJAS</w:t>
            </w:r>
            <w:r>
              <w:rPr>
                <w:b/>
                <w:noProof/>
                <w:sz w:val="16"/>
              </w:rPr>
              <w:t xml:space="preserve"> </w:t>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rPr>
              <w:t>— galvenajā mītnē</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noProof/>
                <w:sz w:val="16"/>
                <w:szCs w:val="16"/>
              </w:rPr>
            </w:pPr>
            <w:r>
              <w:rPr>
                <w:noProof/>
                <w:sz w:val="16"/>
              </w:rPr>
              <w:t xml:space="preserve">— delegācijās </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370"/>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szCs w:val="16"/>
              </w:rPr>
              <w:t>Finansēts no programmas piešķīruma</w:t>
            </w:r>
            <w:r>
              <w:rPr>
                <w:b/>
                <w:noProof/>
                <w:sz w:val="16"/>
                <w:szCs w:val="16"/>
              </w:rPr>
              <w:t xml:space="preserve"> </w:t>
            </w:r>
            <w:r>
              <w:rPr>
                <w:rStyle w:val="FootnoteReference0"/>
                <w:b/>
                <w:noProof/>
                <w:sz w:val="16"/>
              </w:rPr>
              <w:footnoteReference w:id="27"/>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rPr>
              <w:t>— galvenajā mītnē</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rPr>
              <w:t xml:space="preserve">— delegācijās </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6"/>
              <w:jc w:val="left"/>
              <w:rPr>
                <w:noProof/>
                <w:sz w:val="16"/>
                <w:szCs w:val="16"/>
              </w:rPr>
            </w:pPr>
            <w:r>
              <w:rPr>
                <w:noProof/>
                <w:sz w:val="16"/>
                <w:szCs w:val="16"/>
              </w:rPr>
              <w:t>Pētniecība</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double" w:sz="4" w:space="0" w:color="auto"/>
              <w:right w:val="single" w:sz="6" w:space="0" w:color="auto"/>
            </w:tcBorders>
            <w:hideMark/>
          </w:tcPr>
          <w:p>
            <w:pPr>
              <w:pStyle w:val="Text1"/>
              <w:spacing w:beforeLines="20" w:before="48" w:afterLines="20" w:after="48"/>
              <w:ind w:left="984"/>
              <w:jc w:val="left"/>
              <w:rPr>
                <w:noProof/>
                <w:sz w:val="16"/>
                <w:szCs w:val="16"/>
              </w:rPr>
            </w:pPr>
            <w:r>
              <w:rPr>
                <w:noProof/>
                <w:sz w:val="16"/>
              </w:rPr>
              <w:t>Cits (konkretizēt)</w:t>
            </w: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left w:val="single" w:sz="6" w:space="0" w:color="auto"/>
              <w:bottom w:val="single" w:sz="6" w:space="0" w:color="auto"/>
              <w:right w:val="single" w:sz="6" w:space="0" w:color="auto"/>
            </w:tcBorders>
            <w:hideMark/>
          </w:tcPr>
          <w:p>
            <w:pPr>
              <w:pStyle w:val="Text1"/>
              <w:spacing w:beforeLines="20" w:before="48" w:afterLines="20" w:after="48"/>
              <w:ind w:left="986"/>
              <w:jc w:val="left"/>
              <w:rPr>
                <w:noProof/>
                <w:sz w:val="16"/>
                <w:szCs w:val="16"/>
              </w:rPr>
            </w:pPr>
            <w:r>
              <w:rPr>
                <w:b/>
                <w:noProof/>
                <w:sz w:val="16"/>
              </w:rPr>
              <w:t>KOPĀ</w:t>
            </w:r>
          </w:p>
        </w:tc>
        <w:tc>
          <w:tcPr>
            <w:tcW w:w="46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53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46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53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53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46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527"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r>
    </w:tbl>
    <w:p>
      <w:pPr>
        <w:pStyle w:val="Text1"/>
        <w:ind w:left="0"/>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Borders>
              <w:top w:val="single" w:sz="2" w:space="0" w:color="auto"/>
              <w:left w:val="single" w:sz="2" w:space="0" w:color="auto"/>
              <w:bottom w:val="single" w:sz="2" w:space="0" w:color="auto"/>
              <w:right w:val="single" w:sz="2" w:space="0" w:color="auto"/>
            </w:tcBorders>
            <w:hideMark/>
          </w:tcPr>
          <w:p>
            <w:pPr>
              <w:rPr>
                <w:noProof/>
                <w:sz w:val="20"/>
              </w:rPr>
            </w:pPr>
            <w:r>
              <w:rPr>
                <w:noProof/>
                <w:sz w:val="20"/>
              </w:rPr>
              <w:t>Ierēdņi un pagaidu darbinieki</w:t>
            </w:r>
          </w:p>
        </w:tc>
        <w:tc>
          <w:tcPr>
            <w:tcW w:w="7392" w:type="dxa"/>
            <w:tcBorders>
              <w:top w:val="single" w:sz="2" w:space="0" w:color="auto"/>
              <w:left w:val="single" w:sz="2" w:space="0" w:color="auto"/>
              <w:bottom w:val="single" w:sz="2" w:space="0" w:color="auto"/>
              <w:right w:val="single" w:sz="2" w:space="0" w:color="auto"/>
            </w:tcBorders>
          </w:tcPr>
          <w:p>
            <w:pPr>
              <w:rPr>
                <w:noProof/>
                <w:sz w:val="20"/>
              </w:rPr>
            </w:pP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rPr>
                <w:noProof/>
                <w:sz w:val="20"/>
              </w:rPr>
            </w:pPr>
            <w:r>
              <w:rPr>
                <w:noProof/>
                <w:sz w:val="20"/>
              </w:rPr>
              <w:t>Ārštata darbinieki</w:t>
            </w:r>
          </w:p>
        </w:tc>
        <w:tc>
          <w:tcPr>
            <w:tcW w:w="7392" w:type="dxa"/>
            <w:tcBorders>
              <w:top w:val="single" w:sz="2" w:space="0" w:color="auto"/>
              <w:left w:val="single" w:sz="2" w:space="0" w:color="auto"/>
              <w:bottom w:val="single" w:sz="2" w:space="0" w:color="auto"/>
              <w:right w:val="single" w:sz="2" w:space="0" w:color="auto"/>
            </w:tcBorders>
          </w:tcPr>
          <w:p>
            <w:pPr>
              <w:rPr>
                <w:noProof/>
                <w:sz w:val="20"/>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3"/>
        <w:rPr>
          <w:bCs/>
          <w:noProof/>
          <w:szCs w:val="24"/>
        </w:rPr>
      </w:pPr>
      <w:r>
        <w:t>3.2.3.</w:t>
      </w:r>
      <w:r>
        <w:tab/>
      </w:r>
      <w:r>
        <w:rPr>
          <w:noProof/>
        </w:rPr>
        <w:t xml:space="preserve">Trešo personu iemaksas </w:t>
      </w:r>
    </w:p>
    <w:p>
      <w:pPr>
        <w:pStyle w:val="Text1"/>
        <w:rPr>
          <w:noProof/>
        </w:rPr>
      </w:pPr>
      <w:r>
        <w:rPr>
          <w:noProof/>
        </w:rPr>
        <w:t>Priekšlikums/iniciatīva:</w:t>
      </w:r>
    </w:p>
    <w:p>
      <w:pPr>
        <w:pStyle w:val="ListDash1"/>
        <w:rPr>
          <w:noProof/>
        </w:rPr>
      </w:pPr>
      <w:r>
        <w:rPr>
          <w:noProof/>
        </w:rPr>
        <w:sym w:font="Wingdings" w:char="F078"/>
      </w:r>
      <w:r>
        <w:rPr>
          <w:noProof/>
        </w:rPr>
        <w:tab/>
        <w:t>neparedz trešo personu līdzfinansējumu</w:t>
      </w:r>
    </w:p>
    <w:p>
      <w:pPr>
        <w:pStyle w:val="ListDash1"/>
        <w:rPr>
          <w:noProof/>
        </w:rPr>
      </w:pPr>
      <w:r>
        <w:rPr>
          <w:noProof/>
        </w:rPr>
        <w:sym w:font="Wingdings" w:char="F0A8"/>
      </w:r>
      <w:r>
        <w:rPr>
          <w:noProof/>
        </w:rPr>
        <w:tab/>
        <w:t>paredz trešo personu sniegtu līdzfinansējumu:</w:t>
      </w:r>
    </w:p>
    <w:p>
      <w:pPr>
        <w:jc w:val="right"/>
        <w:rPr>
          <w:noProof/>
          <w:sz w:val="20"/>
        </w:rPr>
      </w:pPr>
      <w:r>
        <w:rPr>
          <w:noProof/>
          <w:sz w:val="20"/>
        </w:rPr>
        <w:t>Apropriācijas miljonos EUR (trīs zīmes aiz komata)</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964"/>
        <w:gridCol w:w="964"/>
        <w:gridCol w:w="964"/>
        <w:gridCol w:w="964"/>
        <w:gridCol w:w="964"/>
        <w:gridCol w:w="964"/>
        <w:gridCol w:w="964"/>
        <w:gridCol w:w="1158"/>
      </w:tblGrid>
      <w:tr>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b/>
                <w:noProof/>
                <w:sz w:val="20"/>
              </w:rPr>
            </w:pPr>
            <w:r>
              <w:rPr>
                <w:b/>
                <w:noProof/>
                <w:sz w:val="20"/>
              </w:rPr>
              <w:t>Gads</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noProof/>
                <w:sz w:val="20"/>
              </w:rPr>
            </w:pPr>
            <w:r>
              <w:rPr>
                <w:b/>
                <w:noProof/>
                <w:sz w:val="20"/>
              </w:rPr>
              <w:t>2021</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2022</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2023</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2024</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2025</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2026</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2027</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b/>
                <w:noProof/>
                <w:sz w:val="20"/>
              </w:rPr>
            </w:pPr>
            <w:r>
              <w:rPr>
                <w:b/>
                <w:noProof/>
                <w:sz w:val="20"/>
              </w:rPr>
              <w:t>KOPĀ</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rPr>
                <w:noProof/>
              </w:rPr>
            </w:pPr>
            <w:r>
              <w:rPr>
                <w:noProof/>
                <w:sz w:val="20"/>
              </w:rPr>
              <w:t>Norādīt līdzfinansētāju struktūru</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before="60" w:after="60"/>
              <w:jc w:val="left"/>
              <w:rPr>
                <w:noProof/>
                <w:sz w:val="20"/>
              </w:rPr>
            </w:pPr>
            <w:r>
              <w:rPr>
                <w:noProof/>
                <w:sz w:val="20"/>
              </w:rPr>
              <w:t xml:space="preserve">KOPĀ līdzfinansētās apropriācijas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r>
    </w:tbl>
    <w:p>
      <w:pPr>
        <w:rPr>
          <w:noProof/>
        </w:rPr>
      </w:pPr>
    </w:p>
    <w:p>
      <w:pPr>
        <w:pStyle w:val="ManualHeading2"/>
        <w:rPr>
          <w:bCs/>
          <w:noProof/>
          <w:szCs w:val="24"/>
        </w:rPr>
      </w:pPr>
      <w:r>
        <w:t>3.3.</w:t>
      </w:r>
      <w:r>
        <w:tab/>
      </w:r>
      <w:r>
        <w:rPr>
          <w:noProof/>
        </w:rPr>
        <w:t xml:space="preserve">Paredzamā ietekme uz ieņēmumiem </w:t>
      </w:r>
    </w:p>
    <w:p>
      <w:pPr>
        <w:pStyle w:val="ListDash1"/>
        <w:rPr>
          <w:noProof/>
        </w:rPr>
      </w:pPr>
      <w:r>
        <w:rPr>
          <w:noProof/>
        </w:rPr>
        <w:sym w:font="Wingdings" w:char="F0A8"/>
      </w:r>
      <w:r>
        <w:rPr>
          <w:noProof/>
        </w:rPr>
        <w:tab/>
        <w:t>Priekšlikums/iniciatīva ieņēmumus finansiāli neietekmē.</w:t>
      </w:r>
    </w:p>
    <w:p>
      <w:pPr>
        <w:pStyle w:val="ListDash1"/>
        <w:rPr>
          <w:noProof/>
        </w:rPr>
      </w:pPr>
      <w:r>
        <w:rPr>
          <w:noProof/>
        </w:rPr>
        <w:sym w:font="Wingdings" w:char="F0A8"/>
      </w:r>
      <w:r>
        <w:rPr>
          <w:noProof/>
        </w:rPr>
        <w:tab/>
        <w:t>Priekšlikums/iniciatīva finansiāli ietekmē:</w:t>
      </w:r>
    </w:p>
    <w:p>
      <w:pPr>
        <w:pStyle w:val="ListNumberLevel3"/>
        <w:tabs>
          <w:tab w:val="clear" w:pos="2126"/>
        </w:tabs>
        <w:rPr>
          <w:noProof/>
        </w:rPr>
      </w:pPr>
      <w:r>
        <w:rPr>
          <w:noProof/>
        </w:rPr>
        <w:sym w:font="Wingdings" w:char="F0A8"/>
      </w:r>
      <w:r>
        <w:rPr>
          <w:noProof/>
        </w:rPr>
        <w:tab/>
        <w:t xml:space="preserve">pašu resursus </w:t>
      </w:r>
    </w:p>
    <w:p>
      <w:pPr>
        <w:pStyle w:val="ListNumberLevel3"/>
        <w:tabs>
          <w:tab w:val="clear" w:pos="2126"/>
        </w:tabs>
        <w:rPr>
          <w:noProof/>
        </w:rPr>
      </w:pPr>
      <w:r>
        <w:rPr>
          <w:noProof/>
        </w:rPr>
        <w:sym w:font="Wingdings" w:char="F078"/>
      </w:r>
      <w:r>
        <w:rPr>
          <w:noProof/>
        </w:rPr>
        <w:tab/>
        <w:t xml:space="preserve">citus ieņēmumus </w:t>
      </w:r>
    </w:p>
    <w:p>
      <w:pPr>
        <w:jc w:val="right"/>
        <w:rPr>
          <w:noProof/>
        </w:rPr>
      </w:pPr>
      <w:r>
        <w:rPr>
          <w:noProof/>
        </w:rPr>
        <w:t xml:space="preserve">      Norādiet, ja ieņēmumi ir piešķirti izdevumu pozīcijām </w:t>
      </w:r>
      <w:r>
        <w:rPr>
          <w:noProof/>
        </w:rPr>
        <w:sym w:font="Wingdings" w:char="F0A8"/>
      </w:r>
      <w:r>
        <w:rPr>
          <w:noProof/>
        </w:rPr>
        <w:tab/>
      </w:r>
    </w:p>
    <w:p>
      <w:pPr>
        <w:jc w:val="right"/>
        <w:rPr>
          <w:i/>
          <w:noProof/>
          <w:sz w:val="20"/>
        </w:rPr>
      </w:pPr>
      <w:r>
        <w:rPr>
          <w:noProof/>
        </w:rPr>
        <w:t>miljonos EUR (trīs zīmes aiz komata)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080"/>
        <w:gridCol w:w="900"/>
        <w:gridCol w:w="900"/>
        <w:gridCol w:w="1080"/>
        <w:gridCol w:w="1080"/>
        <w:gridCol w:w="1080"/>
        <w:gridCol w:w="1080"/>
      </w:tblGrid>
      <w:tr>
        <w:trPr>
          <w:trHeight w:val="388"/>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rPr>
                <w:noProof/>
                <w:sz w:val="18"/>
              </w:rPr>
            </w:pPr>
            <w:r>
              <w:rPr>
                <w:noProof/>
                <w:sz w:val="18"/>
              </w:rPr>
              <w:t>Budžeta ieņēmumu pozīcija:</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jc w:val="center"/>
              <w:rPr>
                <w:noProof/>
                <w:sz w:val="18"/>
              </w:rPr>
            </w:pPr>
            <w:r>
              <w:rPr>
                <w:noProof/>
                <w:sz w:val="18"/>
              </w:rPr>
              <w:t>Priekšlikuma/iniciatīvas ietekme</w:t>
            </w:r>
            <w:r>
              <w:rPr>
                <w:rStyle w:val="FootnoteReference0"/>
                <w:noProof/>
                <w:sz w:val="18"/>
              </w:rPr>
              <w:footnoteReference w:id="28"/>
            </w:r>
          </w:p>
        </w:tc>
      </w:tr>
      <w:tr>
        <w:trPr>
          <w:trHeight w:val="388"/>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rPr>
            </w:pPr>
            <w:r>
              <w:rPr>
                <w:b/>
                <w:noProof/>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2022</w:t>
            </w:r>
          </w:p>
        </w:tc>
        <w:tc>
          <w:tcPr>
            <w:tcW w:w="90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2023</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2024</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2025</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2026</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2027</w:t>
            </w:r>
          </w:p>
        </w:tc>
      </w:tr>
      <w:tr>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sz w:val="18"/>
              </w:rPr>
            </w:pPr>
            <w:r>
              <w:rPr>
                <w:noProof/>
                <w:sz w:val="18"/>
              </w:rPr>
              <w:t>67 01 un 67 02</w:t>
            </w:r>
            <w:r>
              <w:rPr>
                <w:rStyle w:val="FootnoteReference0"/>
                <w:noProof/>
                <w:sz w:val="18"/>
              </w:rPr>
              <w:footnoteReference w:id="29"/>
            </w: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r>
    </w:tbl>
    <w:p>
      <w:pPr>
        <w:pStyle w:val="Text1"/>
        <w:rPr>
          <w:noProof/>
          <w:sz w:val="20"/>
        </w:rPr>
      </w:pPr>
      <w:r>
        <w:rPr>
          <w:noProof/>
          <w:sz w:val="20"/>
        </w:rPr>
        <w:t>Attiecībā uz piešķirtajiem ieņēmumiem norādīt attiecīgās budžeta izdevumu pozīcijas.</w:t>
      </w:r>
    </w:p>
    <w:p>
      <w:pPr>
        <w:pStyle w:val="Text1"/>
        <w:pBdr>
          <w:top w:val="single" w:sz="4" w:space="1" w:color="auto"/>
          <w:left w:val="single" w:sz="4" w:space="4" w:color="auto"/>
          <w:bottom w:val="single" w:sz="4" w:space="1" w:color="auto"/>
          <w:right w:val="single" w:sz="4" w:space="4" w:color="auto"/>
        </w:pBdr>
        <w:rPr>
          <w:noProof/>
        </w:rPr>
      </w:pPr>
      <w:r>
        <w:rPr>
          <w:noProof/>
        </w:rPr>
        <w:t>Līdztekus budžeta pozīcijām, kas minētas tiesību akta priekšlikuma finanšu pārskatā, kurš pievienots Komisijas priekšlikumam par KLP laikposmam pēc 2020. gada (COM(2018) 392 final), pārejas laikā tiks skarta šāda budžeta pozīcija:</w:t>
      </w:r>
    </w:p>
    <w:p>
      <w:pPr>
        <w:pStyle w:val="Text1"/>
        <w:pBdr>
          <w:top w:val="single" w:sz="4" w:space="1" w:color="auto"/>
          <w:left w:val="single" w:sz="4" w:space="4" w:color="auto"/>
          <w:bottom w:val="single" w:sz="4" w:space="1" w:color="auto"/>
          <w:right w:val="single" w:sz="4" w:space="4" w:color="auto"/>
        </w:pBdr>
        <w:rPr>
          <w:noProof/>
        </w:rPr>
      </w:pPr>
      <w:r>
        <w:rPr>
          <w:noProof/>
        </w:rPr>
        <w:t>08 02 YY — Tiešie maksājumi, kas nav ietverti KLP plānā</w:t>
      </w:r>
      <w:r>
        <w:t xml:space="preserve"> </w:t>
      </w:r>
    </w:p>
    <w:p>
      <w:pPr>
        <w:pStyle w:val="Text1"/>
        <w:rPr>
          <w:noProof/>
          <w:sz w:val="20"/>
        </w:rPr>
      </w:pPr>
      <w:r>
        <w:rPr>
          <w:noProof/>
          <w:sz w:val="20"/>
        </w:rPr>
        <w:t>Citas piezīmes (piem., metode/formula, ko izmanto, lai aprēķinātu ietekmi uz ieņēmumiem, vai jebkura cita informācija).</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LV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0"/>
        </w:rPr>
        <w:footnoteRef/>
      </w:r>
      <w:r>
        <w:tab/>
        <w:t>Priekšlikums Eiropas Parlamenta un Padomes regulai,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 COM(2018) 392 final, 2018/0216(COD); priekšlikums Eiropas Parlamenta un Padomes regulai par kopējās lauksaimniecības politikas finansēšanu, pārvaldību un uzraudzību un ar ko atceļ Regulu (ES) Nr. 1306/2013, COM(2018) 393 final, 2018/0217(COD); priekšlikums Eiropas Parlamenta un Padomes regulai, ar kuru groza Regulu (ES) Nr. 1308/2013, ar ko izveido lauksaimniecības produktu tirgu kopīgu organizāciju, Regulu (ES) Nr. 1151/2012 par lauksaimniecības produktu un pārtikas produktu kvalitātes shēmām, Regulu (ES) Nr. 251/2014 par aromatizētu vīna produktu definīciju, aprakstu, noformējumu, marķējumu un ģeogrāfiskās izcelsmes norāžu aizsardzību, Regulu (ES) Nr. 228/2013, ar ko ievieš īpašus pasākumus lauksaimniecības jomā attālākajiem Eiropas Savienības reģioniem, un Regulu (ES) Nr. 229/2013, ar ko nosaka īpašus pasākumus lauksaimniecībā par labu Egejas jūras nelielajām salām, COM(2018) 394 final/2.</w:t>
      </w:r>
    </w:p>
  </w:footnote>
  <w:footnote w:id="2">
    <w:p>
      <w:pPr>
        <w:pStyle w:val="FootnoteText"/>
      </w:pPr>
      <w:r>
        <w:rPr>
          <w:rStyle w:val="FootnoteReference0"/>
        </w:rPr>
        <w:footnoteRef/>
      </w:r>
      <w:r>
        <w:tab/>
        <w:t>COM(2018) 322.</w:t>
      </w:r>
    </w:p>
  </w:footnote>
  <w:footnote w:id="3">
    <w:p>
      <w:pPr>
        <w:pStyle w:val="FootnoteText"/>
      </w:pPr>
      <w:r>
        <w:rPr>
          <w:rStyle w:val="FootnoteReference0"/>
        </w:rPr>
        <w:footnoteRef/>
      </w:r>
      <w:r>
        <w:tab/>
        <w:t>COM(2018) 375.</w:t>
      </w:r>
    </w:p>
  </w:footnote>
  <w:footnote w:id="4">
    <w:p>
      <w:pPr>
        <w:pStyle w:val="FootnoteText"/>
      </w:pPr>
      <w:r>
        <w:rPr>
          <w:rStyle w:val="FootnoteReference0"/>
        </w:rPr>
        <w:footnoteRef/>
      </w:r>
      <w:r>
        <w:tab/>
        <w:t>OV C [...], [...], [...]. lpp.</w:t>
      </w:r>
    </w:p>
  </w:footnote>
  <w:footnote w:id="5">
    <w:p>
      <w:pPr>
        <w:pStyle w:val="FootnoteText"/>
      </w:pPr>
      <w:r>
        <w:rPr>
          <w:rStyle w:val="FootnoteReference0"/>
        </w:rPr>
        <w:footnoteRef/>
      </w:r>
      <w:r>
        <w:tab/>
        <w:t>OV C [...], [...], [...]. lpp.</w:t>
      </w:r>
    </w:p>
  </w:footnote>
  <w:footnote w:id="6">
    <w:p>
      <w:pPr>
        <w:pStyle w:val="FootnoteText"/>
      </w:pPr>
      <w:r>
        <w:rPr>
          <w:rStyle w:val="FootnoteReference0"/>
        </w:rPr>
        <w:footnoteRef/>
      </w:r>
      <w:r>
        <w:tab/>
        <w:t>Priekšlikums Eiropas Parlamenta un Padomes regulai,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 (COM(2018)392 final – 2018/0216 (COD)); Priekšlikums Eiropas Parlamenta un Padomes regulai par kopējās lauksaimniecības politikas finansēšanu, pārvaldību un uzraudzību un ar ko atceļ Regulu (ES) Nr. 1306/2013 (COM(2018)393 final – 2018/0217 (COD)); Priekšlikums Eiropas Parlamenta un Padomes regulai, ar kuru groza Regulu (ES) Nr. 1308/2013, ar ko izveido lauksaimniecības produktu tirgu kopīgu organizāciju, Regulu (ES) Nr. 1151/2012 par lauksaimniecības produktu un pārtikas produktu kvalitātes shēmām, Regulu (ES) Nr. 251/2014 par aromatizētu vīna produktu definīciju, aprakstu, noformējumu, marķējumu un ģeogrāfiskās izcelsmes norāžu aizsardzību, Regulu (ES) Nr. 228/2013, ar ko ievieš īpašus pasākumus lauksaimniecības jomā attālākajiem Eiropas Savienības reģioniem, un Regulu (ES) Nr. 229/2013, ar ko nosaka īpašus pasākumus lauksaimniecībā par labu Egejas jūras nelielajām salām (COM(2018)394 final/2).</w:t>
      </w:r>
    </w:p>
  </w:footnote>
  <w:footnote w:id="7">
    <w:p>
      <w:pPr>
        <w:pStyle w:val="FootnoteText"/>
      </w:pPr>
      <w:r>
        <w:rPr>
          <w:rStyle w:val="FootnoteReference0"/>
        </w:rPr>
        <w:footnoteRef/>
      </w:r>
      <w:r>
        <w:tab/>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 w:id="8">
    <w:p>
      <w:pPr>
        <w:pStyle w:val="FootnoteText"/>
      </w:pPr>
      <w:r>
        <w:rPr>
          <w:rStyle w:val="FootnoteReference0"/>
        </w:rPr>
        <w:footnoteRef/>
      </w:r>
      <w:r>
        <w:tab/>
        <w:t>Eiropas Parlamenta un Padomes Regula (ES) Nr. 1305/2013 (2013. gada 17. decembris) par atbalstu lauku attīstībai no Eiropas Lauksaimniecības fonda lauku attīstībai (ELFLA) un ar ko atceļ Padomes Regulu (EK) Nr. 1698/2005 (OV L 347, 20.12.2013., 487. lpp.).</w:t>
      </w:r>
    </w:p>
  </w:footnote>
  <w:footnote w:id="9">
    <w:p>
      <w:pPr>
        <w:pStyle w:val="FootnoteText"/>
      </w:pPr>
      <w:r>
        <w:rPr>
          <w:rStyle w:val="FootnoteReference0"/>
        </w:rPr>
        <w:footnoteRef/>
      </w:r>
      <w:r>
        <w:tab/>
        <w:t>Eiropas Parlamenta un Padomes Regula (EK) Nr. 1306/2013 (2013. gada 17. decembris) par kopējās lauksaimniecības politikas finansēšanu, pārvaldību un uzraudzību un Padomes Regulu (EEK) Nr. 352/78, (EK) Nr. 165/94, (EK) Nr. 2799/98, (EK) Nr. 814/2000, (EK) Nr. 1290/2005 un (EK) Nr. 485/2008 atcelšanu (OV L 347, 20.12.2013., 549. lpp.).</w:t>
      </w:r>
    </w:p>
  </w:footnote>
  <w:footnote w:id="10">
    <w:p>
      <w:pPr>
        <w:pStyle w:val="FootnoteText"/>
      </w:pPr>
      <w:r>
        <w:rPr>
          <w:rStyle w:val="FootnoteReference0"/>
        </w:rPr>
        <w:footnoteRef/>
      </w:r>
      <w:r>
        <w:tab/>
        <w:t>Eiropas Parlamenta un Padomes Regula (ES) Nr. 1307/2013 (2013. gada 17. decembris), ar ko izveido noteikumus par lauksaimniekiem paredzētiem tiešajiem maksājumiem, kurus veic saskaņā ar kopējās lauksaimniecības politikas atbalsta shēmām, un ar ko atceļ Padomes Regulu (EK) Nr. 637/2008 un Padomes Regulu (EK) Nr. 73/2009 (OV L 347, 20.12.2013., 608. lpp.).</w:t>
      </w:r>
    </w:p>
  </w:footnote>
  <w:footnote w:id="11">
    <w:p>
      <w:pPr>
        <w:pStyle w:val="FootnoteText"/>
      </w:pPr>
      <w:r>
        <w:rPr>
          <w:rStyle w:val="FootnoteReference0"/>
        </w:rPr>
        <w:footnoteRef/>
      </w:r>
      <w:r>
        <w:tab/>
        <w:t>Eiropas Parlamenta un Padomes Regula (ES) Nr. 1308/2013 (2013. gada 17. decembris), ar ko izveido lauksaimniecības produktu tirgu kopīgu organizāciju un atceļ Padomes Regulas (EEK) Nr. 922/72, (EEK) Nr. 234/79, (EK) Nr. 1037/2001 un (EK) Nr. 1234/2007 (OV L 347, 20.12.2013., 671. lpp.).</w:t>
      </w:r>
    </w:p>
  </w:footnote>
  <w:footnote w:id="12">
    <w:p>
      <w:pPr>
        <w:pStyle w:val="FootnoteText"/>
      </w:pPr>
      <w:r>
        <w:rPr>
          <w:rStyle w:val="FootnoteReference0"/>
        </w:rPr>
        <w:footnoteRef/>
      </w:r>
      <w:r>
        <w:tab/>
        <w:t>Eiropas Parlamenta un Padomes Regula (ES) Nr. 228/2013 (2013. gada 13. marts), ar ko ievieš īpašus pasākumus lauksaimniecības jomā attālākajiem Eiropas Savienības reģioniem un atceļ Padomes Regulu (EK) Nr. 247/2006 (OV L 78, 20.3.2013., 23. lpp.).</w:t>
      </w:r>
    </w:p>
  </w:footnote>
  <w:footnote w:id="13">
    <w:p>
      <w:pPr>
        <w:pStyle w:val="FootnoteText"/>
      </w:pPr>
      <w:r>
        <w:rPr>
          <w:rStyle w:val="FootnoteReference0"/>
        </w:rPr>
        <w:footnoteRef/>
      </w:r>
      <w:r>
        <w:tab/>
        <w:t>Eiropas Parlamenta un Padomes Regula (ES) Nr. 229/2013 (2013. gada 13. marts), ar ko nosaka īpašus pasākumus lauksaimniecībā par labu Egejas jūras nelielajām salām un atceļ Padomes Regulu Nr. 1405/2006 (OV L 78, 20.3.2013., 41. lpp.).</w:t>
      </w:r>
    </w:p>
  </w:footnote>
  <w:footnote w:id="14">
    <w:p>
      <w:pPr>
        <w:pStyle w:val="FootnoteText"/>
      </w:pPr>
      <w:r>
        <w:rPr>
          <w:rStyle w:val="FootnoteReference0"/>
        </w:rPr>
        <w:footnoteRef/>
      </w:r>
      <w:r>
        <w:tab/>
        <w:t>DFS regula (OV L , , . lpp.</w:t>
      </w:r>
    </w:p>
  </w:footnote>
  <w:footnote w:id="15">
    <w:p>
      <w:pPr>
        <w:pStyle w:val="FootnoteText"/>
      </w:pPr>
      <w:r>
        <w:rPr>
          <w:rStyle w:val="FootnoteReference0"/>
        </w:rPr>
        <w:footnoteRef/>
      </w:r>
      <w:r>
        <w:tab/>
        <w:t>Eiropas Parlamenta un Padomes Regula (ES) Nr. 1310/2013 (2013. gada 17. decembris), ar ko nosaka konkrētus pārejas posma noteikumus par atbalstu lauku attīstībai no Eiropas Lauksaimniecības fonda lauku attīstībai (ELFLA), groza Eiropas Parlamenta un Padomes Regulu (ES) Nr. 1305/2013 attiecībā uz līdzekļiem un to sadalījumu 2014. gadam un groza Padomes Regulu (EK) Nr. 73/2009 un Eiropas Parlamenta un Padomes Regulas (ES) Nr. 1307/2013, (ES) Nr. 1306/2013 un (ES) Nr. 1308/2013 attiecībā uz to piemērošanu 2014. gadā (OV L 347, 20.12.2013., 865. lpp.).</w:t>
      </w:r>
    </w:p>
  </w:footnote>
  <w:footnote w:id="16">
    <w:p>
      <w:pPr>
        <w:pStyle w:val="FootnoteText"/>
      </w:pPr>
      <w:r>
        <w:rPr>
          <w:rStyle w:val="FootnoteReference0"/>
        </w:rPr>
        <w:footnoteRef/>
      </w:r>
      <w:r>
        <w:tab/>
        <w:t>Komisijas Deleģētā regula (ES) Nr. 807/2014 (2014. gada 11. marts), ar ko papildina Eiropas Parlamenta un Padomes Regulu (ES) Nr. 1305/2013 par atbalstu lauku attīstībai no Eiropas Lauksaimniecības fonda lauku attīstībai (ELFLA) un ievieš pārejas noteikumus (OV L 227, 31.7.2014., 1. lpp.).</w:t>
      </w:r>
    </w:p>
  </w:footnote>
  <w:footnote w:id="17">
    <w:p>
      <w:pPr>
        <w:pStyle w:val="FootnoteText"/>
      </w:pPr>
      <w:r>
        <w:rPr>
          <w:rStyle w:val="FootnoteReference0"/>
        </w:rPr>
        <w:footnoteRef/>
      </w:r>
      <w:r>
        <w:tab/>
        <w:t>Eiropas Parlamenta un Padomes Regula (ES) …/… (..) [</w:t>
      </w:r>
      <w:r>
        <w:rPr>
          <w:i/>
        </w:rPr>
        <w:t>pilns nosaukums</w:t>
      </w:r>
      <w:r>
        <w:t>] (OV L […], [...], [...]. lpp.).</w:t>
      </w:r>
    </w:p>
  </w:footnote>
  <w:footnote w:id="18">
    <w:p>
      <w:pPr>
        <w:pStyle w:val="FootnoteText"/>
      </w:pPr>
      <w:r>
        <w:rPr>
          <w:rStyle w:val="FootnoteReference0"/>
        </w:rPr>
        <w:footnoteRef/>
      </w:r>
      <w:r>
        <w:tab/>
        <w:t>Eiropas Parlamenta un Padomes Regula (ES) …/… (..) [</w:t>
      </w:r>
      <w:r>
        <w:rPr>
          <w:i/>
        </w:rPr>
        <w:t>KLP stratēģisko plānu regula</w:t>
      </w:r>
      <w:r>
        <w:t>] (OV L […], [...], [...]. lpp.).</w:t>
      </w:r>
    </w:p>
  </w:footnote>
  <w:footnote w:id="19">
    <w:p>
      <w:pPr>
        <w:pStyle w:val="FootnoteText"/>
      </w:pPr>
      <w:r>
        <w:rPr>
          <w:rStyle w:val="FootnoteReference0"/>
        </w:rPr>
        <w:footnoteRef/>
      </w:r>
      <w:r>
        <w:tab/>
        <w:t>Padomes Regula (EK) Nr. 1698/2005 (2005. gada 20. septembris) par atbalstu lauku attīstībai no Eiropas Lauksaimniecības fonda lauku attīstībai (ELFLA) (OV L 277, 21.10.2005., 1. lpp.).</w:t>
      </w:r>
    </w:p>
  </w:footnote>
  <w:footnote w:id="20">
    <w:p>
      <w:pPr>
        <w:pStyle w:val="FootnoteText"/>
        <w:rPr>
          <w:szCs w:val="24"/>
        </w:rPr>
      </w:pPr>
      <w:r>
        <w:rPr>
          <w:rStyle w:val="FootnoteReference0"/>
        </w:rPr>
        <w:footnoteRef/>
      </w:r>
      <w:r>
        <w:tab/>
        <w:t>Kā paredzēts Finanšu regulas 58. panta 2. punkta a) vai b) apakšpunktā.</w:t>
      </w:r>
    </w:p>
  </w:footnote>
  <w:footnote w:id="21">
    <w:p>
      <w:pPr>
        <w:pStyle w:val="FootnoteText"/>
        <w:jc w:val="left"/>
        <w:rPr>
          <w:szCs w:val="24"/>
        </w:rPr>
      </w:pPr>
      <w:r>
        <w:rPr>
          <w:rStyle w:val="FootnoteReference0"/>
        </w:rPr>
        <w:footnoteRef/>
      </w:r>
      <w:r>
        <w:tab/>
        <w:t xml:space="preserve">Skaidrojumus par pārvaldības veidiem un atsauces uz Finanšu regulu skatīt </w:t>
      </w:r>
      <w:r>
        <w:rPr>
          <w:i/>
          <w:iCs/>
        </w:rPr>
        <w:t>BudgWeb</w:t>
      </w:r>
      <w:r>
        <w:t xml:space="preserve"> tīmekļvietnē: </w:t>
      </w:r>
      <w:hyperlink r:id="rId1" w:history="1">
        <w:r>
          <w:rPr>
            <w:rStyle w:val="Hyperlink"/>
          </w:rPr>
          <w:t>https://myintracomm.ec.europa.eu/budgweb/EN/man/budgmanag/Pages/budgmanag.aspx</w:t>
        </w:r>
      </w:hyperlink>
      <w:r>
        <w:t xml:space="preserve">. </w:t>
      </w:r>
    </w:p>
  </w:footnote>
  <w:footnote w:id="22">
    <w:p>
      <w:pPr>
        <w:pStyle w:val="FootnoteText"/>
        <w:rPr>
          <w:szCs w:val="24"/>
        </w:rPr>
      </w:pPr>
      <w:r>
        <w:rPr>
          <w:rStyle w:val="FootnoteReference0"/>
        </w:rPr>
        <w:footnoteRef/>
      </w:r>
      <w:r>
        <w:tab/>
        <w:t>Dif. — diferencētās apropriācijas, nedif. — nediferencētās apropriācijas.</w:t>
      </w:r>
    </w:p>
  </w:footnote>
  <w:footnote w:id="23">
    <w:p>
      <w:pPr>
        <w:pStyle w:val="FootnoteText"/>
        <w:rPr>
          <w:szCs w:val="24"/>
        </w:rPr>
      </w:pPr>
      <w:r>
        <w:rPr>
          <w:rStyle w:val="FootnoteReference0"/>
        </w:rPr>
        <w:footnoteRef/>
      </w:r>
      <w:r>
        <w:tab/>
        <w:t xml:space="preserve">EBTA — Eiropas Brīvās tirdzniecības asociācija. </w:t>
      </w:r>
    </w:p>
  </w:footnote>
  <w:footnote w:id="24">
    <w:p>
      <w:pPr>
        <w:pStyle w:val="FootnoteText"/>
        <w:rPr>
          <w:szCs w:val="24"/>
        </w:rPr>
      </w:pPr>
      <w:r>
        <w:rPr>
          <w:rStyle w:val="FootnoteReference0"/>
        </w:rPr>
        <w:footnoteRef/>
      </w:r>
      <w:r>
        <w:tab/>
        <w:t>Kandidātvalstis un attiecīgā gadījumā potenciālās kandidātvalstis no Rietumbalkāniem.</w:t>
      </w:r>
    </w:p>
  </w:footnote>
  <w:footnote w:id="25">
    <w:p>
      <w:pPr>
        <w:pStyle w:val="FootnoteText"/>
        <w:rPr>
          <w:szCs w:val="24"/>
        </w:rPr>
      </w:pPr>
      <w:r>
        <w:rPr>
          <w:rStyle w:val="FootnoteReference0"/>
        </w:rPr>
        <w:footnoteRef/>
      </w:r>
      <w:r>
        <w:tab/>
        <w:t>Tehniskais un/vai administratīvais atbalsts un ES programmu un/vai darbību īstenošanas atbalsta izdevumi (kādreizējās “BA” pozīcijas), netiešā pētniecība, tiešā pētniecība.</w:t>
      </w:r>
    </w:p>
  </w:footnote>
  <w:footnote w:id="26">
    <w:p>
      <w:pPr>
        <w:pStyle w:val="FootnoteText"/>
        <w:rPr>
          <w:szCs w:val="24"/>
        </w:rPr>
      </w:pPr>
      <w:r>
        <w:rPr>
          <w:rStyle w:val="FootnoteReference0"/>
        </w:rPr>
        <w:footnoteRef/>
      </w:r>
      <w:r>
        <w:tab/>
      </w:r>
      <w:r>
        <w:rPr>
          <w:i/>
          <w:iCs/>
        </w:rPr>
        <w:t>AC</w:t>
      </w:r>
      <w:r>
        <w:t xml:space="preserve"> — līgumdarbinieki, </w:t>
      </w:r>
      <w:r>
        <w:rPr>
          <w:i/>
          <w:iCs/>
        </w:rPr>
        <w:t>AL</w:t>
      </w:r>
      <w:r>
        <w:t xml:space="preserve"> — vietējie darbinieki, </w:t>
      </w:r>
      <w:r>
        <w:rPr>
          <w:i/>
          <w:iCs/>
        </w:rPr>
        <w:t>END</w:t>
      </w:r>
      <w:r>
        <w:t xml:space="preserve"> — valstu norīkotie eksperti, </w:t>
      </w:r>
      <w:r>
        <w:rPr>
          <w:i/>
          <w:iCs/>
        </w:rPr>
        <w:t>INT</w:t>
      </w:r>
      <w:r>
        <w:t xml:space="preserve"> — aģentūras darbinieki, </w:t>
      </w:r>
      <w:r>
        <w:rPr>
          <w:i/>
          <w:iCs/>
        </w:rPr>
        <w:t>JED</w:t>
      </w:r>
      <w:r>
        <w:t xml:space="preserve"> — jaunākie eksperti delegācijās. </w:t>
      </w:r>
    </w:p>
  </w:footnote>
  <w:footnote w:id="27">
    <w:p>
      <w:pPr>
        <w:pStyle w:val="FootnoteText"/>
        <w:rPr>
          <w:szCs w:val="24"/>
        </w:rPr>
      </w:pPr>
      <w:r>
        <w:rPr>
          <w:rStyle w:val="FootnoteReference0"/>
        </w:rPr>
        <w:footnoteRef/>
      </w:r>
      <w:r>
        <w:tab/>
        <w:t>Ārštata darbiniekiem paredzētā maksimālā summa, ko finansē no darbības apropriācijām (kādreizējām “BA” pozīcijām).</w:t>
      </w:r>
    </w:p>
  </w:footnote>
  <w:footnote w:id="28">
    <w:p>
      <w:pPr>
        <w:pStyle w:val="FootnoteText"/>
        <w:rPr>
          <w:szCs w:val="24"/>
        </w:rPr>
      </w:pPr>
      <w:r>
        <w:rPr>
          <w:rStyle w:val="FootnoteReference0"/>
        </w:rPr>
        <w:footnoteRef/>
      </w:r>
      <w:r>
        <w:tab/>
        <w:t>Norādītajām tradicionālo pašu resursu (muitas nodokļi, cukura nodevas) summām jābūt neto summām, t. i., bruto summām, no kurām atskaitītas iekasēšanas izmaksas 20 % apmērā.</w:t>
      </w:r>
    </w:p>
  </w:footnote>
  <w:footnote w:id="29">
    <w:p>
      <w:pPr>
        <w:pStyle w:val="FootnoteText"/>
      </w:pPr>
      <w:r>
        <w:rPr>
          <w:rStyle w:val="FootnoteReference0"/>
        </w:rPr>
        <w:footnoteRef/>
      </w:r>
      <w:r>
        <w:tab/>
        <w:t xml:space="preserve">Pašlaik nav iespējams skaitliski noteikt ietekmi uz ieņēmumiem. Sākotnējā prognoze tiks veikta 2021. gada budžeta projektā.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C5205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40E9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9AFB2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6AFE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3A98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70F9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DEAAC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CECD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6"/>
  </w:num>
  <w:num w:numId="21">
    <w:abstractNumId w:val="2"/>
  </w:num>
  <w:num w:numId="22">
    <w:abstractNumId w:va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23"/>
  </w:num>
  <w:num w:numId="34">
    <w:abstractNumId w:val="12"/>
  </w:num>
  <w:num w:numId="35">
    <w:abstractNumId w:val="14"/>
  </w:num>
  <w:num w:numId="36">
    <w:abstractNumId w:val="10"/>
  </w:num>
  <w:num w:numId="37">
    <w:abstractNumId w:val="22"/>
  </w:num>
  <w:num w:numId="38">
    <w:abstractNumId w:val="9"/>
  </w:num>
  <w:num w:numId="39">
    <w:abstractNumId w:val="15"/>
  </w:num>
  <w:num w:numId="40">
    <w:abstractNumId w:val="19"/>
  </w:num>
  <w:num w:numId="41">
    <w:abstractNumId w:val="20"/>
  </w:num>
  <w:num w:numId="42">
    <w:abstractNumId w:val="11"/>
  </w:num>
  <w:num w:numId="43">
    <w:abstractNumId w:val="18"/>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15 15:30: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1396E12-49A4-4AF0-90D6-8311C4F06AF1"/>
    <w:docVar w:name="LW_COVERPAGE_TYPE" w:val="1"/>
    <w:docVar w:name="LW_CROSSREFERENCE" w:val="&lt;UNUSED&gt;"/>
    <w:docVar w:name="LW_DocType" w:val="COM"/>
    <w:docVar w:name="LW_EMISSION" w:val="31.10.2019"/>
    <w:docVar w:name="LW_EMISSION_ISODATE" w:val="2019-10-31"/>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54"/>
    <w:docVar w:name="LW_REF.II.NEW.CP_YEAR" w:val="2019"/>
    <w:docVar w:name="LW_REF.INST.NEW" w:val="COM"/>
    <w:docVar w:name="LW_REF.INST.NEW_ADOPTED" w:val="final"/>
    <w:docVar w:name="LW_REF.INST.NEW_TEXT" w:val="(2019) 5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uru nosaka konkr\u275?tus p\u257?rejas noteikumus Eiropas Lauksaimniec\u299?bas fonda lauku att\u299?st\u299?bai (ELFLA) un Eiropas Lauksaimniec\u299?bas garantiju fonda (ELGF) atbalstam 2021. gad\u257? un ar kuru attiec\u299?b\u257? uz l\u299?dzek\u316?iem un to sadal\u299?jumu 2021. gadam groza Regulu (ES) Nr. 228/2013, (ES) Nr. 229/2013 un (ES) Nr. 1308/2013, un ar kuru attiec\u299?b\u257? uz l\u299?dzek\u316?iem un piem\u275?ro\u353?anu 2021. gad\u257? groza Regulu (ES) Nr. 1305/2013, (ES) Nr. 1306/2013 un (ES) Nr. 1307/2013"/>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customStyle="1" w:styleId="ListBullet1">
    <w:name w:val="List Bullet 1"/>
    <w:basedOn w:val="Normal"/>
    <w:pPr>
      <w:numPr>
        <w:numId w:val="5"/>
      </w:numPr>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um">
    <w:name w:val="num"/>
    <w:basedOn w:val="DefaultParagraphFont"/>
  </w:style>
  <w:style w:type="paragraph" w:customStyle="1" w:styleId="li">
    <w:name w:val="li"/>
    <w:basedOn w:val="Normal"/>
    <w:pPr>
      <w:spacing w:before="100" w:beforeAutospacing="1" w:after="100" w:afterAutospacing="1"/>
      <w:jc w:val="left"/>
    </w:pPr>
    <w:rPr>
      <w:szCs w:val="24"/>
      <w:lang w:eastAsia="en-GB"/>
    </w:rPr>
  </w:style>
  <w:style w:type="paragraph" w:customStyle="1" w:styleId="Normal1">
    <w:name w:val="Normal1"/>
    <w:basedOn w:val="Normal"/>
    <w:pPr>
      <w:spacing w:before="100" w:beforeAutospacing="1" w:after="100" w:afterAutospacing="1"/>
      <w:jc w:val="left"/>
    </w:pPr>
    <w:rPr>
      <w:szCs w:val="24"/>
      <w:lang w:eastAsia="en-GB"/>
    </w:r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character" w:customStyle="1" w:styleId="st">
    <w:name w:val="st"/>
    <w:basedOn w:val="DefaultParagraphFont"/>
  </w:style>
  <w:style w:type="paragraph" w:customStyle="1" w:styleId="statut">
    <w:name w:val="statut"/>
    <w:basedOn w:val="Normal"/>
    <w:pPr>
      <w:spacing w:before="100" w:beforeAutospacing="1" w:after="100" w:afterAutospacing="1"/>
      <w:jc w:val="left"/>
    </w:pPr>
    <w:rPr>
      <w:rFonts w:eastAsia="Times New Roman"/>
      <w:szCs w:val="24"/>
      <w:lang w:eastAsia="en-GB"/>
    </w:rPr>
  </w:style>
  <w:style w:type="paragraph" w:customStyle="1" w:styleId="typedudocumentcp">
    <w:name w:val="typedudocument_cp"/>
    <w:basedOn w:val="Normal"/>
    <w:pPr>
      <w:spacing w:before="100" w:beforeAutospacing="1" w:after="100" w:afterAutospacing="1"/>
      <w:jc w:val="left"/>
    </w:pPr>
    <w:rPr>
      <w:rFonts w:eastAsia="Times New Roman"/>
      <w:szCs w:val="24"/>
      <w:lang w:eastAsia="en-GB"/>
    </w:rPr>
  </w:style>
  <w:style w:type="paragraph" w:customStyle="1" w:styleId="titreobjetcp">
    <w:name w:val="titreobjet_cp"/>
    <w:basedOn w:val="Normal"/>
    <w:pPr>
      <w:spacing w:before="100" w:beforeAutospacing="1" w:after="100" w:afterAutospacing="1"/>
      <w:jc w:val="left"/>
    </w:pPr>
    <w:rPr>
      <w:rFonts w:eastAsia="Times New Roman"/>
      <w:szCs w:val="24"/>
      <w:lang w:eastAsia="en-GB"/>
    </w:rPr>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NormalWeb">
    <w:name w:val="Normal (Web)"/>
    <w:basedOn w:val="Normal"/>
    <w:uiPriority w:val="99"/>
    <w:semiHidden/>
    <w:unhideWhenUsed/>
    <w:rPr>
      <w:szCs w:val="24"/>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lv-LV"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lv-LV"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lv-LV"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lv-LV"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lv-LV" w:eastAsia="en-GB"/>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Statut0">
    <w:name w:val="Statut"/>
    <w:basedOn w:val="Normal"/>
    <w:next w:val="Typedudocument"/>
    <w:pPr>
      <w:spacing w:before="360" w:after="0"/>
      <w:jc w:val="cente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Statut1">
    <w:name w:val="Statut"/>
    <w:basedOn w:val="Normal"/>
    <w:next w:val="Typedudocument"/>
    <w:pPr>
      <w:spacing w:before="360" w:after="0"/>
      <w:jc w:val="center"/>
    </w:pPr>
  </w:style>
  <w:style w:type="paragraph" w:customStyle="1" w:styleId="Statut2">
    <w:name w:val="Statut"/>
    <w:basedOn w:val="Normal"/>
    <w:next w:val="Typedudocument"/>
    <w:pPr>
      <w:spacing w:before="360" w:after="0"/>
      <w:jc w:val="center"/>
    </w:pPr>
  </w:style>
  <w:style w:type="paragraph" w:customStyle="1" w:styleId="Statut3">
    <w:name w:val="Statut"/>
    <w:basedOn w:val="Normal"/>
    <w:next w:val="Typedudocument"/>
    <w:pPr>
      <w:spacing w:before="360" w:after="0"/>
      <w:jc w:val="center"/>
    </w:pPr>
  </w:style>
  <w:style w:type="paragraph" w:customStyle="1" w:styleId="Statut4">
    <w:name w:val="Statut"/>
    <w:basedOn w:val="Normal"/>
    <w:next w:val="Typedudocument"/>
    <w:pPr>
      <w:spacing w:before="360" w:after="0"/>
      <w:jc w:val="center"/>
    </w:pPr>
  </w:style>
  <w:style w:type="paragraph" w:customStyle="1" w:styleId="Statut5">
    <w:name w:val="Statut"/>
    <w:basedOn w:val="Normal"/>
    <w:next w:val="Typedudocument"/>
    <w:pPr>
      <w:spacing w:before="360" w:after="0"/>
      <w:jc w:val="center"/>
    </w:pPr>
  </w:style>
  <w:style w:type="paragraph" w:customStyle="1" w:styleId="Statut6">
    <w:name w:val="Statut"/>
    <w:basedOn w:val="Normal"/>
    <w:next w:val="Typedudocument"/>
    <w:pPr>
      <w:spacing w:before="360" w:after="0"/>
      <w:jc w:val="center"/>
    </w:pPr>
  </w:style>
  <w:style w:type="paragraph" w:customStyle="1" w:styleId="Statut7">
    <w:name w:val="Statut"/>
    <w:basedOn w:val="Normal"/>
    <w:next w:val="Typedudocument"/>
    <w:pPr>
      <w:spacing w:before="360" w:after="0"/>
      <w:jc w:val="center"/>
    </w:pPr>
  </w:style>
  <w:style w:type="paragraph" w:customStyle="1" w:styleId="Statut8">
    <w:name w:val="Statut"/>
    <w:basedOn w:val="Normal"/>
    <w:next w:val="Typedudocument"/>
    <w:pPr>
      <w:spacing w:before="360" w:after="0"/>
      <w:jc w:val="center"/>
    </w:pPr>
  </w:style>
  <w:style w:type="paragraph" w:customStyle="1" w:styleId="Statut9">
    <w:name w:val="Statut"/>
    <w:basedOn w:val="Normal"/>
    <w:next w:val="Typedudocument"/>
    <w:pPr>
      <w:spacing w:before="360" w:after="0"/>
      <w:jc w:val="center"/>
    </w:pPr>
  </w:style>
  <w:style w:type="paragraph" w:customStyle="1" w:styleId="Statuta">
    <w:name w:val="Statut"/>
    <w:basedOn w:val="Normal"/>
    <w:next w:val="Typedudocument"/>
    <w:pPr>
      <w:spacing w:before="360" w:after="0"/>
      <w:jc w:val="center"/>
    </w:pPr>
  </w:style>
  <w:style w:type="paragraph" w:customStyle="1" w:styleId="Statutb">
    <w:name w:val="Statut"/>
    <w:basedOn w:val="Normal"/>
    <w:next w:val="Typedudocument"/>
    <w:pPr>
      <w:spacing w:before="360" w:after="0"/>
      <w:jc w:val="center"/>
    </w:pPr>
  </w:style>
  <w:style w:type="paragraph" w:customStyle="1" w:styleId="Statutc">
    <w:name w:val="Statut"/>
    <w:basedOn w:val="Normal"/>
    <w:next w:val="Typedudocument"/>
    <w:pPr>
      <w:spacing w:before="360" w:after="0"/>
      <w:jc w:val="center"/>
    </w:pPr>
  </w:style>
  <w:style w:type="paragraph" w:customStyle="1" w:styleId="ListDash1">
    <w:name w:val="List Dash 1"/>
    <w:basedOn w:val="Normal"/>
    <w:pPr>
      <w:numPr>
        <w:numId w:val="28"/>
      </w:numPr>
    </w:pPr>
    <w:rPr>
      <w:rFonts w:eastAsia="Times New Roman"/>
      <w:lang w:eastAsia="en-GB"/>
    </w:rPr>
  </w:style>
  <w:style w:type="paragraph" w:customStyle="1" w:styleId="ListDash2">
    <w:name w:val="List Dash 2"/>
    <w:basedOn w:val="Normal"/>
    <w:pPr>
      <w:numPr>
        <w:numId w:val="29"/>
      </w:numPr>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Statutd">
    <w:name w:val="Statut"/>
    <w:basedOn w:val="Normal"/>
    <w:next w:val="Typedudocument"/>
    <w:pPr>
      <w:spacing w:before="360" w:after="0"/>
      <w:jc w:val="center"/>
    </w:pPr>
  </w:style>
  <w:style w:type="paragraph" w:customStyle="1" w:styleId="Statute">
    <w:name w:val="Statut"/>
    <w:basedOn w:val="Normal"/>
    <w:next w:val="Typedudocument"/>
    <w:pPr>
      <w:spacing w:before="360" w:after="0"/>
      <w:jc w:val="center"/>
    </w:pPr>
  </w:style>
  <w:style w:type="paragraph" w:customStyle="1" w:styleId="Statutf">
    <w:name w:val="Statut"/>
    <w:basedOn w:val="Normal"/>
    <w:next w:val="Typedudocument"/>
    <w:pPr>
      <w:spacing w:before="360" w:after="0"/>
      <w:jc w:val="center"/>
    </w:pPr>
  </w:style>
  <w:style w:type="paragraph" w:customStyle="1" w:styleId="Statutf0">
    <w:name w:val="Statut"/>
    <w:basedOn w:val="Normal"/>
    <w:next w:val="Typedudocument"/>
    <w:pPr>
      <w:spacing w:before="360" w:after="0"/>
      <w:jc w:val="center"/>
    </w:pPr>
  </w:style>
  <w:style w:type="paragraph" w:customStyle="1" w:styleId="Statutf1">
    <w:name w:val="Statut"/>
    <w:basedOn w:val="Normal"/>
    <w:next w:val="Typedudocument"/>
    <w:pPr>
      <w:spacing w:before="360" w:after="0"/>
      <w:jc w:val="cente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f2"/>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f2">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f2"/>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semiHidden/>
    <w:pPr>
      <w:keepNext/>
      <w:tabs>
        <w:tab w:val="num" w:pos="2880"/>
      </w:tabs>
      <w:spacing w:before="0" w:after="240"/>
      <w:ind w:left="3838" w:hanging="958"/>
      <w:outlineLvl w:val="4"/>
    </w:pPr>
    <w:rPr>
      <w:rFonts w:eastAsia="Times New Roman"/>
      <w:szCs w:val="20"/>
      <w:lang w:eastAsia="en-GB"/>
    </w:rPr>
  </w:style>
  <w:style w:type="paragraph" w:styleId="Heading6">
    <w:name w:val="heading 6"/>
    <w:basedOn w:val="Normal"/>
    <w:next w:val="Normal"/>
    <w:link w:val="Heading6Char"/>
    <w:semiHidden/>
    <w:pPr>
      <w:keepNext/>
      <w:tabs>
        <w:tab w:val="num" w:pos="2880"/>
      </w:tabs>
      <w:spacing w:before="0" w:after="240"/>
      <w:ind w:left="3838" w:hanging="958"/>
      <w:outlineLvl w:val="5"/>
    </w:pPr>
    <w:rPr>
      <w:rFonts w:eastAsia="Times New Roman"/>
      <w:szCs w:val="20"/>
      <w:lang w:eastAsia="en-GB"/>
    </w:rPr>
  </w:style>
  <w:style w:type="paragraph" w:styleId="Heading7">
    <w:name w:val="heading 7"/>
    <w:basedOn w:val="Normal"/>
    <w:next w:val="Normal"/>
    <w:link w:val="Heading7Char"/>
    <w:semiHidden/>
    <w:pPr>
      <w:keepNext/>
      <w:tabs>
        <w:tab w:val="num" w:pos="2880"/>
      </w:tabs>
      <w:spacing w:before="0" w:after="240"/>
      <w:ind w:left="3838" w:hanging="958"/>
      <w:outlineLvl w:val="6"/>
    </w:pPr>
    <w:rPr>
      <w:rFonts w:eastAsia="Times New Roman"/>
      <w:szCs w:val="20"/>
      <w:lang w:eastAsia="en-GB"/>
    </w:rPr>
  </w:style>
  <w:style w:type="paragraph" w:styleId="Heading8">
    <w:name w:val="heading 8"/>
    <w:basedOn w:val="Normal"/>
    <w:next w:val="Normal"/>
    <w:link w:val="Heading8Char"/>
    <w:semiHidden/>
    <w:pPr>
      <w:keepNext/>
      <w:tabs>
        <w:tab w:val="num" w:pos="2880"/>
      </w:tabs>
      <w:spacing w:before="0" w:after="240"/>
      <w:ind w:left="3838" w:hanging="958"/>
      <w:outlineLvl w:val="7"/>
    </w:pPr>
    <w:rPr>
      <w:rFonts w:eastAsia="Times New Roman"/>
      <w:szCs w:val="20"/>
      <w:lang w:eastAsia="en-GB"/>
    </w:rPr>
  </w:style>
  <w:style w:type="paragraph" w:styleId="Heading9">
    <w:name w:val="heading 9"/>
    <w:basedOn w:val="Normal"/>
    <w:next w:val="Normal"/>
    <w:link w:val="Heading9Char"/>
    <w:semiHidden/>
    <w:pPr>
      <w:keepNext/>
      <w:tabs>
        <w:tab w:val="num" w:pos="2880"/>
      </w:tabs>
      <w:spacing w:before="0" w:after="240"/>
      <w:ind w:left="3838" w:hanging="958"/>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customStyle="1" w:styleId="ListBullet1">
    <w:name w:val="List Bullet 1"/>
    <w:basedOn w:val="Normal"/>
    <w:pPr>
      <w:numPr>
        <w:numId w:val="5"/>
      </w:numPr>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um">
    <w:name w:val="num"/>
    <w:basedOn w:val="DefaultParagraphFont"/>
  </w:style>
  <w:style w:type="paragraph" w:customStyle="1" w:styleId="li">
    <w:name w:val="li"/>
    <w:basedOn w:val="Normal"/>
    <w:pPr>
      <w:spacing w:before="100" w:beforeAutospacing="1" w:after="100" w:afterAutospacing="1"/>
      <w:jc w:val="left"/>
    </w:pPr>
    <w:rPr>
      <w:szCs w:val="24"/>
      <w:lang w:eastAsia="en-GB"/>
    </w:rPr>
  </w:style>
  <w:style w:type="paragraph" w:customStyle="1" w:styleId="Normal1">
    <w:name w:val="Normal1"/>
    <w:basedOn w:val="Normal"/>
    <w:pPr>
      <w:spacing w:before="100" w:beforeAutospacing="1" w:after="100" w:afterAutospacing="1"/>
      <w:jc w:val="left"/>
    </w:pPr>
    <w:rPr>
      <w:szCs w:val="24"/>
      <w:lang w:eastAsia="en-GB"/>
    </w:r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character" w:customStyle="1" w:styleId="st">
    <w:name w:val="st"/>
    <w:basedOn w:val="DefaultParagraphFont"/>
  </w:style>
  <w:style w:type="paragraph" w:customStyle="1" w:styleId="statut">
    <w:name w:val="statut"/>
    <w:basedOn w:val="Normal"/>
    <w:pPr>
      <w:spacing w:before="100" w:beforeAutospacing="1" w:after="100" w:afterAutospacing="1"/>
      <w:jc w:val="left"/>
    </w:pPr>
    <w:rPr>
      <w:rFonts w:eastAsia="Times New Roman"/>
      <w:szCs w:val="24"/>
      <w:lang w:eastAsia="en-GB"/>
    </w:rPr>
  </w:style>
  <w:style w:type="paragraph" w:customStyle="1" w:styleId="typedudocumentcp">
    <w:name w:val="typedudocument_cp"/>
    <w:basedOn w:val="Normal"/>
    <w:pPr>
      <w:spacing w:before="100" w:beforeAutospacing="1" w:after="100" w:afterAutospacing="1"/>
      <w:jc w:val="left"/>
    </w:pPr>
    <w:rPr>
      <w:rFonts w:eastAsia="Times New Roman"/>
      <w:szCs w:val="24"/>
      <w:lang w:eastAsia="en-GB"/>
    </w:rPr>
  </w:style>
  <w:style w:type="paragraph" w:customStyle="1" w:styleId="titreobjetcp">
    <w:name w:val="titreobjet_cp"/>
    <w:basedOn w:val="Normal"/>
    <w:pPr>
      <w:spacing w:before="100" w:beforeAutospacing="1" w:after="100" w:afterAutospacing="1"/>
      <w:jc w:val="left"/>
    </w:pPr>
    <w:rPr>
      <w:rFonts w:eastAsia="Times New Roman"/>
      <w:szCs w:val="24"/>
      <w:lang w:eastAsia="en-GB"/>
    </w:rPr>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NormalWeb">
    <w:name w:val="Normal (Web)"/>
    <w:basedOn w:val="Normal"/>
    <w:uiPriority w:val="99"/>
    <w:semiHidden/>
    <w:unhideWhenUsed/>
    <w:rPr>
      <w:szCs w:val="24"/>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lv-LV"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lv-LV"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lv-LV"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lv-LV"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lv-LV" w:eastAsia="en-GB"/>
    </w:r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Statut0">
    <w:name w:val="Statut"/>
    <w:basedOn w:val="Normal"/>
    <w:next w:val="Typedudocument"/>
    <w:pPr>
      <w:spacing w:before="360" w:after="0"/>
      <w:jc w:val="cente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Statut1">
    <w:name w:val="Statut"/>
    <w:basedOn w:val="Normal"/>
    <w:next w:val="Typedudocument"/>
    <w:pPr>
      <w:spacing w:before="360" w:after="0"/>
      <w:jc w:val="center"/>
    </w:pPr>
  </w:style>
  <w:style w:type="paragraph" w:customStyle="1" w:styleId="Statut2">
    <w:name w:val="Statut"/>
    <w:basedOn w:val="Normal"/>
    <w:next w:val="Typedudocument"/>
    <w:pPr>
      <w:spacing w:before="360" w:after="0"/>
      <w:jc w:val="center"/>
    </w:pPr>
  </w:style>
  <w:style w:type="paragraph" w:customStyle="1" w:styleId="Statut3">
    <w:name w:val="Statut"/>
    <w:basedOn w:val="Normal"/>
    <w:next w:val="Typedudocument"/>
    <w:pPr>
      <w:spacing w:before="360" w:after="0"/>
      <w:jc w:val="center"/>
    </w:pPr>
  </w:style>
  <w:style w:type="paragraph" w:customStyle="1" w:styleId="Statut4">
    <w:name w:val="Statut"/>
    <w:basedOn w:val="Normal"/>
    <w:next w:val="Typedudocument"/>
    <w:pPr>
      <w:spacing w:before="360" w:after="0"/>
      <w:jc w:val="center"/>
    </w:pPr>
  </w:style>
  <w:style w:type="paragraph" w:customStyle="1" w:styleId="Statut5">
    <w:name w:val="Statut"/>
    <w:basedOn w:val="Normal"/>
    <w:next w:val="Typedudocument"/>
    <w:pPr>
      <w:spacing w:before="360" w:after="0"/>
      <w:jc w:val="center"/>
    </w:pPr>
  </w:style>
  <w:style w:type="paragraph" w:customStyle="1" w:styleId="Statut6">
    <w:name w:val="Statut"/>
    <w:basedOn w:val="Normal"/>
    <w:next w:val="Typedudocument"/>
    <w:pPr>
      <w:spacing w:before="360" w:after="0"/>
      <w:jc w:val="center"/>
    </w:pPr>
  </w:style>
  <w:style w:type="paragraph" w:customStyle="1" w:styleId="Statut7">
    <w:name w:val="Statut"/>
    <w:basedOn w:val="Normal"/>
    <w:next w:val="Typedudocument"/>
    <w:pPr>
      <w:spacing w:before="360" w:after="0"/>
      <w:jc w:val="center"/>
    </w:pPr>
  </w:style>
  <w:style w:type="paragraph" w:customStyle="1" w:styleId="Statut8">
    <w:name w:val="Statut"/>
    <w:basedOn w:val="Normal"/>
    <w:next w:val="Typedudocument"/>
    <w:pPr>
      <w:spacing w:before="360" w:after="0"/>
      <w:jc w:val="center"/>
    </w:pPr>
  </w:style>
  <w:style w:type="paragraph" w:customStyle="1" w:styleId="Statut9">
    <w:name w:val="Statut"/>
    <w:basedOn w:val="Normal"/>
    <w:next w:val="Typedudocument"/>
    <w:pPr>
      <w:spacing w:before="360" w:after="0"/>
      <w:jc w:val="center"/>
    </w:pPr>
  </w:style>
  <w:style w:type="paragraph" w:customStyle="1" w:styleId="Statuta">
    <w:name w:val="Statut"/>
    <w:basedOn w:val="Normal"/>
    <w:next w:val="Typedudocument"/>
    <w:pPr>
      <w:spacing w:before="360" w:after="0"/>
      <w:jc w:val="center"/>
    </w:pPr>
  </w:style>
  <w:style w:type="paragraph" w:customStyle="1" w:styleId="Statutb">
    <w:name w:val="Statut"/>
    <w:basedOn w:val="Normal"/>
    <w:next w:val="Typedudocument"/>
    <w:pPr>
      <w:spacing w:before="360" w:after="0"/>
      <w:jc w:val="center"/>
    </w:pPr>
  </w:style>
  <w:style w:type="paragraph" w:customStyle="1" w:styleId="Statutc">
    <w:name w:val="Statut"/>
    <w:basedOn w:val="Normal"/>
    <w:next w:val="Typedudocument"/>
    <w:pPr>
      <w:spacing w:before="360" w:after="0"/>
      <w:jc w:val="center"/>
    </w:pPr>
  </w:style>
  <w:style w:type="paragraph" w:customStyle="1" w:styleId="ListDash1">
    <w:name w:val="List Dash 1"/>
    <w:basedOn w:val="Normal"/>
    <w:pPr>
      <w:numPr>
        <w:numId w:val="28"/>
      </w:numPr>
    </w:pPr>
    <w:rPr>
      <w:rFonts w:eastAsia="Times New Roman"/>
      <w:lang w:eastAsia="en-GB"/>
    </w:rPr>
  </w:style>
  <w:style w:type="paragraph" w:customStyle="1" w:styleId="ListDash2">
    <w:name w:val="List Dash 2"/>
    <w:basedOn w:val="Normal"/>
    <w:pPr>
      <w:numPr>
        <w:numId w:val="29"/>
      </w:numPr>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Statutd">
    <w:name w:val="Statut"/>
    <w:basedOn w:val="Normal"/>
    <w:next w:val="Typedudocument"/>
    <w:pPr>
      <w:spacing w:before="360" w:after="0"/>
      <w:jc w:val="center"/>
    </w:pPr>
  </w:style>
  <w:style w:type="paragraph" w:customStyle="1" w:styleId="Statute">
    <w:name w:val="Statut"/>
    <w:basedOn w:val="Normal"/>
    <w:next w:val="Typedudocument"/>
    <w:pPr>
      <w:spacing w:before="360" w:after="0"/>
      <w:jc w:val="center"/>
    </w:pPr>
  </w:style>
  <w:style w:type="paragraph" w:customStyle="1" w:styleId="Statutf">
    <w:name w:val="Statut"/>
    <w:basedOn w:val="Normal"/>
    <w:next w:val="Typedudocument"/>
    <w:pPr>
      <w:spacing w:before="360" w:after="0"/>
      <w:jc w:val="center"/>
    </w:pPr>
  </w:style>
  <w:style w:type="paragraph" w:customStyle="1" w:styleId="Statutf0">
    <w:name w:val="Statut"/>
    <w:basedOn w:val="Normal"/>
    <w:next w:val="Typedudocument"/>
    <w:pPr>
      <w:spacing w:before="360" w:after="0"/>
      <w:jc w:val="center"/>
    </w:pPr>
  </w:style>
  <w:style w:type="paragraph" w:customStyle="1" w:styleId="Statutf1">
    <w:name w:val="Statut"/>
    <w:basedOn w:val="Normal"/>
    <w:next w:val="Typedudocument"/>
    <w:pPr>
      <w:spacing w:before="360" w:after="0"/>
      <w:jc w:val="cente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f2"/>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f2">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f2"/>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240">
      <w:bodyDiv w:val="1"/>
      <w:marLeft w:val="0"/>
      <w:marRight w:val="0"/>
      <w:marTop w:val="0"/>
      <w:marBottom w:val="0"/>
      <w:divBdr>
        <w:top w:val="none" w:sz="0" w:space="0" w:color="auto"/>
        <w:left w:val="none" w:sz="0" w:space="0" w:color="auto"/>
        <w:bottom w:val="none" w:sz="0" w:space="0" w:color="auto"/>
        <w:right w:val="none" w:sz="0" w:space="0" w:color="auto"/>
      </w:divBdr>
    </w:div>
    <w:div w:id="99379840">
      <w:bodyDiv w:val="1"/>
      <w:marLeft w:val="0"/>
      <w:marRight w:val="0"/>
      <w:marTop w:val="0"/>
      <w:marBottom w:val="0"/>
      <w:divBdr>
        <w:top w:val="none" w:sz="0" w:space="0" w:color="auto"/>
        <w:left w:val="none" w:sz="0" w:space="0" w:color="auto"/>
        <w:bottom w:val="none" w:sz="0" w:space="0" w:color="auto"/>
        <w:right w:val="none" w:sz="0" w:space="0" w:color="auto"/>
      </w:divBdr>
    </w:div>
    <w:div w:id="148638137">
      <w:bodyDiv w:val="1"/>
      <w:marLeft w:val="0"/>
      <w:marRight w:val="0"/>
      <w:marTop w:val="0"/>
      <w:marBottom w:val="0"/>
      <w:divBdr>
        <w:top w:val="none" w:sz="0" w:space="0" w:color="auto"/>
        <w:left w:val="none" w:sz="0" w:space="0" w:color="auto"/>
        <w:bottom w:val="none" w:sz="0" w:space="0" w:color="auto"/>
        <w:right w:val="none" w:sz="0" w:space="0" w:color="auto"/>
      </w:divBdr>
    </w:div>
    <w:div w:id="168565229">
      <w:bodyDiv w:val="1"/>
      <w:marLeft w:val="0"/>
      <w:marRight w:val="0"/>
      <w:marTop w:val="0"/>
      <w:marBottom w:val="0"/>
      <w:divBdr>
        <w:top w:val="none" w:sz="0" w:space="0" w:color="auto"/>
        <w:left w:val="none" w:sz="0" w:space="0" w:color="auto"/>
        <w:bottom w:val="none" w:sz="0" w:space="0" w:color="auto"/>
        <w:right w:val="none" w:sz="0" w:space="0" w:color="auto"/>
      </w:divBdr>
    </w:div>
    <w:div w:id="236475767">
      <w:bodyDiv w:val="1"/>
      <w:marLeft w:val="0"/>
      <w:marRight w:val="0"/>
      <w:marTop w:val="0"/>
      <w:marBottom w:val="0"/>
      <w:divBdr>
        <w:top w:val="none" w:sz="0" w:space="0" w:color="auto"/>
        <w:left w:val="none" w:sz="0" w:space="0" w:color="auto"/>
        <w:bottom w:val="none" w:sz="0" w:space="0" w:color="auto"/>
        <w:right w:val="none" w:sz="0" w:space="0" w:color="auto"/>
      </w:divBdr>
      <w:divsChild>
        <w:div w:id="172034701">
          <w:marLeft w:val="0"/>
          <w:marRight w:val="0"/>
          <w:marTop w:val="0"/>
          <w:marBottom w:val="0"/>
          <w:divBdr>
            <w:top w:val="none" w:sz="0" w:space="0" w:color="auto"/>
            <w:left w:val="none" w:sz="0" w:space="0" w:color="auto"/>
            <w:bottom w:val="none" w:sz="0" w:space="0" w:color="auto"/>
            <w:right w:val="none" w:sz="0" w:space="0" w:color="auto"/>
          </w:divBdr>
        </w:div>
        <w:div w:id="1483110665">
          <w:marLeft w:val="0"/>
          <w:marRight w:val="0"/>
          <w:marTop w:val="0"/>
          <w:marBottom w:val="0"/>
          <w:divBdr>
            <w:top w:val="none" w:sz="0" w:space="0" w:color="auto"/>
            <w:left w:val="none" w:sz="0" w:space="0" w:color="auto"/>
            <w:bottom w:val="none" w:sz="0" w:space="0" w:color="auto"/>
            <w:right w:val="none" w:sz="0" w:space="0" w:color="auto"/>
          </w:divBdr>
        </w:div>
        <w:div w:id="1656103788">
          <w:marLeft w:val="0"/>
          <w:marRight w:val="0"/>
          <w:marTop w:val="0"/>
          <w:marBottom w:val="0"/>
          <w:divBdr>
            <w:top w:val="none" w:sz="0" w:space="0" w:color="auto"/>
            <w:left w:val="none" w:sz="0" w:space="0" w:color="auto"/>
            <w:bottom w:val="none" w:sz="0" w:space="0" w:color="auto"/>
            <w:right w:val="none" w:sz="0" w:space="0" w:color="auto"/>
          </w:divBdr>
        </w:div>
        <w:div w:id="1915436049">
          <w:marLeft w:val="0"/>
          <w:marRight w:val="0"/>
          <w:marTop w:val="0"/>
          <w:marBottom w:val="0"/>
          <w:divBdr>
            <w:top w:val="none" w:sz="0" w:space="0" w:color="auto"/>
            <w:left w:val="none" w:sz="0" w:space="0" w:color="auto"/>
            <w:bottom w:val="none" w:sz="0" w:space="0" w:color="auto"/>
            <w:right w:val="none" w:sz="0" w:space="0" w:color="auto"/>
          </w:divBdr>
        </w:div>
        <w:div w:id="1981379642">
          <w:marLeft w:val="0"/>
          <w:marRight w:val="0"/>
          <w:marTop w:val="0"/>
          <w:marBottom w:val="0"/>
          <w:divBdr>
            <w:top w:val="none" w:sz="0" w:space="0" w:color="auto"/>
            <w:left w:val="none" w:sz="0" w:space="0" w:color="auto"/>
            <w:bottom w:val="none" w:sz="0" w:space="0" w:color="auto"/>
            <w:right w:val="none" w:sz="0" w:space="0" w:color="auto"/>
          </w:divBdr>
        </w:div>
        <w:div w:id="2046714093">
          <w:marLeft w:val="0"/>
          <w:marRight w:val="0"/>
          <w:marTop w:val="0"/>
          <w:marBottom w:val="0"/>
          <w:divBdr>
            <w:top w:val="none" w:sz="0" w:space="0" w:color="auto"/>
            <w:left w:val="none" w:sz="0" w:space="0" w:color="auto"/>
            <w:bottom w:val="none" w:sz="0" w:space="0" w:color="auto"/>
            <w:right w:val="none" w:sz="0" w:space="0" w:color="auto"/>
          </w:divBdr>
        </w:div>
      </w:divsChild>
    </w:div>
    <w:div w:id="242762608">
      <w:bodyDiv w:val="1"/>
      <w:marLeft w:val="0"/>
      <w:marRight w:val="0"/>
      <w:marTop w:val="0"/>
      <w:marBottom w:val="0"/>
      <w:divBdr>
        <w:top w:val="none" w:sz="0" w:space="0" w:color="auto"/>
        <w:left w:val="none" w:sz="0" w:space="0" w:color="auto"/>
        <w:bottom w:val="none" w:sz="0" w:space="0" w:color="auto"/>
        <w:right w:val="none" w:sz="0" w:space="0" w:color="auto"/>
      </w:divBdr>
    </w:div>
    <w:div w:id="279384339">
      <w:bodyDiv w:val="1"/>
      <w:marLeft w:val="0"/>
      <w:marRight w:val="0"/>
      <w:marTop w:val="0"/>
      <w:marBottom w:val="0"/>
      <w:divBdr>
        <w:top w:val="none" w:sz="0" w:space="0" w:color="auto"/>
        <w:left w:val="none" w:sz="0" w:space="0" w:color="auto"/>
        <w:bottom w:val="none" w:sz="0" w:space="0" w:color="auto"/>
        <w:right w:val="none" w:sz="0" w:space="0" w:color="auto"/>
      </w:divBdr>
    </w:div>
    <w:div w:id="409235503">
      <w:bodyDiv w:val="1"/>
      <w:marLeft w:val="0"/>
      <w:marRight w:val="0"/>
      <w:marTop w:val="0"/>
      <w:marBottom w:val="0"/>
      <w:divBdr>
        <w:top w:val="none" w:sz="0" w:space="0" w:color="auto"/>
        <w:left w:val="none" w:sz="0" w:space="0" w:color="auto"/>
        <w:bottom w:val="none" w:sz="0" w:space="0" w:color="auto"/>
        <w:right w:val="none" w:sz="0" w:space="0" w:color="auto"/>
      </w:divBdr>
    </w:div>
    <w:div w:id="437407953">
      <w:bodyDiv w:val="1"/>
      <w:marLeft w:val="0"/>
      <w:marRight w:val="0"/>
      <w:marTop w:val="0"/>
      <w:marBottom w:val="0"/>
      <w:divBdr>
        <w:top w:val="none" w:sz="0" w:space="0" w:color="auto"/>
        <w:left w:val="none" w:sz="0" w:space="0" w:color="auto"/>
        <w:bottom w:val="none" w:sz="0" w:space="0" w:color="auto"/>
        <w:right w:val="none" w:sz="0" w:space="0" w:color="auto"/>
      </w:divBdr>
    </w:div>
    <w:div w:id="527916296">
      <w:bodyDiv w:val="1"/>
      <w:marLeft w:val="0"/>
      <w:marRight w:val="0"/>
      <w:marTop w:val="0"/>
      <w:marBottom w:val="0"/>
      <w:divBdr>
        <w:top w:val="none" w:sz="0" w:space="0" w:color="auto"/>
        <w:left w:val="none" w:sz="0" w:space="0" w:color="auto"/>
        <w:bottom w:val="none" w:sz="0" w:space="0" w:color="auto"/>
        <w:right w:val="none" w:sz="0" w:space="0" w:color="auto"/>
      </w:divBdr>
    </w:div>
    <w:div w:id="813327140">
      <w:bodyDiv w:val="1"/>
      <w:marLeft w:val="0"/>
      <w:marRight w:val="0"/>
      <w:marTop w:val="0"/>
      <w:marBottom w:val="0"/>
      <w:divBdr>
        <w:top w:val="none" w:sz="0" w:space="0" w:color="auto"/>
        <w:left w:val="none" w:sz="0" w:space="0" w:color="auto"/>
        <w:bottom w:val="none" w:sz="0" w:space="0" w:color="auto"/>
        <w:right w:val="none" w:sz="0" w:space="0" w:color="auto"/>
      </w:divBdr>
    </w:div>
    <w:div w:id="902258398">
      <w:bodyDiv w:val="1"/>
      <w:marLeft w:val="0"/>
      <w:marRight w:val="0"/>
      <w:marTop w:val="0"/>
      <w:marBottom w:val="0"/>
      <w:divBdr>
        <w:top w:val="none" w:sz="0" w:space="0" w:color="auto"/>
        <w:left w:val="none" w:sz="0" w:space="0" w:color="auto"/>
        <w:bottom w:val="none" w:sz="0" w:space="0" w:color="auto"/>
        <w:right w:val="none" w:sz="0" w:space="0" w:color="auto"/>
      </w:divBdr>
    </w:div>
    <w:div w:id="952635703">
      <w:bodyDiv w:val="1"/>
      <w:marLeft w:val="0"/>
      <w:marRight w:val="0"/>
      <w:marTop w:val="0"/>
      <w:marBottom w:val="0"/>
      <w:divBdr>
        <w:top w:val="none" w:sz="0" w:space="0" w:color="auto"/>
        <w:left w:val="none" w:sz="0" w:space="0" w:color="auto"/>
        <w:bottom w:val="none" w:sz="0" w:space="0" w:color="auto"/>
        <w:right w:val="none" w:sz="0" w:space="0" w:color="auto"/>
      </w:divBdr>
    </w:div>
    <w:div w:id="1005670473">
      <w:bodyDiv w:val="1"/>
      <w:marLeft w:val="0"/>
      <w:marRight w:val="0"/>
      <w:marTop w:val="0"/>
      <w:marBottom w:val="0"/>
      <w:divBdr>
        <w:top w:val="none" w:sz="0" w:space="0" w:color="auto"/>
        <w:left w:val="none" w:sz="0" w:space="0" w:color="auto"/>
        <w:bottom w:val="none" w:sz="0" w:space="0" w:color="auto"/>
        <w:right w:val="none" w:sz="0" w:space="0" w:color="auto"/>
      </w:divBdr>
    </w:div>
    <w:div w:id="1016999694">
      <w:bodyDiv w:val="1"/>
      <w:marLeft w:val="0"/>
      <w:marRight w:val="0"/>
      <w:marTop w:val="0"/>
      <w:marBottom w:val="0"/>
      <w:divBdr>
        <w:top w:val="none" w:sz="0" w:space="0" w:color="auto"/>
        <w:left w:val="none" w:sz="0" w:space="0" w:color="auto"/>
        <w:bottom w:val="none" w:sz="0" w:space="0" w:color="auto"/>
        <w:right w:val="none" w:sz="0" w:space="0" w:color="auto"/>
      </w:divBdr>
    </w:div>
    <w:div w:id="1025206608">
      <w:bodyDiv w:val="1"/>
      <w:marLeft w:val="0"/>
      <w:marRight w:val="0"/>
      <w:marTop w:val="0"/>
      <w:marBottom w:val="0"/>
      <w:divBdr>
        <w:top w:val="none" w:sz="0" w:space="0" w:color="auto"/>
        <w:left w:val="none" w:sz="0" w:space="0" w:color="auto"/>
        <w:bottom w:val="none" w:sz="0" w:space="0" w:color="auto"/>
        <w:right w:val="none" w:sz="0" w:space="0" w:color="auto"/>
      </w:divBdr>
    </w:div>
    <w:div w:id="1031955912">
      <w:bodyDiv w:val="1"/>
      <w:marLeft w:val="0"/>
      <w:marRight w:val="0"/>
      <w:marTop w:val="0"/>
      <w:marBottom w:val="0"/>
      <w:divBdr>
        <w:top w:val="none" w:sz="0" w:space="0" w:color="auto"/>
        <w:left w:val="none" w:sz="0" w:space="0" w:color="auto"/>
        <w:bottom w:val="none" w:sz="0" w:space="0" w:color="auto"/>
        <w:right w:val="none" w:sz="0" w:space="0" w:color="auto"/>
      </w:divBdr>
    </w:div>
    <w:div w:id="1078165098">
      <w:bodyDiv w:val="1"/>
      <w:marLeft w:val="0"/>
      <w:marRight w:val="0"/>
      <w:marTop w:val="0"/>
      <w:marBottom w:val="0"/>
      <w:divBdr>
        <w:top w:val="none" w:sz="0" w:space="0" w:color="auto"/>
        <w:left w:val="none" w:sz="0" w:space="0" w:color="auto"/>
        <w:bottom w:val="none" w:sz="0" w:space="0" w:color="auto"/>
        <w:right w:val="none" w:sz="0" w:space="0" w:color="auto"/>
      </w:divBdr>
    </w:div>
    <w:div w:id="1098410951">
      <w:bodyDiv w:val="1"/>
      <w:marLeft w:val="0"/>
      <w:marRight w:val="0"/>
      <w:marTop w:val="0"/>
      <w:marBottom w:val="0"/>
      <w:divBdr>
        <w:top w:val="none" w:sz="0" w:space="0" w:color="auto"/>
        <w:left w:val="none" w:sz="0" w:space="0" w:color="auto"/>
        <w:bottom w:val="none" w:sz="0" w:space="0" w:color="auto"/>
        <w:right w:val="none" w:sz="0" w:space="0" w:color="auto"/>
      </w:divBdr>
      <w:divsChild>
        <w:div w:id="950749284">
          <w:marLeft w:val="0"/>
          <w:marRight w:val="0"/>
          <w:marTop w:val="0"/>
          <w:marBottom w:val="0"/>
          <w:divBdr>
            <w:top w:val="none" w:sz="0" w:space="0" w:color="auto"/>
            <w:left w:val="none" w:sz="0" w:space="0" w:color="auto"/>
            <w:bottom w:val="none" w:sz="0" w:space="0" w:color="auto"/>
            <w:right w:val="none" w:sz="0" w:space="0" w:color="auto"/>
          </w:divBdr>
        </w:div>
        <w:div w:id="983314173">
          <w:marLeft w:val="0"/>
          <w:marRight w:val="0"/>
          <w:marTop w:val="0"/>
          <w:marBottom w:val="0"/>
          <w:divBdr>
            <w:top w:val="none" w:sz="0" w:space="0" w:color="auto"/>
            <w:left w:val="none" w:sz="0" w:space="0" w:color="auto"/>
            <w:bottom w:val="none" w:sz="0" w:space="0" w:color="auto"/>
            <w:right w:val="none" w:sz="0" w:space="0" w:color="auto"/>
          </w:divBdr>
        </w:div>
        <w:div w:id="1105930228">
          <w:marLeft w:val="0"/>
          <w:marRight w:val="0"/>
          <w:marTop w:val="0"/>
          <w:marBottom w:val="0"/>
          <w:divBdr>
            <w:top w:val="none" w:sz="0" w:space="0" w:color="auto"/>
            <w:left w:val="none" w:sz="0" w:space="0" w:color="auto"/>
            <w:bottom w:val="none" w:sz="0" w:space="0" w:color="auto"/>
            <w:right w:val="none" w:sz="0" w:space="0" w:color="auto"/>
          </w:divBdr>
        </w:div>
      </w:divsChild>
    </w:div>
    <w:div w:id="1135492991">
      <w:bodyDiv w:val="1"/>
      <w:marLeft w:val="0"/>
      <w:marRight w:val="0"/>
      <w:marTop w:val="0"/>
      <w:marBottom w:val="0"/>
      <w:divBdr>
        <w:top w:val="none" w:sz="0" w:space="0" w:color="auto"/>
        <w:left w:val="none" w:sz="0" w:space="0" w:color="auto"/>
        <w:bottom w:val="none" w:sz="0" w:space="0" w:color="auto"/>
        <w:right w:val="none" w:sz="0" w:space="0" w:color="auto"/>
      </w:divBdr>
    </w:div>
    <w:div w:id="1281301173">
      <w:bodyDiv w:val="1"/>
      <w:marLeft w:val="0"/>
      <w:marRight w:val="0"/>
      <w:marTop w:val="0"/>
      <w:marBottom w:val="0"/>
      <w:divBdr>
        <w:top w:val="none" w:sz="0" w:space="0" w:color="auto"/>
        <w:left w:val="none" w:sz="0" w:space="0" w:color="auto"/>
        <w:bottom w:val="none" w:sz="0" w:space="0" w:color="auto"/>
        <w:right w:val="none" w:sz="0" w:space="0" w:color="auto"/>
      </w:divBdr>
    </w:div>
    <w:div w:id="1309093263">
      <w:bodyDiv w:val="1"/>
      <w:marLeft w:val="0"/>
      <w:marRight w:val="0"/>
      <w:marTop w:val="0"/>
      <w:marBottom w:val="0"/>
      <w:divBdr>
        <w:top w:val="none" w:sz="0" w:space="0" w:color="auto"/>
        <w:left w:val="none" w:sz="0" w:space="0" w:color="auto"/>
        <w:bottom w:val="none" w:sz="0" w:space="0" w:color="auto"/>
        <w:right w:val="none" w:sz="0" w:space="0" w:color="auto"/>
      </w:divBdr>
    </w:div>
    <w:div w:id="1421873673">
      <w:bodyDiv w:val="1"/>
      <w:marLeft w:val="0"/>
      <w:marRight w:val="0"/>
      <w:marTop w:val="0"/>
      <w:marBottom w:val="0"/>
      <w:divBdr>
        <w:top w:val="none" w:sz="0" w:space="0" w:color="auto"/>
        <w:left w:val="none" w:sz="0" w:space="0" w:color="auto"/>
        <w:bottom w:val="none" w:sz="0" w:space="0" w:color="auto"/>
        <w:right w:val="none" w:sz="0" w:space="0" w:color="auto"/>
      </w:divBdr>
    </w:div>
    <w:div w:id="1542547023">
      <w:bodyDiv w:val="1"/>
      <w:marLeft w:val="0"/>
      <w:marRight w:val="0"/>
      <w:marTop w:val="0"/>
      <w:marBottom w:val="0"/>
      <w:divBdr>
        <w:top w:val="none" w:sz="0" w:space="0" w:color="auto"/>
        <w:left w:val="none" w:sz="0" w:space="0" w:color="auto"/>
        <w:bottom w:val="none" w:sz="0" w:space="0" w:color="auto"/>
        <w:right w:val="none" w:sz="0" w:space="0" w:color="auto"/>
      </w:divBdr>
    </w:div>
    <w:div w:id="1556890672">
      <w:bodyDiv w:val="1"/>
      <w:marLeft w:val="0"/>
      <w:marRight w:val="0"/>
      <w:marTop w:val="0"/>
      <w:marBottom w:val="0"/>
      <w:divBdr>
        <w:top w:val="none" w:sz="0" w:space="0" w:color="auto"/>
        <w:left w:val="none" w:sz="0" w:space="0" w:color="auto"/>
        <w:bottom w:val="none" w:sz="0" w:space="0" w:color="auto"/>
        <w:right w:val="none" w:sz="0" w:space="0" w:color="auto"/>
      </w:divBdr>
    </w:div>
    <w:div w:id="1737775383">
      <w:bodyDiv w:val="1"/>
      <w:marLeft w:val="0"/>
      <w:marRight w:val="0"/>
      <w:marTop w:val="0"/>
      <w:marBottom w:val="0"/>
      <w:divBdr>
        <w:top w:val="none" w:sz="0" w:space="0" w:color="auto"/>
        <w:left w:val="none" w:sz="0" w:space="0" w:color="auto"/>
        <w:bottom w:val="none" w:sz="0" w:space="0" w:color="auto"/>
        <w:right w:val="none" w:sz="0" w:space="0" w:color="auto"/>
      </w:divBdr>
    </w:div>
    <w:div w:id="1814054471">
      <w:bodyDiv w:val="1"/>
      <w:marLeft w:val="0"/>
      <w:marRight w:val="0"/>
      <w:marTop w:val="0"/>
      <w:marBottom w:val="0"/>
      <w:divBdr>
        <w:top w:val="none" w:sz="0" w:space="0" w:color="auto"/>
        <w:left w:val="none" w:sz="0" w:space="0" w:color="auto"/>
        <w:bottom w:val="none" w:sz="0" w:space="0" w:color="auto"/>
        <w:right w:val="none" w:sz="0" w:space="0" w:color="auto"/>
      </w:divBdr>
      <w:divsChild>
        <w:div w:id="366837570">
          <w:marLeft w:val="0"/>
          <w:marRight w:val="0"/>
          <w:marTop w:val="0"/>
          <w:marBottom w:val="0"/>
          <w:divBdr>
            <w:top w:val="none" w:sz="0" w:space="0" w:color="auto"/>
            <w:left w:val="none" w:sz="0" w:space="0" w:color="auto"/>
            <w:bottom w:val="none" w:sz="0" w:space="0" w:color="auto"/>
            <w:right w:val="none" w:sz="0" w:space="0" w:color="auto"/>
          </w:divBdr>
        </w:div>
        <w:div w:id="610940030">
          <w:marLeft w:val="0"/>
          <w:marRight w:val="0"/>
          <w:marTop w:val="0"/>
          <w:marBottom w:val="0"/>
          <w:divBdr>
            <w:top w:val="none" w:sz="0" w:space="0" w:color="auto"/>
            <w:left w:val="none" w:sz="0" w:space="0" w:color="auto"/>
            <w:bottom w:val="none" w:sz="0" w:space="0" w:color="auto"/>
            <w:right w:val="none" w:sz="0" w:space="0" w:color="auto"/>
          </w:divBdr>
        </w:div>
        <w:div w:id="1016230926">
          <w:marLeft w:val="0"/>
          <w:marRight w:val="0"/>
          <w:marTop w:val="0"/>
          <w:marBottom w:val="0"/>
          <w:divBdr>
            <w:top w:val="none" w:sz="0" w:space="0" w:color="auto"/>
            <w:left w:val="none" w:sz="0" w:space="0" w:color="auto"/>
            <w:bottom w:val="none" w:sz="0" w:space="0" w:color="auto"/>
            <w:right w:val="none" w:sz="0" w:space="0" w:color="auto"/>
          </w:divBdr>
        </w:div>
        <w:div w:id="1182549009">
          <w:marLeft w:val="0"/>
          <w:marRight w:val="0"/>
          <w:marTop w:val="0"/>
          <w:marBottom w:val="0"/>
          <w:divBdr>
            <w:top w:val="none" w:sz="0" w:space="0" w:color="auto"/>
            <w:left w:val="none" w:sz="0" w:space="0" w:color="auto"/>
            <w:bottom w:val="none" w:sz="0" w:space="0" w:color="auto"/>
            <w:right w:val="none" w:sz="0" w:space="0" w:color="auto"/>
          </w:divBdr>
        </w:div>
        <w:div w:id="1587303821">
          <w:marLeft w:val="0"/>
          <w:marRight w:val="0"/>
          <w:marTop w:val="0"/>
          <w:marBottom w:val="0"/>
          <w:divBdr>
            <w:top w:val="none" w:sz="0" w:space="0" w:color="auto"/>
            <w:left w:val="none" w:sz="0" w:space="0" w:color="auto"/>
            <w:bottom w:val="none" w:sz="0" w:space="0" w:color="auto"/>
            <w:right w:val="none" w:sz="0" w:space="0" w:color="auto"/>
          </w:divBdr>
        </w:div>
        <w:div w:id="1734891981">
          <w:marLeft w:val="0"/>
          <w:marRight w:val="0"/>
          <w:marTop w:val="0"/>
          <w:marBottom w:val="0"/>
          <w:divBdr>
            <w:top w:val="none" w:sz="0" w:space="0" w:color="auto"/>
            <w:left w:val="none" w:sz="0" w:space="0" w:color="auto"/>
            <w:bottom w:val="none" w:sz="0" w:space="0" w:color="auto"/>
            <w:right w:val="none" w:sz="0" w:space="0" w:color="auto"/>
          </w:divBdr>
        </w:div>
        <w:div w:id="1849900671">
          <w:marLeft w:val="0"/>
          <w:marRight w:val="0"/>
          <w:marTop w:val="0"/>
          <w:marBottom w:val="0"/>
          <w:divBdr>
            <w:top w:val="none" w:sz="0" w:space="0" w:color="auto"/>
            <w:left w:val="none" w:sz="0" w:space="0" w:color="auto"/>
            <w:bottom w:val="none" w:sz="0" w:space="0" w:color="auto"/>
            <w:right w:val="none" w:sz="0" w:space="0" w:color="auto"/>
          </w:divBdr>
        </w:div>
      </w:divsChild>
    </w:div>
    <w:div w:id="1956136624">
      <w:bodyDiv w:val="1"/>
      <w:marLeft w:val="0"/>
      <w:marRight w:val="0"/>
      <w:marTop w:val="0"/>
      <w:marBottom w:val="0"/>
      <w:divBdr>
        <w:top w:val="none" w:sz="0" w:space="0" w:color="auto"/>
        <w:left w:val="none" w:sz="0" w:space="0" w:color="auto"/>
        <w:bottom w:val="none" w:sz="0" w:space="0" w:color="auto"/>
        <w:right w:val="none" w:sz="0" w:space="0" w:color="auto"/>
      </w:divBdr>
    </w:div>
    <w:div w:id="2047634697">
      <w:bodyDiv w:val="1"/>
      <w:marLeft w:val="0"/>
      <w:marRight w:val="0"/>
      <w:marTop w:val="0"/>
      <w:marBottom w:val="0"/>
      <w:divBdr>
        <w:top w:val="none" w:sz="0" w:space="0" w:color="auto"/>
        <w:left w:val="none" w:sz="0" w:space="0" w:color="auto"/>
        <w:bottom w:val="none" w:sz="0" w:space="0" w:color="auto"/>
        <w:right w:val="none" w:sz="0" w:space="0" w:color="auto"/>
      </w:divBdr>
    </w:div>
    <w:div w:id="21128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4BDE46-902C-4589-B77C-51D053F3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39</Pages>
  <Words>10979</Words>
  <Characters>69938</Characters>
  <Application>Microsoft Office Word</Application>
  <DocSecurity>0</DocSecurity>
  <Lines>1665</Lines>
  <Paragraphs>691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2019-10-23T07:48:00Z</cp:lastPrinted>
  <dcterms:created xsi:type="dcterms:W3CDTF">2019-11-14T16:46:00Z</dcterms:created>
  <dcterms:modified xsi:type="dcterms:W3CDTF">2019-11-15T14:30:00Z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