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4516C328-3229-4062-9150-1671C7FEDFF8" style="width:450.35pt;height:465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smallCaps/>
          <w:noProof/>
        </w:rPr>
      </w:pPr>
      <w:r>
        <w:rPr>
          <w:smallCaps/>
          <w:noProof/>
        </w:rPr>
        <w:t>PRÍLOHA I</w:t>
      </w:r>
    </w:p>
    <w:p>
      <w:pPr>
        <w:rPr>
          <w:noProof/>
          <w:szCs w:val="24"/>
        </w:rPr>
      </w:pPr>
      <w:r>
        <w:rPr>
          <w:noProof/>
        </w:rPr>
        <w:t>Príloha I k nariadeniu (EÚ) č. 1305/2013 sa mení takto:</w:t>
      </w:r>
    </w:p>
    <w:p>
      <w:pPr>
        <w:spacing w:after="0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 xml:space="preserve">Názov sa nahrádza takto: </w:t>
      </w:r>
    </w:p>
    <w:p>
      <w:pPr>
        <w:rPr>
          <w:i/>
          <w:noProof/>
        </w:rPr>
      </w:pPr>
      <w:r>
        <w:rPr>
          <w:smallCaps/>
          <w:noProof/>
        </w:rPr>
        <w:t>„Časť 1 Rozdelenie podpory Únie na rozvoj vidieka (2014 až 2020)</w:t>
      </w:r>
      <w:r>
        <w:rPr>
          <w:noProof/>
        </w:rPr>
        <w:t>“;</w:t>
      </w:r>
      <w:r>
        <w:rPr>
          <w:i/>
          <w:noProof/>
        </w:rPr>
        <w:t xml:space="preserve"> </w:t>
      </w:r>
    </w:p>
    <w:p>
      <w:pPr>
        <w:spacing w:after="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pod tabuľkou sa dopĺňa tento názov a stĺpec:</w:t>
      </w:r>
    </w:p>
    <w:p>
      <w:pPr>
        <w:rPr>
          <w:i/>
          <w:noProof/>
        </w:rPr>
      </w:pPr>
      <w:r>
        <w:rPr>
          <w:smallCaps/>
          <w:noProof/>
        </w:rPr>
        <w:t>Časť 2: Rozdelenie podpory Únie na rozvoj vidieka (2021)</w:t>
      </w:r>
      <w:r>
        <w:rPr>
          <w:i/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(</w:t>
      </w:r>
      <w:r>
        <w:rPr>
          <w:i/>
          <w:noProof/>
          <w:sz w:val="22"/>
        </w:rPr>
        <w:t>bežné ceny v EUR</w:t>
      </w:r>
      <w:r>
        <w:rPr>
          <w:noProof/>
        </w:rPr>
        <w:t>)</w:t>
      </w:r>
    </w:p>
    <w:tbl>
      <w:tblPr>
        <w:tblStyle w:val="TableGrid"/>
        <w:tblW w:w="3508" w:type="dxa"/>
        <w:tblInd w:w="-601" w:type="dxa"/>
        <w:tblLook w:val="04A0" w:firstRow="1" w:lastRow="0" w:firstColumn="1" w:lastColumn="0" w:noHBand="0" w:noVBand="1"/>
      </w:tblPr>
      <w:tblGrid>
        <w:gridCol w:w="2013"/>
        <w:gridCol w:w="1495"/>
      </w:tblGrid>
      <w:tr>
        <w:trPr>
          <w:trHeight w:val="255"/>
          <w:tblHeader/>
        </w:trPr>
        <w:tc>
          <w:tcPr>
            <w:tcW w:w="2013" w:type="dxa"/>
            <w:tcBorders>
              <w:bottom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noWrap/>
            <w:hideMark/>
          </w:tcPr>
          <w:p>
            <w:pPr>
              <w:jc w:val="center"/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2021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Belgicko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67 178 046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Bulharsko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281 711 396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Česko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258 773 203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Dánsko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75 812 623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Nemecko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989 924 996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Estónsko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87 875 887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Írsko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264 670 951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Grécko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509 591 606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Španielsko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1 001 202 880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Francúzsko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1 209 259 199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Chorvátsko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281 341 503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Taliansko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1 270 310 371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Cyprus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15 987 284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Lotyšsko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117 307 269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Litva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195 182 517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Luxembursko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12 290 956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Maďarsko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416 202 472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Malta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12 207 322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Holandsko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73 151 195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Rakúsko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480 467 031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Poľsko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1 317 890 530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lastRenderedPageBreak/>
              <w:t>Portugalsko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493 214 858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Rumunsko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965 503 339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Slovinsko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102 248 788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Slovensko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227 682 721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Fínsko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292 021 227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Švédsko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211 550 876</w:t>
            </w:r>
          </w:p>
        </w:tc>
      </w:tr>
      <w:tr>
        <w:trPr>
          <w:trHeight w:val="300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EÚ spolu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11 230 561 046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Technická pomoc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28 146 770</w:t>
            </w:r>
          </w:p>
        </w:tc>
      </w:tr>
      <w:tr>
        <w:trPr>
          <w:trHeight w:val="25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Spolu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rFonts w:eastAsia="Times New Roman"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11 258 707 816</w:t>
            </w:r>
          </w:p>
        </w:tc>
      </w:tr>
    </w:tbl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</w:rPr>
        <w:t>“</w:t>
      </w:r>
    </w:p>
    <w:p>
      <w:pPr>
        <w:pStyle w:val="Annexetitre"/>
        <w:rPr>
          <w:noProof/>
        </w:rPr>
      </w:pPr>
      <w:r>
        <w:rPr>
          <w:noProof/>
        </w:rPr>
        <w:t>PRÍLOHA II</w:t>
      </w:r>
    </w:p>
    <w:p>
      <w:pPr>
        <w:rPr>
          <w:noProof/>
        </w:rPr>
      </w:pPr>
      <w:r>
        <w:rPr>
          <w:noProof/>
        </w:rPr>
        <w:t>Prílohy II a III k nariadeniu (EÚ) č. 1307/2013 sa menia takto:</w:t>
      </w:r>
    </w:p>
    <w:p>
      <w:pPr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 xml:space="preserve">V prílohe II sa dopĺňa tento stĺpec: </w:t>
      </w:r>
    </w:p>
    <w:p>
      <w:pPr>
        <w:spacing w:after="0"/>
        <w:rPr>
          <w:noProof/>
          <w:szCs w:val="24"/>
        </w:rPr>
      </w:pPr>
      <w:r>
        <w:rPr>
          <w:noProof/>
        </w:rPr>
        <w:tab/>
      </w:r>
      <w:r>
        <w:rPr>
          <w:smallCaps/>
          <w:noProof/>
        </w:rPr>
        <w:t>„</w:t>
      </w:r>
    </w:p>
    <w:tbl>
      <w:tblPr>
        <w:tblW w:w="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</w:tblGrid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2021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485 604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773 772</w:t>
            </w:r>
          </w:p>
        </w:tc>
      </w:tr>
      <w:tr>
        <w:trPr>
          <w:cantSplit/>
          <w:trHeight w:val="4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838 844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846 125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4 823 108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167 722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1 163 938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1 856 029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4 710 172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7 147 787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344 340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3 560 186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46 750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299 634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510 820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 xml:space="preserve"> 32 131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1 219 770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4 507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703 870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664 820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2 972 978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584 650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1 856 173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129 053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383 806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506 000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672 761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</w:p>
        </w:tc>
      </w:tr>
    </w:tbl>
    <w:p>
      <w:pPr>
        <w:rPr>
          <w:i/>
          <w:noProof/>
        </w:rPr>
      </w:pPr>
      <w:r>
        <w:rPr>
          <w:noProof/>
        </w:rPr>
        <w:t>“;</w:t>
      </w:r>
      <w:r>
        <w:rPr>
          <w:i/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V prílohe III sa dopĺňa tento stĺpec: </w:t>
      </w:r>
    </w:p>
    <w:p>
      <w:pPr>
        <w:spacing w:after="0"/>
        <w:rPr>
          <w:noProof/>
          <w:szCs w:val="24"/>
        </w:rPr>
      </w:pPr>
      <w:r>
        <w:rPr>
          <w:noProof/>
        </w:rPr>
        <w:tab/>
      </w:r>
      <w:r>
        <w:rPr>
          <w:smallCaps/>
          <w:noProof/>
        </w:rPr>
        <w:t>„</w:t>
      </w:r>
    </w:p>
    <w:tbl>
      <w:tblPr>
        <w:tblW w:w="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</w:tblGrid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noProof/>
              </w:rPr>
            </w:pPr>
            <w:r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  <w:t>2021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485,6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776,3</w:t>
            </w:r>
          </w:p>
        </w:tc>
      </w:tr>
      <w:tr>
        <w:trPr>
          <w:cantSplit/>
          <w:trHeight w:val="4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838,8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846,1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4 823,1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167,7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1 163,9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2 036,6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4 768,7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7 147,8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344,3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3 560,2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46,8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299,6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510,8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32,1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1 219,8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4,5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703,9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664,8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2 973,0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584,8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1 856,2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129,1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383,8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506,0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rStyle w:val="DeltaViewInsertion"/>
                <w:b w:val="0"/>
                <w:noProof/>
                <w:sz w:val="20"/>
                <w:szCs w:val="20"/>
              </w:rPr>
              <w:t>672,8</w:t>
            </w:r>
          </w:p>
        </w:tc>
      </w:tr>
      <w:tr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Style w:val="DeltaViewInsertion"/>
                <w:b w:val="0"/>
                <w:noProof/>
                <w:sz w:val="20"/>
                <w:szCs w:val="20"/>
              </w:rPr>
            </w:pPr>
          </w:p>
        </w:tc>
      </w:tr>
    </w:tbl>
    <w:p>
      <w:pPr>
        <w:rPr>
          <w:i/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</w:rPr>
        <w:t>“</w:t>
      </w:r>
    </w:p>
    <w:p>
      <w:pPr>
        <w:pStyle w:val="Annexetitre"/>
        <w:rPr>
          <w:noProof/>
        </w:rPr>
      </w:pPr>
      <w:r>
        <w:rPr>
          <w:noProof/>
        </w:rPr>
        <w:t>PRÍLOHA III</w:t>
      </w:r>
    </w:p>
    <w:p>
      <w:pPr>
        <w:jc w:val="center"/>
        <w:rPr>
          <w:b/>
          <w:noProof/>
        </w:rPr>
      </w:pPr>
      <w:r>
        <w:rPr>
          <w:b/>
          <w:noProof/>
        </w:rPr>
        <w:t>„PRÍLOHA VI</w:t>
      </w:r>
    </w:p>
    <w:p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rStyle w:val="boldface"/>
          <w:b/>
          <w:bCs/>
          <w:noProof/>
        </w:rPr>
        <w:t>ROZPOČTOVÉ STROPY NA PODPORNÉ PROGRAMY UVEDENÉ V ČLÁNKU 44 ODS. 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990"/>
        <w:gridCol w:w="993"/>
        <w:gridCol w:w="993"/>
        <w:gridCol w:w="1329"/>
        <w:gridCol w:w="1231"/>
      </w:tblGrid>
      <w:tr>
        <w:tc>
          <w:tcPr>
            <w:tcW w:w="0" w:type="auto"/>
            <w:gridSpan w:val="6"/>
            <w:shd w:val="clear" w:color="auto" w:fill="auto"/>
            <w:vAlign w:val="center"/>
            <w:hideMark/>
          </w:tcPr>
          <w:p>
            <w:pPr>
              <w:spacing w:before="60" w:after="6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v 1000 EUR na rozpočtový rok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2014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2015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2016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2017 – 2020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Od roku 2021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Bulharsko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26 762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26 762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26 762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26 762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25 721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Česko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5 155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5 155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5 155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5 155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4 954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Nemecko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38 895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38 895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38 895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38 895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37 381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Grécko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23 963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23 963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23 963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23 963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23 030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Španielsko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353 081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210 332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210 332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210 332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202 147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Francúzsko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280 545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280 545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280 545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280 545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269 628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Chorvátsko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11 885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11 885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11 885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10 832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10 410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Taliansko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336 997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336 997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336 997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336 997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323 883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Cyprus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4 646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4 646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4 646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4 646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4 465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Litva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45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45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43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Luxembursko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588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Maďarsko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29 103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29 103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29 103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29 103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27 970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Malta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402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Rakúsko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13 688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13 688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13 688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13 688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13 155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Portugalsko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65 208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65 208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65 208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65 208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62 670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Rumunsko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47 700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47 700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47 700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47 700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45 844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Slovinsko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5 045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5 045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5 045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5 045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4 849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Slovensko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5 085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5 085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5 085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5 085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0"/>
                <w:szCs w:val="20"/>
              </w:rPr>
              <w:t>4 887</w:t>
            </w:r>
          </w:p>
        </w:tc>
      </w:tr>
      <w:t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sz w:val="22"/>
              </w:rPr>
              <w:t>Spojené kráľovstvo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ind w:right="195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120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sz w:val="22"/>
              </w:rPr>
              <w:t>—</w:t>
            </w:r>
          </w:p>
        </w:tc>
      </w:tr>
    </w:tbl>
    <w:p>
      <w:pPr>
        <w:rPr>
          <w:noProof/>
        </w:rPr>
      </w:pPr>
      <w:r>
        <w:rPr>
          <w:noProof/>
        </w:rPr>
        <w:t xml:space="preserve">“ 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B32E1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808DF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D60D0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76ABE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7BCDA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8E06D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8CA3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90A47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15 15:31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4516C328-3229-4062-9150-1671C7FEDFF8"/>
    <w:docVar w:name="LW_COVERPAGE_TYPE" w:val="1"/>
    <w:docVar w:name="LW_CROSSREFERENCE" w:val="&lt;UNUSED&gt;"/>
    <w:docVar w:name="LW_DocType" w:val="ANNEX"/>
    <w:docVar w:name="LW_EMISSION" w:val="31. 10. 2019"/>
    <w:docVar w:name="LW_EMISSION_ISODATE" w:val="2019-10-31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stanovujú ur\u269?ité prechodné ustanovenia týkajúce sa podpory z Európskeho po\u318?nohospodárskeho fondu pre rozvoj vidieka (EPFRV) a Európskeho po\u318?nohospodárskeho záru\u269?ného fondu (EPZF) v roku 2021 a ktorým sa menia nariadenia (EÚ) \u269?. 228/2013, (EÚ) \u269?. 229/2013 a (EÚ) \u269?. 1308/2013, pokia\u318? ide o zdroje a ich distribúciu v roku 2021, a ktorým sa menia nariadenia (EÚ) \u269?. 1305/2013, (EÚ) \u269?. 1306/2013 a (EÚ) \u269?. 1307/2013, pokia\u318? ide o ich zdroje a uplat\u328?ovanie v roku 2021"/>
    <w:docVar w:name="LW_OBJETACTEPRINCIPAL.CP" w:val="ktorým sa stanovujú ur\u269?ité prechodné ustanovenia týkajúce sa podpory z Európskeho po\u318?nohospodárskeho fondu pre rozvoj vidieka (EPFRV) a Európskeho po\u318?nohospodárskeho záru\u269?ného fondu (EPZF) v roku 2021 a ktorým sa menia nariadenia (EÚ) \u269?. 228/2013, (EÚ) \u269?. 229/2013 a (EÚ) \u269?. 1308/2013, pokia\u318? ide o zdroje a ich distribúciu v roku 2021, a ktorým sa menia nariadenia (EÚ) \u269?. 1305/2013, (EÚ) \u269?. 1306/2013 a (EÚ) \u269?. 1307/2013, pokia\u318? ide o ich zdroje a uplat\u328?ovanie v roku 2021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58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Y"/>
    <w:docVar w:name="LW_TYPE.DOC.CP" w:val="PRÍLOHY"/>
    <w:docVar w:name="LW_TYPEACTEPRINCIPAL" w:val="návrhu_x000b__x000b_NARIADENIA EURÓPSKEHO PARLAMENTU A RADY,"/>
    <w:docVar w:name="LW_TYPEACTEPRINCIPAL.CP" w:val="návrhu_x000b__x000b_NARIADENIA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Pr>
      <w:b/>
      <w:bCs/>
      <w:i/>
      <w:iCs/>
      <w:color w:val="000000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numbering" w:customStyle="1" w:styleId="NoList1">
    <w:name w:val="No List1"/>
    <w:next w:val="No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face">
    <w:name w:val="boldf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superscript">
    <w:name w:val="superscript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Pr>
      <w:b/>
      <w:bCs/>
      <w:i/>
      <w:iCs/>
      <w:color w:val="000000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numbering" w:customStyle="1" w:styleId="NoList1">
    <w:name w:val="No List1"/>
    <w:next w:val="No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face">
    <w:name w:val="boldf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superscript">
    <w:name w:val="superscript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4CD3B9-31C6-46D9-8F4B-13B12C5B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553</Words>
  <Characters>1995</Characters>
  <Application>Microsoft Office Word</Application>
  <DocSecurity>0</DocSecurity>
  <Lines>285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BARATOVA Ruzena (AGRI)</dc:creator>
  <cp:lastModifiedBy>WES PDFC Administrator</cp:lastModifiedBy>
  <cp:revision>9</cp:revision>
  <cp:lastPrinted>2019-09-11T16:55:00Z</cp:lastPrinted>
  <dcterms:created xsi:type="dcterms:W3CDTF">2019-11-14T09:13:00Z</dcterms:created>
  <dcterms:modified xsi:type="dcterms:W3CDTF">2019-11-15T14:31:00Z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