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30F2021-D38B-45ED-8F7E-17321A74434F" style="width:450pt;height:39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</w:t>
      </w:r>
    </w:p>
    <w:p>
      <w:pPr>
        <w:rPr>
          <w:noProof/>
        </w:r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„PŘÍLOHA</w:t>
      </w:r>
    </w:p>
    <w:p>
      <w:pPr>
        <w:rPr>
          <w:noProof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761"/>
        <w:gridCol w:w="1052"/>
        <w:gridCol w:w="809"/>
        <w:gridCol w:w="4575"/>
        <w:gridCol w:w="811"/>
        <w:gridCol w:w="861"/>
        <w:gridCol w:w="677"/>
      </w:tblGrid>
      <w:tr>
        <w:trPr>
          <w:cantSplit/>
          <w:tblHeader/>
          <w:tblCellSpacing w:w="0" w:type="dxa"/>
        </w:trPr>
        <w:tc>
          <w:tcPr>
            <w:tcW w:w="761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Pořadové číslo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Kód KN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TARIC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Popis zboží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Kvótové období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Objem kvóty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Clo v rámci kvóty (v %)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09.2637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2005 80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Klasy kukuřice cukrové (</w:t>
            </w:r>
            <w:r>
              <w:rPr>
                <w:i/>
                <w:iCs/>
                <w:noProof/>
                <w:szCs w:val="16"/>
              </w:rPr>
              <w:t>Zea mays</w:t>
            </w:r>
            <w:r>
              <w:rPr>
                <w:noProof/>
                <w:szCs w:val="16"/>
              </w:rPr>
              <w:t xml:space="preserve"> var. </w:t>
            </w:r>
            <w:r>
              <w:rPr>
                <w:i/>
                <w:iCs/>
                <w:noProof/>
                <w:szCs w:val="16"/>
              </w:rPr>
              <w:t>saccharata</w:t>
            </w:r>
            <w:r>
              <w:rPr>
                <w:noProof/>
                <w:szCs w:val="16"/>
              </w:rPr>
              <w:t>), též krájené, o průměru 10 mm nebo více, avšak nejvýše 20 mm, pro použití při výrobě produktů potravinářského průmyslu, ke zpracování jinému než pouhému přebalení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(1)(2)(3)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80 69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 xml:space="preserve">Houby druhu </w:t>
            </w:r>
            <w:r>
              <w:rPr>
                <w:i/>
                <w:iCs/>
                <w:noProof/>
                <w:szCs w:val="16"/>
              </w:rPr>
              <w:t>Auricularia polytricha</w:t>
            </w:r>
            <w:r>
              <w:rPr>
                <w:noProof/>
                <w:szCs w:val="16"/>
              </w:rPr>
              <w:t xml:space="preserve"> (též vařené ve vodě nebo v páře), zmrazené, k výrobě hotových jídel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2008 60 39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Třešně s přídavkem alkoholu, s obsahem cukru nejvýše 9 % hmotnostních, o průměru nejvýše 19,9 mm, s peckou, k použití v čokoládových výrobcích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2740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2309 90 31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Sójový proteinový koncentrát obsahující: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(±10 %) hmotnostních surových proteinů,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(±3 %) hmotnostních surové vlákniny,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(±3 %) hmotnostních surového popela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3 % hmotnostních nebo více, avšak nejvýše 6,9 % hmotnostních škrobu,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krmiv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Přírodní nezpracovaný tabák, též pravidelně řezaný, s celní hodnotou nejméně 450 EUR za 100 kg/net, určený k použití jako pojivo nebo obal při výrobě zboží podpoložky 2402 10 00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2586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2710 19 81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2710 19 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Katalyticky hydroizomerizovaná a odparafinovaná surová nafta sestávající z hydrogenovaných, vysoce isoalkanových uhlovodíků,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629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90 % hmotnostních nebo více nasycených uhlovodíků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0,03 % hmotnostních síry,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909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90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indexem viskozity 80 nebo vyšším, avšak méně než 120, 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 kinematickou viskozitou 5,0 cSt nebo vyšší při 100 °C, avšak nejvýše 13,0 cSt při 100 °C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1.1.-30.6.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200 000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2587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2710 19 81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2710 19 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Katalyticky hydroizomerizovaná a odparafinovaná surová nafta sestávající z hydrogenovaných, vysoce isoalkanových uhlovodíků,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629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—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90 % hmotnostních nebo více nasycených uhlovodíků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62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0,03 % hmotnostních síry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909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390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indexem viskozity 80 nebo vyšším, avšak méně než 120, 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 kinematickou viskozitou 5,0 cSt nebo vyšší při 100 °C, avšak nejvýše 13,0 cSt při 100 °C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lastRenderedPageBreak/>
              <w:t>1.7.-31.12.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200 000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lastRenderedPageBreak/>
              <w:t>09.</w:t>
            </w:r>
            <w:r>
              <w:rPr>
                <w:noProof/>
                <w:szCs w:val="16"/>
              </w:rPr>
              <w:t>2828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2712 20 90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Parafín, obsahující méně než 0,75 % hmotnostních oleje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1.4.-31.10.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2712 90 39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Parafínový gáč (CAS RN 64742-61-6)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09.2928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2811 22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Křemičité plnivo ve formě granulí, s obsahem oxidu křemičitého 97 % hmotnostních nebo více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2825 90 40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Oxid wolframový, včetně modrého oxidu wolframového (CAS RN 1314-35-8 nebo CAS RN 39318-18-8)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2872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2833 29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Síran cesný (CAS RN 10294-54-9) v pevné formě nebo jako vodný roztok obsahující více než 48 % hmotnostních, avšak nejvýše 52 % hmotnostních síranu cesného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79 30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Bromchlormethan (CAS RN 74-97-5)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99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1,3-Dichlorbenzen (CAS RN 541-73-1)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2905 12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1-Propanol (propylalkohol) (CAS RN 71-23-8)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2906 19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Cyklopropylmethanol (CAS RN 2516-33-8)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2907 12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O-kresol (CAS RN 95-48-7) o čistotě nejméně 98,5 % hmotnostních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2909 49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2,2,2',2'-tetrakis(hydroxymethyl)-3,3'-oxydipropan-1-ol (CAS RN 126-58-9)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2912 42 00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Ethylvanilin (3-ethoxy-4-hydroxybenzaldehyd) (CAS RN 121-32-4)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1 950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2683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19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Acetylacetonát vápenatý (CAS RN 19372-44-2) pro použití při výrobě systémů stabilizátorů ve formě tablet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Cyklopropylmethylketon (CAS RN 765-43-5)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21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octová o čistotě 99 % hmotnostních nebo vyšší (CAS RN 64-19-7)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2915 24 00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Acetanhydrid (CAS RN 108-24-7)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2915 32 00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Vinylacetát (CAS RN 108-05-4)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90 70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Ethyl-trifluoracetát (CAS RN 383-63-1)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19 95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Kalium-(E,E)-hexa-2,4-dienoát (CAS RN 24634-61-5)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8 250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39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2,5-dimethylfenylacetyl-chlorid (CAS RN 55312-97-5)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Diethyl-oxalát (CAS RN 95-92-1)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13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Dimethylsebakát (CAS RN 106-79-6)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dodekandiová (CAS RN 693-23-2), o čistotě vyšší než 98,5 % hmotnostních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o-acetylsalicylová (CAS RN 50-78-2)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2646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Oktadecyl-3-(3,5-di-</w:t>
            </w:r>
            <w:r>
              <w:rPr>
                <w:i/>
                <w:iCs/>
                <w:noProof/>
                <w:szCs w:val="16"/>
              </w:rPr>
              <w:t>terc</w:t>
            </w:r>
            <w:r>
              <w:rPr>
                <w:noProof/>
                <w:szCs w:val="16"/>
              </w:rPr>
              <w:t>-butyl-4-hydroxyfenyl)propionát (CAS RN 2082-79-3) s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podílem procházejícím sítem s oky o velikosti 500 μm větším než 99 % hmotnostních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bodem tání 49 °C nebo vyšším, avšak nejvýše 54 °C,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práškových směsí přídatných látek obsahujících stabilizátor pro zpracování PVC (pudrů nebo lisovaných granulátů)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2647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Pentaerythritol-tetrakis(3-(3,5-di-</w:t>
            </w:r>
            <w:r>
              <w:rPr>
                <w:i/>
                <w:iCs/>
                <w:noProof/>
                <w:szCs w:val="16"/>
              </w:rPr>
              <w:t>terc</w:t>
            </w:r>
            <w:r>
              <w:rPr>
                <w:noProof/>
                <w:szCs w:val="16"/>
              </w:rPr>
              <w:t>-butyl-4-hydroxyfenyl)propionát) (CAS RN 6683-19-8)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podílem procházejícím sítem s oky o velikosti 250 μm větším než 75 % hmotnostních a s oky o velikosti 500 μm větším než 99 % hmotnostních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bodem tání 110 °C nebo vyšším, avšak nejvýše 125 °C,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práškových směsí (prášků nebo granulátů pro lisování) přídatných látek obsahujících stabilizátor pro zpracování PVC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30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Benzofenon-3,3’,4,4’-tetrakarboxdianhydrid (CAS RN 2421-28-5)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Tris(2,4-di-terc-butylfenyl)fosfit (CAS RN 31570-04-4)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2648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90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Dimethylsulfát (CAS RN 77-78-1)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1.1.-30.6.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19 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Oktadecylamin (CAS RN 124-30-1)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Bis(2-dimethylaminoethyl)(methyl)amin (CAS RN 3030-47-5)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Anilin (CAS RN 62-53-3) o čistotě 99 % hmotnostních nebo vyšší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2617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4-fluor-N-(1-methylethyl)benzenamin (CAS RN 70441-63-3)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43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2-Methylanilin (CAS RN 95-53-4)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1.1.-30.6.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51 19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O-fenylendiamin (CAS RN 95-54-5)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1 800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2730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4,4'-Methandiyldianilin (CAS RN 101-77-9) ve formě granulí, pro použití při výrobě předpolymerů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1.1.-30.6.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2922 41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L-Lysin-hydrochlorid (CAS RN 657-27-2)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445 000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2922 50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L-Threonin (CAS RN 72-19-5)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166 000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19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3-Jodo-2-propynyl N-butylkarbamát (CAS RN 55406-53-6)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29 70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Paracetamol (INN) (CAS RN 103-90-2)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2742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10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Akrylonitril (CAS RN 107-13-1), pro použití při výrobě zboží kapitoly 55 a čísla 6815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90 70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2-Nitro-4-(trifluormethyl)benzonitril (CAS RN 778-94-9)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2928 00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Monomethylhydrazin (CAS 60-34-4) ve formě vodného roztoku o obsahu monomethylhydrazinu 40 (± 5) % hmotnostních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2929 90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Nitroguanidin (CAS RN 556-88-7)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Bis[3-(triethoxysilyl)propyl]disulfid (CAS RN 56706-10-6)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2-Chlor-4-(methylsulfonyl)-3-((2,2,2-trifluorethoxy)methyl)benzoová kyselina (CAS RN 120100-77-8)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2932 12 00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2-Furaldehyd (furfural)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09.2955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19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Flurtamon (ISO) (CAS RN 96525-23-4)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Dekan-5-olid (CAS RN 705-86-2)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Dodekan-5-olid (CAS RN 713-95-1)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Hexan-6-olid (CAS RN 502-44-3)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2932 93 00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Piperonal (CAS RN 120-57-0)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220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2,2,6,6-tetramethylpiperidin-4-ol (CAS RN 2403-88-5)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44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Chlorpyrifos (ISO) (CAS RN 2921-88-2)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59 95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Ibrutinib (INN) (CAS RN 936563-96-1)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69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1,3,5-Tris[3-(dimethylamino)propyl]hexahydro-1,3,5-triazin (CAS RN 15875-13-5)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1,4,7,10-Tetraazacyklododekan (CAS RN 294-90-6)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73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5-Acetoacetylaminobenzimidazolon (CAS RN 26576-46-5)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2934 99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5-Chlorthiofen-2-karboxylová kyselina (CAS RN 24065-33-6)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45 000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4-[[(2-Methoxybenzoyl)amino]sulfonyl]benzoyl-chlorid (CAS RN 816431-72-8)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09.2710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2,4,4-Trimethylpentan-2-aminium(3R,5S,E)-7-(4-(4-fluorfenyl)-6-isopropyl-2-(N-methylmethylsulfonamido)pyrimidin-5-yl)-3,5-dihydroxyhept-6-enoát (CAS RN 917805-85-7)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09.2945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2940 00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D-Xylóza (CAS RN 58-86-6)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Barvivo C.I. Disperse Yellow 54  (CAS RN 7576-65-0 ) a přípravky na něm založené s obsahem barviva C.I. Disperse Yellow 54  99 % hmotnostních nebo více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Přípravky na bázi barviva C.I. Pigment Red 48:2 (CAS RN 7023-61-2)  o obsahu barviva 60 % hmotnostních nebo vyšším, avšak nižším než 85 % hmotnostních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Barvivo C.I. Pigment Red 4 (CAS RN 2814-77-9) a přípravky na něm založené s obsahem barviva C.I. Pigment Red 4 60 % hmotnostních nebo více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3802 90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Křemelina průtokově žíhaná sodou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3804 00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Lignosulfonát sodný (CAS RN 8061-51-6)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3805 10 90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Sulfátová terpentýnová silice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3806 10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Kalafuna a pryskyřičné kyseliny získané z čerstvých olejopryskyřičných látek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3808 92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Přípravek obsahující 38 % nebo více, avšak nejvýše 50 % hmotnostních zinečnaté soli pyrithionu (INN) (CAS RN 13463-41-7) ve vodné disperzi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3811 29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Aditiva skládající se z reakčních produktů difenylaminu a rozvětvených nonenů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více než 28 % hmotnostních, avšak nejvýše 55 % hmotnostních 4-monononyldifenylaminu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více než 45 % hmotnostních, avšak nejvýše 65 % hmotnostních 4,4’-dinonyldifenylaminu,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celkový procentní podíl 2,4-dinonyldifenylaminu a 2,4’-dinonyldifenylaminu nejvýše 5 % hmotnostních,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mazacích olejů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3815 90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Katalyzátor skládající se z oxidu titaničitého a oxidu wolframového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79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Směsi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hmotnostních nebo více, avšak nejvýše 90 % hmotnostních 2-chlorpropenu (CAS RN 557-98-2),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8 % hmotnostních nebo více, avšak nejvýše 14 % hmotnostních (Z)-1-chlorpropenu (CAS RN 16136-84-8),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hmotnostních nebo více, avšak nejvýše 23 % hmotnostních 2-chlorpropanu (CAS RN 75-29-6),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6 % hmotnostních 3-chlorpropenu (CAS RN 107-05-1)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1 % hmotnostní ethylchloridu (CAS RN 75-00-3)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Přípravek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55 % hmotnostních nebo více, avšak nejvýše 78 % hmotnostních dimethyl-glutarátu (CAS RN 1119-40-0),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10 % hmotnostních nebo více, avšak nejvýše 30 % hmotnostních dimethyl-adipátu a (CAS RN 627-93-0)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35 % hmotnostních dimethyl-sukcinátu (CAS RN 106-65-0)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Směs bis[3-(triethoxysilyl)propyl]sulfidů (CAS RN 211519-85-6)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Acetofenon (CAS RN 98-86-2), o čistotě 60 % hmotnostních nebo vyšší, avšak nejvýše 90 % hmotnostních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Směs terciárních aminů alkyldimethylu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hmotnostních nebo více, avšak nejvýše 80 % hmotnostních dodecyl(dimethyl)aminu (CAS RN 112-18-5)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20 % hmotnostních nebo více, avšak nejvýše 30 % hmotnostních dimethyl(tetradecyl)aminu (CAS RN 112-75-4)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Pevný extrakt zbytku získaného během extrakce pryskyřice ze dřeva, nerozpustný v alifatických rozpouštědlech, s následujícími vlastnostmi: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109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 pryskyřičných kyselin nepřesahující 30 % hmotnostních,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číslo kyselosti nepřesahující 110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bod tání je 100º C nebo vyšší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09.2907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Směs fytosterolů, ve formě prášku, obsahující: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478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75 % hmotnostních nebo více sterolů,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nejvýše 25 % hmotnostních stanolů,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 použití při výrobě stanolů/sterolů nebo esterů stanolů/sterolů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3905 30 00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Poly(vinylalkohol), též obsahující nehydrolyzované acetátové skupiny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3905 99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Poly(vinylbutyral) (CAS RN 63148-65-2):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obsahu hydroxylových skupin 17,5 % hmotnostních nebo více, avšak nejvýše 20 % hmotnostních,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 střední velikostí částic (D50) vyšší než 0,6mm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12 500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3907 40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Směs polymerů z polykarbonátu a poly(methylmetakrylátu) s podílem polykarbonátu 98,5 % hmotnostních nebo vyšším, ve formě pelet nebo granulí, s propustností světla 88,5 % nebo vyšší, měřenou pomocí zkušebního tělesa s tloušťkou stěny 4,0 mm při vlnové délce λ = 400 nm (podle ISO 13468-2)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3911 90 19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Poly(oxy-1,4-fenylensulfonyl-1,4-fenylenoxy-4,4’-bifenylen)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3912 11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Vločky acetátu celulózy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10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Alginát sodný, získávaný z hnědých mořských řas (CAS RN 9005-38-3)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90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Nesterilní hyaluronát sodný s: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hmotnostní průměrnou molekulovou hmotností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nejvýše 900 000,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hladinou endotoxinů nejvýše 0,008 endotoxinových jednotek(EU)/mg,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obsahem etanolu nejvýše 1 % hmotnostní,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obsahem isopropanolu nejvýše 0,5 % hmotnostního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kg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3920 51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Desky z polymethylmethakrylátu splňující normy: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993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4364 (MIL-P-5425E) a DTD5592A, nebo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a DTD5592A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3921 14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Lehčený blok regenerované celulózy impregnovaný vodou obsahující chlorid hořečnatý a kvartérní amoniové sloučeniny, o rozměrech 100 cm (± 10 cm) x 100 cm (± 10 cm) x 40 cm (± 5 cm)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5505 10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Odpad ze syntetických vláken (včetně výčesků, niťového odpadu a rozvlákněného materiálu) z nylonu nebo jiných polyamidů (PA6 a PA66)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5906 99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Tkaná a laminovaná pogumovaná textilie s těmito vlastnostmi: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 třemi vrstvami,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jedna vnější vrstva je z akrylové tkaniny,  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druhá vnější vrstva je z polyesterové tkaniny,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střední vrstva je z chlorobutylové pryže,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střední vrstva má hmotnost 452 g/m</w:t>
                  </w:r>
                  <w:r>
                    <w:rPr>
                      <w:noProof/>
                      <w:vertAlign w:val="superscript"/>
                    </w:rPr>
                    <w:t xml:space="preserve">2 </w:t>
                  </w:r>
                  <w:r>
                    <w:rPr>
                      <w:noProof/>
                    </w:rPr>
                    <w:t>nebo více, avšak nejvýše 569 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textilie má celkovou hmotnost 952 g/m</w:t>
                  </w:r>
                  <w:r>
                    <w:rPr>
                      <w:noProof/>
                      <w:vertAlign w:val="superscript"/>
                    </w:rPr>
                    <w:t xml:space="preserve">2 </w:t>
                  </w:r>
                  <w:r>
                    <w:rPr>
                      <w:noProof/>
                    </w:rPr>
                    <w:t> nebo více, avšak nejvýše 1159 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textilie má celkovou tloušťku 0,8 mm nebo více, avšak nejvýše 4 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používaná k výrobě stahovatelných střech motorových vozidel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375 000 m²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2594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6909 19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Keramicko-uhlíková absorpční patrona: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mající pěnovou válcovitou strukturu s pojivem na bázi lisované pálené keramiky,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obsahu 10 % hmotnostních nebo více, avšak nejvýše 30 % hmotnostních aktivního uhlí,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obsahu 70 % hmotnostních nebo více, avšak nejvýše 90 % hmotnostních keramického pojiva,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průměru 29 mm nebo více, avšak nejvýše 41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délce nejvýše 150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vypálená při teplotě 800 °C nebo vyšší,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 adsorpci výparů,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používaná k montáži do pohlcovačů palivových výparů v palivových systémech motorových vozidel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09.2866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06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26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Vrstvená vlákna (pramence) z S-skla: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složená z nekonečných skleněných vláken o průměru 9 μm (±0,5 µm),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délkové hmotnosti 200 tex nebo větší, avšak nejvýše 680 tex,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neobsahující oxid vápenatý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pevností v tahu větší než 3 550 Mpa stanovenou podle ASTM D2343-09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produktů používaných v letectví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52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Skleněné tkaniny ze skleněného vlákna povrstveného plastem, o hmotnosti 120 g/m²(± 10 g/m²), používané ve svinovacích sítích proti hmyzu s pevným rámem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3 000 000 m²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09.2799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7202 49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Ferochrom obsahující 1,5 % hmotnostních nebo více, avšak nejvýše 4 % hmotnostní uhlíku a nejvýše 70 % hmotnostních chromu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2652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11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Fólie a pásy z rafinované mědi, elektrolyticky potažené, o tloušťce 0,015 mm nebo větší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1 020 tun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Desky nebo listy sestávající z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vrstvy keramiky na bázi nitridu křemičitého o tloušťce 0,32 mm (±0,1 mm) nebo větší, avšak nejvýše 1,0 mm (±0,1 mm),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pokryté na obou stranách fólií z rafinované mědi o tloušťce 0,8 mm (±0,1 mm)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 jedné straně částečně pokryté vrstvou stříbra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7 000 000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21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Desky: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sestávající nejméně z jedné vrstvy tkaniny ze skleněného vlákna impregnované epoxidovou pryskyřicí,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potažené na jedné nebo obou stranách měděnou fólií o tloušťce nejvýše 0,15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dielektrickou konstantou (DK) nižší než 5,4 při 1 MHz, měřenou podle IPC-TM-650 2.5.5.2,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 ztrátovou tangentou nižší než 0,035 při 1 MHz, měřenou podle IPC-TM-650 2.5.5.2,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porovnávacím indexem odolnosti proti plazivým proudům (CTI) 600 nebo více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80 000 m²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Tyče ze slitin hliníku o průměru 200 mm nebo větším, avšak nepřesahujícím 300 mm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09.2835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Tyče ze slitin hliníku o průměru 300,1 mm nebo větším, avšak nejvýše 533,4 mm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09.2736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7607 11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Pás nebo fólie ze slitiny hliníku a hořčíku: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ze slitiny odpovídající normě 5182-H19 nebo 5052-H19,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ve svitcích o vnějším průměru nejméně 1 250 mm, avšak nejvýše 1 350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tloušťce (tolerance –0,006 mm) 0,15 mm, 0,16 mm, 0,18 mm nebo 0,20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šířce (tolerance ±0,3 mm) 12,5 mm, 15,0 mm, 16,0 mm, 25,0 mm, 35,0 mm, 50,0 mm nebo 356 mm,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tolerancí zakřivení nepřesahující 0,4 mm/750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rovinností měřenou v jednotkách I = ±4,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pevností v tahu vyšší než 365 MPa (5182-H19) nebo 320 MPa (5052-H19),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prodloužením A50 větším než 3 % (5182-H19) nebo 2,5 % (5052-H19),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lamel pro žaluzie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2722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8104 11 00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Netvářený (surový) hořčík obsahující nejméně 99,8 % hmotnostních hořčíku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8104 30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Magnesiový prášek: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046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046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čistotě 98 % hmotnostních nebo více, avšak nejvýše 99,5 %,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046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 velikosti částic 0,2 mm nebo více, avšak nejvýše 0,8 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tun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09.2629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8302 49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Teleskopické hliníkové madlo pro použití při výrobě zavazadel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1 500 000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2720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8413 91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Hlava čerpadla z kované oceli pro dvouválcové vysokotlaké čerpadlo s: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frézovanými závitovými fitinky o průměru 10 mm nebo větším, avšak nejvýše 36,8 mm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vrtanými palivovými kanálky o průměru 3,5 mm nebo větším, avšak nejvýše 10 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používaná v systémech vstřikování motorové nafty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65 000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2738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8482 99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Mosazné klece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kontinuálně nebo odstředivě lité,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soustružené,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obsahující 35 % hmotnostních nebo více, avšak nejvýše 38 % hmotnostních zinku,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obsahující 0,75 % hmotnostních nebo více, avšak nejvýše 1,25 % hmotnostních olova,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obsahující 1,0 % hmotnostní nebo více, avšak nejvýše 1,4 % hmotnostních hliníku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pevností v tahu 415 Pa nebo více,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typu používaného při výrobě kuličkových ložisek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80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Komutátorový elektromotor na střídavý proud, jednofázový, s výkonem 250 W nebo vyšším, s příkonem 700 W nebo vyšším, avšak nejvýše 2 700 W, s vnějším průměrem větším než 120 mm (± 0,2 mm), avšak nejvýše 135 mm (± 0,2 mm), se jmenovitými otáčkami vyššími než 30 000 ot./min., avšak nejvýše 50 000 ot./min, vybavený sacím ventilátorem, pro použití při výrobě vysavačů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2 000 000 kusů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2588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8529 90 92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56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 xml:space="preserve">LCD displej: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dotykovou obrazovkou,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alespoň s jednou deskou plošných spojů pro jednoduché pomocné zařízení pro adresování pixelů (funkce časovače) a dotykovým ovládáním, s pamětí EEPROM (elektricky mazatelná programovatelná paměť pouze pro čtení) pro nastavení obrazovky,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úhlopříčkou obrazovky 15 cm nebo větší, avšak nejvýše 21 cm,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podsvícením,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 LVDS (nízkonapěťová diferenciální signalizace) a konektorem napájení, 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pozorovacím úhlem 70° nebo více,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jasem 715 cd/m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 xml:space="preserve"> nebo vyšším,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použití při výrobě motorových vozidel kapitoly 87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1.1.-30.6.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450 000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9405 40 39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Deska plošných spojů s diodami vyzařujícími světlo (LED):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437"/>
            </w:tblGrid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437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též vybavená hranoly/čočkou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20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2437" w:type="dxa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též opatřená konektorem (konektory)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 výrobu podsvětlovacích jednotek pro zboží čísla 8528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115 000 000 kusů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09.2003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8543 70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63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Napětím řízený frekvenční generátor složený z pasivních a aktivních prvků namontovaných na  tištěném obvodu, umístěném pod společným krytem, s rozměry nejvýše 30 mm x 30 mm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1 400 000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09.2910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8708 99 97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Podpěrné konzoly ze slitiny hliníku s montážními otvory, též s upevňovacími maticemi, pro nepřímé upevnění převodovky ke karosérii pro použití při výrobě zboží kapitoly 87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09.2694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10 90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Svorky nápravy, skříně nápravy, vidlicové můstky a upínací prvky, ze slitiny hliníku, používané do motocyklů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2668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Rám jízdního kola, vyrobený z uhlíkových vláken a umělé pryskyřice, pro použití při výrobě jízdních kol (včetně elektrokol)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350 000 kusů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09.</w:t>
            </w:r>
            <w:r>
              <w:rPr>
                <w:noProof/>
                <w:szCs w:val="16"/>
              </w:rPr>
              <w:t>2589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23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33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Rám vyrobený z hliníku nebo hliníku a uhlíkových vláken pro použití při výrobě jízdních kol (včetně elektrických jízdních kol)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8 000 000 kusů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7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09.2631</w:t>
            </w:r>
          </w:p>
        </w:tc>
        <w:tc>
          <w:tcPr>
            <w:tcW w:w="1052" w:type="dxa"/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9001 90 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Nezasazené skleněné čočky, hranoly a lepené prvky pro použití při výrobě nebo opravách zboží kódů KN 9002, 9005, 9013 10 a 9015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1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86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5 000 000 kusů</w:t>
            </w:r>
          </w:p>
        </w:tc>
        <w:tc>
          <w:tcPr>
            <w:tcW w:w="677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</w:tbl>
    <w:p>
      <w:pPr>
        <w:pStyle w:val="Paragraph"/>
        <w:rPr>
          <w:noProof/>
        </w:rPr>
      </w:pPr>
    </w:p>
    <w:tbl>
      <w:tblPr>
        <w:tblW w:w="0" w:type="auto"/>
        <w:tblCellSpacing w:w="0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8821"/>
      </w:tblGrid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Pozastavení cel se nicméně neuplatní, je-li zpracování prováděno maloobchodem nebo restauračními podniky.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Pozastavení cel podléhá celnímu dohledu nad konečným užitím v souladu s článkem 254 nařízení Evropského parlamentu a Rady (EU) č. 952/2013 ze dne 9. října 2013, kterým se stanoví celní kodex Unie (Úř. věst. L 269, 10.10.2013, s. 1)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Pozastavuje se pouze valorická</w:t>
            </w:r>
            <w:r>
              <w:rPr>
                <w:i/>
                <w:iCs/>
                <w:noProof/>
                <w:szCs w:val="16"/>
              </w:rPr>
              <w:t xml:space="preserve"> (ad valorem)</w:t>
            </w:r>
            <w:r>
              <w:rPr>
                <w:noProof/>
                <w:szCs w:val="16"/>
              </w:rPr>
              <w:t xml:space="preserve"> celní sazba. Nadále se použije sazba specifického cla.“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2240" w:h="15840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08 08:35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8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  "/>
    <w:docVar w:name="LW_ACCOMPAGNANT.CP" w:val="  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730F2021-D38B-45ED-8F7E-17321A74434F"/>
    <w:docVar w:name="LW_COVERPAGE_TYPE" w:val="1"/>
    <w:docVar w:name="LW_CROSSREFERENCE" w:val="&lt;UNUSED&gt;"/>
    <w:docVar w:name="LW_DocType" w:val="ANNEX"/>
    <w:docVar w:name="LW_EMISSION" w:val="18.11.2019"/>
    <w:docVar w:name="LW_EMISSION_ISODATE" w:val="2019-11-18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&lt;FMT:Bold&gt;kterým se m\u283?ní na\u345?ízení (EU) \u269?. 1388/2013 o otev\u345?ení a zp\u367?sobu správy autonomních celních kvót Unie pro n\u283?které zem\u283?d\u283?lské produkty a pr\u367?myslové výrobky&lt;/FMT&gt;_x000d__x000d__x000d__x000d__x000d__x000b_"/>
    <w:docVar w:name="LW_OBJETACTEPRINCIPAL.CP" w:val="&lt;FMT:Bold&gt;kterým se m\u283?ní na\u345?ízení (EU) \u269?. 1388/2013 o otev\u345?ení a zp\u367?sobu správy autonomních celních kvót Unie pro n\u283?které zem\u283?d\u283?lské produkty a pr\u367?myslové výrobky&lt;/FMT&gt;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na\u345?ízení Rady,"/>
    <w:docVar w:name="LW_TYPEACTEPRINCIPAL.CP" w:val="návrhu na\u345?ízen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link w:val="TextChar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link w:val="SUSPparagraphChar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Times New Roman"/>
      <w:szCs w:val="20"/>
      <w:lang w:eastAsia="en-GB"/>
    </w:rPr>
  </w:style>
  <w:style w:type="character" w:customStyle="1" w:styleId="TextChar">
    <w:name w:val="Text Char"/>
    <w:link w:val="Text"/>
    <w:rPr>
      <w:rFonts w:ascii="Times New Roman" w:eastAsia="Times New Roman" w:hAnsi="Times New Roman"/>
      <w:sz w:val="16"/>
    </w:rPr>
  </w:style>
  <w:style w:type="character" w:customStyle="1" w:styleId="ParagraphChar">
    <w:name w:val="Paragraph Char"/>
    <w:link w:val="Paragraph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USPparagraphChar">
    <w:name w:val="SUSP paragraph Char"/>
    <w:link w:val="SUSPparagraph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erCoverPageChar">
    <w:name w:val="Footer Cover Page Char"/>
    <w:link w:val="FooterCoverPag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erSensitivityChar">
    <w:name w:val="Footer Sensitivity Char"/>
    <w:rPr>
      <w:rFonts w:ascii="Times New Roman" w:hAnsi="Times New Roman" w:cs="Times New Roman"/>
      <w:b/>
      <w:sz w:val="32"/>
      <w:lang w:val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Times New Roman"/>
      <w:szCs w:val="20"/>
      <w:lang w:eastAsia="en-GB"/>
    </w:rPr>
  </w:style>
  <w:style w:type="character" w:customStyle="1" w:styleId="HeaderCoverPageChar">
    <w:name w:val="Header Cover Page Char"/>
    <w:link w:val="HeaderCoverPag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SensitivityChar">
    <w:name w:val="Header Sensitivity Char"/>
    <w:rPr>
      <w:rFonts w:ascii="Times New Roman" w:hAnsi="Times New Roman" w:cs="Times New Roman"/>
      <w:b/>
      <w:sz w:val="32"/>
      <w:lang w:val="cs-CZ"/>
    </w:rPr>
  </w:style>
  <w:style w:type="character" w:customStyle="1" w:styleId="HeaderSensitivityRightChar">
    <w:name w:val="Header Sensitivity Right Char"/>
    <w:rPr>
      <w:rFonts w:ascii="Times New Roman" w:hAnsi="Times New Roman" w:cs="Times New Roman"/>
      <w:sz w:val="2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link w:val="TextChar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link w:val="SUSPparagraphChar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Times New Roman"/>
      <w:szCs w:val="20"/>
      <w:lang w:eastAsia="en-GB"/>
    </w:rPr>
  </w:style>
  <w:style w:type="character" w:customStyle="1" w:styleId="TextChar">
    <w:name w:val="Text Char"/>
    <w:link w:val="Text"/>
    <w:rPr>
      <w:rFonts w:ascii="Times New Roman" w:eastAsia="Times New Roman" w:hAnsi="Times New Roman"/>
      <w:sz w:val="16"/>
    </w:rPr>
  </w:style>
  <w:style w:type="character" w:customStyle="1" w:styleId="ParagraphChar">
    <w:name w:val="Paragraph Char"/>
    <w:link w:val="Paragraph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USPparagraphChar">
    <w:name w:val="SUSP paragraph Char"/>
    <w:link w:val="SUSPparagraph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erCoverPageChar">
    <w:name w:val="Footer Cover Page Char"/>
    <w:link w:val="FooterCoverPag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erSensitivityChar">
    <w:name w:val="Footer Sensitivity Char"/>
    <w:rPr>
      <w:rFonts w:ascii="Times New Roman" w:hAnsi="Times New Roman" w:cs="Times New Roman"/>
      <w:b/>
      <w:sz w:val="32"/>
      <w:lang w:val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Times New Roman"/>
      <w:szCs w:val="20"/>
      <w:lang w:eastAsia="en-GB"/>
    </w:rPr>
  </w:style>
  <w:style w:type="character" w:customStyle="1" w:styleId="HeaderCoverPageChar">
    <w:name w:val="Header Cover Page Char"/>
    <w:link w:val="HeaderCoverPag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SensitivityChar">
    <w:name w:val="Header Sensitivity Char"/>
    <w:rPr>
      <w:rFonts w:ascii="Times New Roman" w:hAnsi="Times New Roman" w:cs="Times New Roman"/>
      <w:b/>
      <w:sz w:val="32"/>
      <w:lang w:val="cs-CZ"/>
    </w:rPr>
  </w:style>
  <w:style w:type="character" w:customStyle="1" w:styleId="HeaderSensitivityRightChar">
    <w:name w:val="Header Sensitivity Right Char"/>
    <w:rPr>
      <w:rFonts w:ascii="Times New Roman" w:hAnsi="Times New Roman" w:cs="Times New Roman"/>
      <w:sz w:val="2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0F2-B756-49D1-8761-B035EC58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12</Pages>
  <Words>3942</Words>
  <Characters>19752</Characters>
  <Application>Microsoft Office Word</Application>
  <DocSecurity>0</DocSecurity>
  <Lines>1646</Lines>
  <Paragraphs>1247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DIGIT/C6</cp:lastModifiedBy>
  <cp:revision>9</cp:revision>
  <cp:lastPrinted>2019-10-15T07:52:00Z</cp:lastPrinted>
  <dcterms:created xsi:type="dcterms:W3CDTF">2019-11-07T10:03:00Z</dcterms:created>
  <dcterms:modified xsi:type="dcterms:W3CDTF">2019-11-08T07:35:00Z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